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FE44D2">
      <w:pPr>
        <w:spacing w:line="480" w:lineRule="auto"/>
        <w:jc w:val="center"/>
        <w:rPr>
          <w:rFonts w:hint="default" w:ascii="Times New Roman" w:hAnsi="Times New Roman" w:eastAsia="宋体" w:cs="Times New Roman"/>
          <w:b/>
          <w:color w:val="auto"/>
          <w:sz w:val="36"/>
          <w:szCs w:val="36"/>
        </w:rPr>
      </w:pPr>
      <w:bookmarkStart w:id="0" w:name="_Toc67775550"/>
    </w:p>
    <w:p w14:paraId="6B970365">
      <w:pPr>
        <w:rPr>
          <w:rFonts w:hint="default" w:ascii="Times New Roman" w:hAnsi="Times New Roman" w:eastAsia="宋体" w:cs="Times New Roman"/>
          <w:color w:val="auto"/>
          <w:sz w:val="36"/>
          <w:szCs w:val="36"/>
        </w:rPr>
      </w:pPr>
    </w:p>
    <w:p w14:paraId="4EFE784C">
      <w:pPr>
        <w:rPr>
          <w:rFonts w:hint="default" w:ascii="Times New Roman" w:hAnsi="Times New Roman" w:eastAsia="宋体" w:cs="Times New Roman"/>
          <w:color w:val="auto"/>
          <w:sz w:val="36"/>
          <w:szCs w:val="36"/>
        </w:rPr>
      </w:pPr>
    </w:p>
    <w:p w14:paraId="786CC16C">
      <w:pPr>
        <w:rPr>
          <w:rFonts w:hint="default" w:ascii="Times New Roman" w:hAnsi="Times New Roman" w:eastAsia="宋体" w:cs="Times New Roman"/>
          <w:color w:val="auto"/>
          <w:sz w:val="36"/>
          <w:szCs w:val="36"/>
        </w:rPr>
      </w:pPr>
    </w:p>
    <w:p w14:paraId="7DE16CA7">
      <w:pPr>
        <w:jc w:val="center"/>
        <w:rPr>
          <w:rFonts w:hint="default" w:ascii="Times New Roman" w:hAnsi="Times New Roman" w:eastAsia="宋体" w:cs="Times New Roman"/>
          <w:b/>
          <w:color w:val="auto"/>
          <w:sz w:val="72"/>
          <w:szCs w:val="72"/>
        </w:rPr>
      </w:pPr>
      <w:bookmarkStart w:id="1" w:name="_Toc67775549"/>
    </w:p>
    <w:p w14:paraId="66216AC7">
      <w:pPr>
        <w:jc w:val="center"/>
        <w:rPr>
          <w:rFonts w:hint="default" w:ascii="Times New Roman" w:hAnsi="Times New Roman" w:eastAsia="宋体" w:cs="Times New Roman"/>
          <w:b/>
          <w:color w:val="auto"/>
          <w:sz w:val="72"/>
          <w:szCs w:val="72"/>
        </w:rPr>
      </w:pPr>
      <w:r>
        <w:rPr>
          <w:rFonts w:hint="default" w:ascii="Times New Roman" w:hAnsi="Times New Roman" w:eastAsia="宋体" w:cs="Times New Roman"/>
          <w:b/>
          <w:color w:val="auto"/>
          <w:sz w:val="72"/>
          <w:szCs w:val="72"/>
        </w:rPr>
        <w:t>建设项目环境影响报告表</w:t>
      </w:r>
      <w:bookmarkEnd w:id="1"/>
    </w:p>
    <w:p w14:paraId="4CB043C9">
      <w:pPr>
        <w:adjustRightInd w:val="0"/>
        <w:snapToGrid w:val="0"/>
        <w:spacing w:before="192" w:beforeLines="80"/>
        <w:jc w:val="center"/>
        <w:rPr>
          <w:rFonts w:hint="default" w:ascii="Times New Roman" w:hAnsi="Times New Roman" w:eastAsia="宋体" w:cs="Times New Roman"/>
          <w:bCs/>
          <w:color w:val="auto"/>
          <w:sz w:val="44"/>
          <w:szCs w:val="44"/>
        </w:rPr>
      </w:pPr>
      <w:r>
        <w:rPr>
          <w:rFonts w:hint="default" w:ascii="Times New Roman" w:hAnsi="Times New Roman" w:eastAsia="宋体" w:cs="Times New Roman"/>
          <w:bCs/>
          <w:color w:val="auto"/>
          <w:sz w:val="44"/>
          <w:szCs w:val="44"/>
        </w:rPr>
        <w:t>（污染影响类）</w:t>
      </w:r>
    </w:p>
    <w:p w14:paraId="2E1335F9">
      <w:pPr>
        <w:ind w:firstLine="1040"/>
        <w:rPr>
          <w:rFonts w:hint="default" w:ascii="Times New Roman" w:hAnsi="Times New Roman" w:eastAsia="宋体" w:cs="Times New Roman"/>
          <w:color w:val="auto"/>
          <w:sz w:val="44"/>
          <w:szCs w:val="44"/>
        </w:rPr>
      </w:pPr>
    </w:p>
    <w:p w14:paraId="08D5C735">
      <w:pPr>
        <w:ind w:firstLine="1040"/>
        <w:rPr>
          <w:rFonts w:hint="default" w:ascii="Times New Roman" w:hAnsi="Times New Roman" w:eastAsia="宋体" w:cs="Times New Roman"/>
          <w:color w:val="auto"/>
          <w:sz w:val="44"/>
          <w:szCs w:val="44"/>
        </w:rPr>
      </w:pPr>
    </w:p>
    <w:p w14:paraId="0181795F">
      <w:pPr>
        <w:pStyle w:val="6"/>
        <w:rPr>
          <w:rFonts w:hint="default" w:ascii="Times New Roman" w:hAnsi="Times New Roman" w:eastAsia="宋体" w:cs="Times New Roman"/>
          <w:color w:val="auto"/>
        </w:rPr>
      </w:pPr>
    </w:p>
    <w:p w14:paraId="1CC2EF94">
      <w:pPr>
        <w:ind w:firstLine="1040"/>
        <w:rPr>
          <w:rFonts w:hint="default" w:ascii="Times New Roman" w:hAnsi="Times New Roman" w:eastAsia="宋体" w:cs="Times New Roman"/>
          <w:color w:val="auto"/>
          <w:sz w:val="44"/>
          <w:szCs w:val="44"/>
        </w:rPr>
      </w:pPr>
    </w:p>
    <w:p w14:paraId="3CC601AF">
      <w:pPr>
        <w:adjustRightInd w:val="0"/>
        <w:snapToGrid w:val="0"/>
        <w:spacing w:line="480" w:lineRule="auto"/>
        <w:ind w:left="1925" w:leftChars="152" w:hanging="1606" w:hangingChars="500"/>
        <w:jc w:val="left"/>
        <w:rPr>
          <w:rFonts w:hint="default" w:ascii="Times New Roman" w:hAnsi="Times New Roman" w:eastAsia="宋体" w:cs="Times New Roman"/>
          <w:b/>
          <w:color w:val="auto"/>
          <w:sz w:val="32"/>
          <w:szCs w:val="32"/>
          <w:u w:val="single"/>
        </w:rPr>
      </w:pPr>
      <w:r>
        <w:rPr>
          <w:rFonts w:hint="default" w:ascii="Times New Roman" w:hAnsi="Times New Roman" w:eastAsia="宋体" w:cs="Times New Roman"/>
          <w:b/>
          <w:color w:val="auto"/>
          <w:sz w:val="32"/>
          <w:szCs w:val="32"/>
        </w:rPr>
        <w:t>项目名称：</w:t>
      </w:r>
      <w:r>
        <w:rPr>
          <w:rFonts w:hint="default" w:ascii="Times New Roman" w:hAnsi="Times New Roman" w:eastAsia="宋体" w:cs="Times New Roman"/>
          <w:b/>
          <w:color w:val="auto"/>
          <w:sz w:val="32"/>
          <w:szCs w:val="32"/>
          <w:u w:val="single"/>
          <w:lang w:val="en-US" w:eastAsia="zh-CN"/>
        </w:rPr>
        <w:t xml:space="preserve">  </w:t>
      </w:r>
      <w:r>
        <w:rPr>
          <w:rFonts w:hint="eastAsia" w:ascii="Times New Roman" w:hAnsi="Times New Roman" w:eastAsia="宋体" w:cs="Times New Roman"/>
          <w:b/>
          <w:color w:val="auto"/>
          <w:sz w:val="32"/>
          <w:szCs w:val="32"/>
          <w:u w:val="single"/>
          <w:lang w:val="en-US" w:eastAsia="zh-CN"/>
        </w:rPr>
        <w:t xml:space="preserve">    </w:t>
      </w:r>
      <w:r>
        <w:rPr>
          <w:rFonts w:hint="default" w:ascii="Times New Roman" w:hAnsi="Times New Roman" w:eastAsia="宋体" w:cs="Times New Roman"/>
          <w:b/>
          <w:color w:val="auto"/>
          <w:sz w:val="32"/>
          <w:szCs w:val="32"/>
          <w:u w:val="single"/>
          <w:lang w:val="en-US" w:eastAsia="zh-CN"/>
        </w:rPr>
        <w:t xml:space="preserve">汽车零配件热处理生产线项目 </w:t>
      </w:r>
      <w:r>
        <w:rPr>
          <w:rFonts w:hint="eastAsia" w:ascii="Times New Roman" w:hAnsi="Times New Roman" w:eastAsia="宋体" w:cs="Times New Roman"/>
          <w:b/>
          <w:color w:val="auto"/>
          <w:sz w:val="32"/>
          <w:szCs w:val="32"/>
          <w:u w:val="single"/>
          <w:lang w:val="en-US" w:eastAsia="zh-CN"/>
        </w:rPr>
        <w:t xml:space="preserve">     </w:t>
      </w:r>
      <w:r>
        <w:rPr>
          <w:rFonts w:hint="default" w:ascii="Times New Roman" w:hAnsi="Times New Roman" w:eastAsia="宋体" w:cs="Times New Roman"/>
          <w:b/>
          <w:color w:val="auto"/>
          <w:sz w:val="32"/>
          <w:szCs w:val="32"/>
          <w:u w:val="single"/>
        </w:rPr>
        <w:t xml:space="preserve">   </w:t>
      </w:r>
    </w:p>
    <w:p w14:paraId="6A5673A6">
      <w:pPr>
        <w:adjustRightInd w:val="0"/>
        <w:snapToGrid w:val="0"/>
        <w:spacing w:line="480" w:lineRule="auto"/>
        <w:ind w:firstLine="321" w:firstLineChars="100"/>
        <w:jc w:val="left"/>
        <w:rPr>
          <w:rFonts w:hint="default" w:ascii="Times New Roman" w:hAnsi="Times New Roman" w:eastAsia="宋体" w:cs="Times New Roman"/>
          <w:b/>
          <w:color w:val="auto"/>
          <w:sz w:val="32"/>
          <w:szCs w:val="32"/>
          <w:u w:val="thick"/>
        </w:rPr>
      </w:pPr>
      <w:r>
        <w:rPr>
          <w:rFonts w:hint="default" w:ascii="Times New Roman" w:hAnsi="Times New Roman" w:eastAsia="宋体" w:cs="Times New Roman"/>
          <w:b/>
          <w:color w:val="auto"/>
          <w:sz w:val="32"/>
          <w:szCs w:val="32"/>
        </w:rPr>
        <w:t>建设单位：</w:t>
      </w:r>
      <w:r>
        <w:rPr>
          <w:rFonts w:hint="default" w:ascii="Times New Roman" w:hAnsi="Times New Roman" w:eastAsia="宋体" w:cs="Times New Roman"/>
          <w:b/>
          <w:color w:val="auto"/>
          <w:sz w:val="32"/>
          <w:szCs w:val="32"/>
          <w:u w:val="single"/>
        </w:rPr>
        <w:t xml:space="preserve">  </w:t>
      </w:r>
      <w:r>
        <w:rPr>
          <w:rFonts w:hint="default" w:ascii="Times New Roman" w:hAnsi="Times New Roman" w:eastAsia="宋体" w:cs="Times New Roman"/>
          <w:b/>
          <w:color w:val="auto"/>
          <w:sz w:val="32"/>
          <w:szCs w:val="32"/>
          <w:u w:val="single"/>
          <w:lang w:val="en-US" w:eastAsia="zh-CN"/>
        </w:rPr>
        <w:t xml:space="preserve">   </w:t>
      </w:r>
      <w:r>
        <w:rPr>
          <w:rFonts w:hint="default" w:ascii="Times New Roman" w:hAnsi="Times New Roman" w:eastAsia="宋体" w:cs="Times New Roman"/>
          <w:bCs/>
          <w:color w:val="auto"/>
          <w:sz w:val="32"/>
          <w:szCs w:val="32"/>
          <w:u w:val="single"/>
          <w:lang w:val="en-US" w:eastAsia="zh-CN"/>
        </w:rPr>
        <w:t xml:space="preserve"> </w:t>
      </w:r>
      <w:r>
        <w:rPr>
          <w:rFonts w:hint="eastAsia" w:ascii="Times New Roman" w:hAnsi="Times New Roman" w:cs="Times New Roman"/>
          <w:bCs/>
          <w:color w:val="auto"/>
          <w:sz w:val="32"/>
          <w:szCs w:val="32"/>
          <w:u w:val="single"/>
          <w:lang w:val="en-US" w:eastAsia="zh-CN"/>
        </w:rPr>
        <w:t xml:space="preserve"> </w:t>
      </w:r>
      <w:r>
        <w:rPr>
          <w:rFonts w:hint="eastAsia" w:ascii="Times New Roman" w:hAnsi="Times New Roman" w:eastAsia="宋体" w:cs="Times New Roman"/>
          <w:b/>
          <w:color w:val="auto"/>
          <w:sz w:val="32"/>
          <w:szCs w:val="32"/>
          <w:u w:val="single"/>
          <w:lang w:val="en-US" w:eastAsia="zh-CN"/>
        </w:rPr>
        <w:t xml:space="preserve"> 淮南市双威热处理有限公司</w:t>
      </w:r>
      <w:r>
        <w:rPr>
          <w:rFonts w:hint="default" w:ascii="Times New Roman" w:hAnsi="Times New Roman" w:eastAsia="宋体" w:cs="Times New Roman"/>
          <w:b/>
          <w:color w:val="auto"/>
          <w:sz w:val="32"/>
          <w:szCs w:val="32"/>
          <w:u w:val="single"/>
          <w:lang w:val="en-US" w:eastAsia="zh-CN"/>
        </w:rPr>
        <w:t xml:space="preserve">  </w:t>
      </w:r>
      <w:r>
        <w:rPr>
          <w:rFonts w:hint="eastAsia" w:ascii="Times New Roman" w:hAnsi="Times New Roman" w:eastAsia="宋体" w:cs="Times New Roman"/>
          <w:b/>
          <w:color w:val="auto"/>
          <w:sz w:val="32"/>
          <w:szCs w:val="32"/>
          <w:u w:val="single"/>
          <w:lang w:val="en-US" w:eastAsia="zh-CN"/>
        </w:rPr>
        <w:t xml:space="preserve"> </w:t>
      </w:r>
      <w:r>
        <w:rPr>
          <w:rFonts w:hint="eastAsia" w:ascii="Times New Roman" w:hAnsi="Times New Roman" w:cs="Times New Roman"/>
          <w:b/>
          <w:color w:val="auto"/>
          <w:sz w:val="32"/>
          <w:szCs w:val="32"/>
          <w:u w:val="single"/>
          <w:lang w:val="en-US" w:eastAsia="zh-CN"/>
        </w:rPr>
        <w:t xml:space="preserve"> </w:t>
      </w:r>
      <w:r>
        <w:rPr>
          <w:rFonts w:hint="eastAsia" w:ascii="Times New Roman" w:hAnsi="Times New Roman" w:eastAsia="宋体" w:cs="Times New Roman"/>
          <w:b/>
          <w:color w:val="auto"/>
          <w:sz w:val="32"/>
          <w:szCs w:val="32"/>
          <w:u w:val="single"/>
          <w:lang w:val="en-US" w:eastAsia="zh-CN"/>
        </w:rPr>
        <w:t xml:space="preserve"> </w:t>
      </w:r>
      <w:r>
        <w:rPr>
          <w:rFonts w:hint="default" w:ascii="Times New Roman" w:hAnsi="Times New Roman" w:eastAsia="宋体" w:cs="Times New Roman"/>
          <w:b/>
          <w:color w:val="auto"/>
          <w:sz w:val="32"/>
          <w:szCs w:val="32"/>
          <w:u w:val="single"/>
          <w:lang w:val="en-US" w:eastAsia="zh-CN"/>
        </w:rPr>
        <w:t xml:space="preserve">  </w:t>
      </w:r>
      <w:r>
        <w:rPr>
          <w:rFonts w:hint="default" w:ascii="Times New Roman" w:hAnsi="Times New Roman" w:eastAsia="宋体" w:cs="Times New Roman"/>
          <w:b/>
          <w:color w:val="auto"/>
          <w:sz w:val="32"/>
          <w:szCs w:val="32"/>
          <w:u w:val="single"/>
        </w:rPr>
        <w:t xml:space="preserve">  </w:t>
      </w:r>
    </w:p>
    <w:p w14:paraId="26EABDED">
      <w:pPr>
        <w:adjustRightInd w:val="0"/>
        <w:snapToGrid w:val="0"/>
        <w:spacing w:line="480" w:lineRule="auto"/>
        <w:ind w:firstLine="321" w:firstLineChars="100"/>
        <w:jc w:val="left"/>
        <w:rPr>
          <w:rFonts w:hint="default" w:ascii="Times New Roman" w:hAnsi="Times New Roman" w:eastAsia="宋体" w:cs="Times New Roman"/>
          <w:b/>
          <w:color w:val="auto"/>
          <w:sz w:val="32"/>
          <w:szCs w:val="32"/>
          <w:u w:val="single"/>
        </w:rPr>
      </w:pPr>
      <w:r>
        <w:rPr>
          <w:rFonts w:hint="default" w:ascii="Times New Roman" w:hAnsi="Times New Roman" w:eastAsia="宋体" w:cs="Times New Roman"/>
          <w:b/>
          <w:color w:val="auto"/>
          <w:sz w:val="32"/>
          <w:szCs w:val="32"/>
        </w:rPr>
        <w:t>编制日期：</w:t>
      </w:r>
      <w:r>
        <w:rPr>
          <w:rFonts w:hint="default" w:ascii="Times New Roman" w:hAnsi="Times New Roman" w:eastAsia="宋体" w:cs="Times New Roman"/>
          <w:b/>
          <w:color w:val="auto"/>
          <w:sz w:val="32"/>
          <w:szCs w:val="32"/>
          <w:u w:val="single"/>
        </w:rPr>
        <w:t xml:space="preserve">           </w:t>
      </w:r>
      <w:r>
        <w:rPr>
          <w:rFonts w:hint="eastAsia" w:ascii="Times New Roman" w:hAnsi="Times New Roman" w:eastAsia="宋体" w:cs="Times New Roman"/>
          <w:b/>
          <w:color w:val="auto"/>
          <w:sz w:val="32"/>
          <w:szCs w:val="32"/>
          <w:u w:val="single"/>
          <w:lang w:val="en-US" w:eastAsia="zh-CN"/>
        </w:rPr>
        <w:t xml:space="preserve">  </w:t>
      </w:r>
      <w:r>
        <w:rPr>
          <w:rFonts w:hint="default" w:ascii="Times New Roman" w:hAnsi="Times New Roman" w:eastAsia="宋体" w:cs="Times New Roman"/>
          <w:b/>
          <w:color w:val="auto"/>
          <w:sz w:val="32"/>
          <w:szCs w:val="32"/>
          <w:u w:val="single"/>
        </w:rPr>
        <w:t xml:space="preserve"> 202</w:t>
      </w:r>
      <w:r>
        <w:rPr>
          <w:rFonts w:hint="eastAsia" w:ascii="Times New Roman" w:hAnsi="Times New Roman" w:cs="Times New Roman"/>
          <w:b/>
          <w:color w:val="auto"/>
          <w:sz w:val="32"/>
          <w:szCs w:val="32"/>
          <w:u w:val="single"/>
          <w:lang w:val="en-US" w:eastAsia="zh-CN"/>
        </w:rPr>
        <w:t>6</w:t>
      </w:r>
      <w:r>
        <w:rPr>
          <w:rFonts w:hint="default" w:ascii="Times New Roman" w:hAnsi="Times New Roman" w:eastAsia="宋体" w:cs="Times New Roman"/>
          <w:b/>
          <w:color w:val="auto"/>
          <w:sz w:val="32"/>
          <w:szCs w:val="32"/>
          <w:u w:val="single"/>
        </w:rPr>
        <w:t>年</w:t>
      </w:r>
      <w:r>
        <w:rPr>
          <w:rFonts w:hint="eastAsia" w:ascii="Times New Roman" w:hAnsi="Times New Roman" w:cs="Times New Roman"/>
          <w:b/>
          <w:color w:val="auto"/>
          <w:sz w:val="32"/>
          <w:szCs w:val="32"/>
          <w:u w:val="single"/>
          <w:lang w:val="en-US" w:eastAsia="zh-CN"/>
        </w:rPr>
        <w:t>7</w:t>
      </w:r>
      <w:r>
        <w:rPr>
          <w:rFonts w:hint="default" w:ascii="Times New Roman" w:hAnsi="Times New Roman" w:eastAsia="宋体" w:cs="Times New Roman"/>
          <w:b/>
          <w:color w:val="auto"/>
          <w:sz w:val="32"/>
          <w:szCs w:val="32"/>
          <w:u w:val="single"/>
        </w:rPr>
        <w:t xml:space="preserve">月   </w:t>
      </w:r>
      <w:r>
        <w:rPr>
          <w:rFonts w:hint="eastAsia" w:ascii="Times New Roman" w:hAnsi="Times New Roman" w:eastAsia="宋体" w:cs="Times New Roman"/>
          <w:b/>
          <w:color w:val="auto"/>
          <w:sz w:val="32"/>
          <w:szCs w:val="32"/>
          <w:u w:val="single"/>
          <w:lang w:val="en-US" w:eastAsia="zh-CN"/>
        </w:rPr>
        <w:t xml:space="preserve">  </w:t>
      </w:r>
      <w:r>
        <w:rPr>
          <w:rFonts w:hint="default" w:ascii="Times New Roman" w:hAnsi="Times New Roman" w:eastAsia="宋体" w:cs="Times New Roman"/>
          <w:b/>
          <w:color w:val="auto"/>
          <w:sz w:val="32"/>
          <w:szCs w:val="32"/>
          <w:u w:val="single"/>
        </w:rPr>
        <w:t xml:space="preserve">          </w:t>
      </w:r>
      <w:r>
        <w:rPr>
          <w:rFonts w:hint="eastAsia" w:ascii="Times New Roman" w:hAnsi="Times New Roman" w:cs="Times New Roman"/>
          <w:b/>
          <w:color w:val="auto"/>
          <w:sz w:val="32"/>
          <w:szCs w:val="32"/>
          <w:u w:val="single"/>
          <w:lang w:val="en-US" w:eastAsia="zh-CN"/>
        </w:rPr>
        <w:t xml:space="preserve"> </w:t>
      </w:r>
      <w:r>
        <w:rPr>
          <w:rFonts w:hint="default" w:ascii="Times New Roman" w:hAnsi="Times New Roman" w:eastAsia="宋体" w:cs="Times New Roman"/>
          <w:b/>
          <w:color w:val="auto"/>
          <w:sz w:val="32"/>
          <w:szCs w:val="32"/>
          <w:u w:val="single"/>
        </w:rPr>
        <w:t xml:space="preserve"> </w:t>
      </w:r>
    </w:p>
    <w:p w14:paraId="5F1CB7CF">
      <w:pPr>
        <w:adjustRightInd w:val="0"/>
        <w:snapToGrid w:val="0"/>
        <w:spacing w:line="288" w:lineRule="auto"/>
        <w:ind w:firstLine="1040"/>
        <w:rPr>
          <w:rFonts w:hint="default" w:ascii="Times New Roman" w:hAnsi="Times New Roman" w:eastAsia="宋体" w:cs="Times New Roman"/>
          <w:color w:val="auto"/>
          <w:sz w:val="36"/>
          <w:szCs w:val="36"/>
        </w:rPr>
      </w:pPr>
      <w:bookmarkStart w:id="2" w:name="_Hlk57884087"/>
    </w:p>
    <w:p w14:paraId="37884280">
      <w:pPr>
        <w:adjustRightInd w:val="0"/>
        <w:snapToGrid w:val="0"/>
        <w:spacing w:line="288" w:lineRule="auto"/>
        <w:rPr>
          <w:rFonts w:hint="default" w:ascii="Times New Roman" w:hAnsi="Times New Roman" w:eastAsia="宋体" w:cs="Times New Roman"/>
          <w:color w:val="auto"/>
          <w:sz w:val="36"/>
          <w:szCs w:val="36"/>
        </w:rPr>
      </w:pPr>
    </w:p>
    <w:p w14:paraId="3D514F4D">
      <w:pPr>
        <w:adjustRightInd w:val="0"/>
        <w:snapToGrid w:val="0"/>
        <w:spacing w:line="288" w:lineRule="auto"/>
        <w:rPr>
          <w:rFonts w:hint="default" w:ascii="Times New Roman" w:hAnsi="Times New Roman" w:eastAsia="宋体" w:cs="Times New Roman"/>
          <w:color w:val="auto"/>
          <w:sz w:val="36"/>
          <w:szCs w:val="36"/>
        </w:rPr>
      </w:pPr>
    </w:p>
    <w:bookmarkEnd w:id="2"/>
    <w:p w14:paraId="634DC588">
      <w:pPr>
        <w:adjustRightInd w:val="0"/>
        <w:snapToGrid w:val="0"/>
        <w:spacing w:line="288" w:lineRule="auto"/>
        <w:jc w:val="center"/>
        <w:rPr>
          <w:rFonts w:hint="default" w:ascii="Times New Roman" w:hAnsi="Times New Roman" w:eastAsia="宋体" w:cs="Times New Roman"/>
          <w:b/>
          <w:color w:val="auto"/>
          <w:sz w:val="32"/>
          <w:szCs w:val="32"/>
        </w:rPr>
      </w:pPr>
      <w:r>
        <w:rPr>
          <w:rFonts w:hint="default" w:ascii="Times New Roman" w:hAnsi="Times New Roman" w:eastAsia="宋体" w:cs="Times New Roman"/>
          <w:b/>
          <w:color w:val="auto"/>
          <w:sz w:val="32"/>
          <w:szCs w:val="32"/>
        </w:rPr>
        <w:t>中华人民共和国生态环境部制</w:t>
      </w:r>
    </w:p>
    <w:p w14:paraId="46B8CC94">
      <w:pPr>
        <w:adjustRightInd w:val="0"/>
        <w:snapToGrid w:val="0"/>
        <w:spacing w:line="288" w:lineRule="auto"/>
        <w:ind w:firstLine="1040"/>
        <w:rPr>
          <w:rFonts w:hint="default" w:ascii="Times New Roman" w:hAnsi="Times New Roman" w:eastAsia="宋体" w:cs="Times New Roman"/>
          <w:color w:val="auto"/>
          <w:sz w:val="36"/>
          <w:szCs w:val="36"/>
        </w:rPr>
      </w:pPr>
    </w:p>
    <w:p w14:paraId="683E34EE">
      <w:pPr>
        <w:spacing w:line="480" w:lineRule="auto"/>
        <w:jc w:val="center"/>
        <w:rPr>
          <w:rFonts w:hint="default" w:ascii="Times New Roman" w:hAnsi="Times New Roman" w:eastAsia="宋体" w:cs="Times New Roman"/>
          <w:b/>
          <w:color w:val="auto"/>
          <w:sz w:val="36"/>
          <w:szCs w:val="36"/>
        </w:rPr>
        <w:sectPr>
          <w:pgSz w:w="11906" w:h="16838"/>
          <w:pgMar w:top="1440" w:right="1440" w:bottom="1440" w:left="1440" w:header="851" w:footer="850" w:gutter="0"/>
          <w:pgBorders>
            <w:top w:val="none" w:sz="0" w:space="0"/>
            <w:left w:val="none" w:sz="0" w:space="0"/>
            <w:bottom w:val="none" w:sz="0" w:space="0"/>
            <w:right w:val="none" w:sz="0" w:space="0"/>
          </w:pgBorders>
          <w:pgNumType w:fmt="upperRoman" w:start="1"/>
          <w:cols w:space="720" w:num="1"/>
          <w:docGrid w:linePitch="312" w:charSpace="0"/>
        </w:sectPr>
      </w:pPr>
    </w:p>
    <w:p w14:paraId="0553075C">
      <w:pPr>
        <w:spacing w:line="480" w:lineRule="auto"/>
        <w:jc w:val="center"/>
        <w:rPr>
          <w:rFonts w:hint="default" w:ascii="Times New Roman" w:hAnsi="Times New Roman" w:eastAsia="宋体" w:cs="Times New Roman"/>
          <w:b/>
          <w:color w:val="0000FF"/>
          <w:sz w:val="36"/>
          <w:szCs w:val="36"/>
        </w:rPr>
      </w:pPr>
    </w:p>
    <w:p w14:paraId="3CDF0250">
      <w:pPr>
        <w:spacing w:line="480" w:lineRule="auto"/>
        <w:jc w:val="center"/>
        <w:rPr>
          <w:rFonts w:hint="default" w:ascii="Times New Roman" w:hAnsi="Times New Roman" w:eastAsia="宋体" w:cs="Times New Roman"/>
          <w:b/>
          <w:color w:val="auto"/>
          <w:sz w:val="36"/>
          <w:szCs w:val="36"/>
        </w:rPr>
      </w:pPr>
      <w:r>
        <w:rPr>
          <w:rFonts w:hint="default" w:ascii="Times New Roman" w:hAnsi="Times New Roman" w:eastAsia="宋体" w:cs="Times New Roman"/>
          <w:b/>
          <w:color w:val="auto"/>
          <w:sz w:val="36"/>
          <w:szCs w:val="36"/>
        </w:rPr>
        <w:t>目录</w:t>
      </w:r>
      <w:bookmarkEnd w:id="0"/>
    </w:p>
    <w:p w14:paraId="54CC0077">
      <w:pPr>
        <w:pStyle w:val="35"/>
        <w:tabs>
          <w:tab w:val="right" w:leader="dot" w:pos="9016"/>
        </w:tabs>
        <w:spacing w:line="480" w:lineRule="auto"/>
        <w:rPr>
          <w:rFonts w:hint="default" w:ascii="Times New Roman" w:hAnsi="Times New Roman" w:eastAsia="宋体" w:cs="Times New Roman"/>
          <w:color w:val="auto"/>
          <w:sz w:val="24"/>
        </w:rPr>
      </w:pPr>
      <w:r>
        <w:rPr>
          <w:rFonts w:hint="default" w:ascii="Times New Roman" w:hAnsi="Times New Roman" w:eastAsia="宋体" w:cs="Times New Roman"/>
          <w:snapToGrid w:val="0"/>
          <w:color w:val="auto"/>
          <w:sz w:val="24"/>
        </w:rPr>
        <w:fldChar w:fldCharType="begin"/>
      </w:r>
      <w:r>
        <w:rPr>
          <w:rFonts w:hint="default" w:ascii="Times New Roman" w:hAnsi="Times New Roman" w:eastAsia="宋体" w:cs="Times New Roman"/>
          <w:snapToGrid w:val="0"/>
          <w:color w:val="auto"/>
          <w:sz w:val="24"/>
        </w:rPr>
        <w:instrText xml:space="preserve"> TOC \o "1-2" \h \z \u </w:instrText>
      </w:r>
      <w:r>
        <w:rPr>
          <w:rFonts w:hint="default" w:ascii="Times New Roman" w:hAnsi="Times New Roman" w:eastAsia="宋体" w:cs="Times New Roman"/>
          <w:snapToGrid w:val="0"/>
          <w:color w:val="auto"/>
          <w:sz w:val="24"/>
        </w:rPr>
        <w:fldChar w:fldCharType="separate"/>
      </w:r>
      <w:r>
        <w:rPr>
          <w:rStyle w:val="59"/>
          <w:rFonts w:hint="default" w:ascii="Times New Roman" w:hAnsi="Times New Roman" w:eastAsia="宋体" w:cs="Times New Roman"/>
          <w:color w:val="auto"/>
          <w:sz w:val="24"/>
        </w:rPr>
        <w:fldChar w:fldCharType="begin"/>
      </w:r>
      <w:r>
        <w:rPr>
          <w:rStyle w:val="59"/>
          <w:rFonts w:hint="default" w:ascii="Times New Roman" w:hAnsi="Times New Roman" w:eastAsia="宋体" w:cs="Times New Roman"/>
          <w:color w:val="auto"/>
          <w:sz w:val="24"/>
        </w:rPr>
        <w:instrText xml:space="preserve"> </w:instrText>
      </w:r>
      <w:r>
        <w:rPr>
          <w:rFonts w:hint="default" w:ascii="Times New Roman" w:hAnsi="Times New Roman" w:eastAsia="宋体" w:cs="Times New Roman"/>
          <w:color w:val="auto"/>
          <w:sz w:val="24"/>
        </w:rPr>
        <w:instrText xml:space="preserve">HYPERLINK \l "_Toc120118372"</w:instrText>
      </w:r>
      <w:r>
        <w:rPr>
          <w:rStyle w:val="59"/>
          <w:rFonts w:hint="default" w:ascii="Times New Roman" w:hAnsi="Times New Roman" w:eastAsia="宋体" w:cs="Times New Roman"/>
          <w:color w:val="auto"/>
          <w:sz w:val="24"/>
        </w:rPr>
        <w:instrText xml:space="preserve"> </w:instrText>
      </w:r>
      <w:r>
        <w:rPr>
          <w:rStyle w:val="59"/>
          <w:rFonts w:hint="default" w:ascii="Times New Roman" w:hAnsi="Times New Roman" w:eastAsia="宋体" w:cs="Times New Roman"/>
          <w:color w:val="auto"/>
          <w:sz w:val="24"/>
        </w:rPr>
        <w:fldChar w:fldCharType="separate"/>
      </w:r>
      <w:r>
        <w:rPr>
          <w:rStyle w:val="59"/>
          <w:rFonts w:hint="default" w:ascii="Times New Roman" w:hAnsi="Times New Roman" w:eastAsia="宋体" w:cs="Times New Roman"/>
          <w:b/>
          <w:snapToGrid w:val="0"/>
          <w:color w:val="auto"/>
          <w:sz w:val="24"/>
        </w:rPr>
        <w:t>一、建设项目基本情况</w:t>
      </w:r>
      <w:r>
        <w:rPr>
          <w:rFonts w:hint="default" w:ascii="Times New Roman" w:hAnsi="Times New Roman" w:eastAsia="宋体" w:cs="Times New Roman"/>
          <w:color w:val="auto"/>
          <w:sz w:val="24"/>
        </w:rPr>
        <w:tab/>
      </w:r>
      <w:r>
        <w:rPr>
          <w:rFonts w:hint="default" w:ascii="Times New Roman" w:hAnsi="Times New Roman" w:eastAsia="宋体" w:cs="Times New Roman"/>
          <w:color w:val="auto"/>
          <w:sz w:val="24"/>
        </w:rPr>
        <w:fldChar w:fldCharType="begin"/>
      </w:r>
      <w:r>
        <w:rPr>
          <w:rFonts w:hint="default" w:ascii="Times New Roman" w:hAnsi="Times New Roman" w:eastAsia="宋体" w:cs="Times New Roman"/>
          <w:color w:val="auto"/>
          <w:sz w:val="24"/>
        </w:rPr>
        <w:instrText xml:space="preserve"> PAGEREF _Toc120118372 \h </w:instrText>
      </w:r>
      <w:r>
        <w:rPr>
          <w:rFonts w:hint="default" w:ascii="Times New Roman" w:hAnsi="Times New Roman" w:eastAsia="宋体" w:cs="Times New Roman"/>
          <w:color w:val="auto"/>
          <w:sz w:val="24"/>
        </w:rPr>
        <w:fldChar w:fldCharType="separate"/>
      </w:r>
      <w:r>
        <w:rPr>
          <w:rFonts w:hint="default" w:ascii="Times New Roman" w:hAnsi="Times New Roman" w:eastAsia="宋体" w:cs="Times New Roman"/>
          <w:color w:val="auto"/>
          <w:sz w:val="24"/>
        </w:rPr>
        <w:t>- 1 -</w:t>
      </w:r>
      <w:r>
        <w:rPr>
          <w:rFonts w:hint="default" w:ascii="Times New Roman" w:hAnsi="Times New Roman" w:eastAsia="宋体" w:cs="Times New Roman"/>
          <w:color w:val="auto"/>
          <w:sz w:val="24"/>
        </w:rPr>
        <w:fldChar w:fldCharType="end"/>
      </w:r>
      <w:r>
        <w:rPr>
          <w:rStyle w:val="59"/>
          <w:rFonts w:hint="default" w:ascii="Times New Roman" w:hAnsi="Times New Roman" w:eastAsia="宋体" w:cs="Times New Roman"/>
          <w:color w:val="auto"/>
          <w:sz w:val="24"/>
        </w:rPr>
        <w:fldChar w:fldCharType="end"/>
      </w:r>
    </w:p>
    <w:p w14:paraId="76AD8CB7">
      <w:pPr>
        <w:pStyle w:val="35"/>
        <w:tabs>
          <w:tab w:val="right" w:leader="dot" w:pos="9016"/>
        </w:tabs>
        <w:spacing w:line="480" w:lineRule="auto"/>
        <w:rPr>
          <w:rFonts w:hint="default" w:ascii="Times New Roman" w:hAnsi="Times New Roman" w:eastAsia="宋体" w:cs="Times New Roman"/>
          <w:color w:val="auto"/>
          <w:sz w:val="24"/>
        </w:rPr>
      </w:pPr>
      <w:r>
        <w:rPr>
          <w:rStyle w:val="59"/>
          <w:rFonts w:hint="default" w:ascii="Times New Roman" w:hAnsi="Times New Roman" w:eastAsia="宋体" w:cs="Times New Roman"/>
          <w:color w:val="auto"/>
          <w:sz w:val="24"/>
        </w:rPr>
        <w:fldChar w:fldCharType="begin"/>
      </w:r>
      <w:r>
        <w:rPr>
          <w:rStyle w:val="59"/>
          <w:rFonts w:hint="default" w:ascii="Times New Roman" w:hAnsi="Times New Roman" w:eastAsia="宋体" w:cs="Times New Roman"/>
          <w:color w:val="auto"/>
          <w:sz w:val="24"/>
        </w:rPr>
        <w:instrText xml:space="preserve"> </w:instrText>
      </w:r>
      <w:r>
        <w:rPr>
          <w:rFonts w:hint="default" w:ascii="Times New Roman" w:hAnsi="Times New Roman" w:eastAsia="宋体" w:cs="Times New Roman"/>
          <w:color w:val="auto"/>
          <w:sz w:val="24"/>
        </w:rPr>
        <w:instrText xml:space="preserve">HYPERLINK \l "_Toc120118373"</w:instrText>
      </w:r>
      <w:r>
        <w:rPr>
          <w:rStyle w:val="59"/>
          <w:rFonts w:hint="default" w:ascii="Times New Roman" w:hAnsi="Times New Roman" w:eastAsia="宋体" w:cs="Times New Roman"/>
          <w:color w:val="auto"/>
          <w:sz w:val="24"/>
        </w:rPr>
        <w:instrText xml:space="preserve"> </w:instrText>
      </w:r>
      <w:r>
        <w:rPr>
          <w:rStyle w:val="59"/>
          <w:rFonts w:hint="default" w:ascii="Times New Roman" w:hAnsi="Times New Roman" w:eastAsia="宋体" w:cs="Times New Roman"/>
          <w:color w:val="auto"/>
          <w:sz w:val="24"/>
        </w:rPr>
        <w:fldChar w:fldCharType="separate"/>
      </w:r>
      <w:r>
        <w:rPr>
          <w:rStyle w:val="59"/>
          <w:rFonts w:hint="default" w:ascii="Times New Roman" w:hAnsi="Times New Roman" w:eastAsia="宋体" w:cs="Times New Roman"/>
          <w:b/>
          <w:snapToGrid w:val="0"/>
          <w:color w:val="auto"/>
          <w:sz w:val="24"/>
        </w:rPr>
        <w:t>二、建设项目工程分析</w:t>
      </w:r>
      <w:r>
        <w:rPr>
          <w:rFonts w:hint="default" w:ascii="Times New Roman" w:hAnsi="Times New Roman" w:eastAsia="宋体" w:cs="Times New Roman"/>
          <w:color w:val="auto"/>
          <w:sz w:val="24"/>
        </w:rPr>
        <w:tab/>
      </w:r>
      <w:r>
        <w:rPr>
          <w:rFonts w:hint="default" w:ascii="Times New Roman" w:hAnsi="Times New Roman" w:eastAsia="宋体" w:cs="Times New Roman"/>
          <w:color w:val="auto"/>
          <w:sz w:val="24"/>
        </w:rPr>
        <w:fldChar w:fldCharType="begin"/>
      </w:r>
      <w:r>
        <w:rPr>
          <w:rFonts w:hint="default" w:ascii="Times New Roman" w:hAnsi="Times New Roman" w:eastAsia="宋体" w:cs="Times New Roman"/>
          <w:color w:val="auto"/>
          <w:sz w:val="24"/>
        </w:rPr>
        <w:instrText xml:space="preserve"> PAGEREF _Toc120118373 \h </w:instrText>
      </w:r>
      <w:r>
        <w:rPr>
          <w:rFonts w:hint="default" w:ascii="Times New Roman" w:hAnsi="Times New Roman" w:eastAsia="宋体" w:cs="Times New Roman"/>
          <w:color w:val="auto"/>
          <w:sz w:val="24"/>
        </w:rPr>
        <w:fldChar w:fldCharType="separate"/>
      </w:r>
      <w:r>
        <w:rPr>
          <w:rFonts w:hint="default" w:ascii="Times New Roman" w:hAnsi="Times New Roman" w:eastAsia="宋体" w:cs="Times New Roman"/>
          <w:color w:val="auto"/>
          <w:sz w:val="24"/>
        </w:rPr>
        <w:t>- 12 -</w:t>
      </w:r>
      <w:r>
        <w:rPr>
          <w:rFonts w:hint="default" w:ascii="Times New Roman" w:hAnsi="Times New Roman" w:eastAsia="宋体" w:cs="Times New Roman"/>
          <w:color w:val="auto"/>
          <w:sz w:val="24"/>
        </w:rPr>
        <w:fldChar w:fldCharType="end"/>
      </w:r>
      <w:r>
        <w:rPr>
          <w:rStyle w:val="59"/>
          <w:rFonts w:hint="default" w:ascii="Times New Roman" w:hAnsi="Times New Roman" w:eastAsia="宋体" w:cs="Times New Roman"/>
          <w:color w:val="auto"/>
          <w:sz w:val="24"/>
        </w:rPr>
        <w:fldChar w:fldCharType="end"/>
      </w:r>
    </w:p>
    <w:p w14:paraId="5794E239">
      <w:pPr>
        <w:pStyle w:val="35"/>
        <w:tabs>
          <w:tab w:val="right" w:leader="dot" w:pos="9016"/>
        </w:tabs>
        <w:spacing w:line="480" w:lineRule="auto"/>
        <w:rPr>
          <w:rFonts w:hint="default" w:ascii="Times New Roman" w:hAnsi="Times New Roman" w:eastAsia="宋体" w:cs="Times New Roman"/>
          <w:color w:val="auto"/>
          <w:sz w:val="24"/>
        </w:rPr>
      </w:pPr>
      <w:r>
        <w:rPr>
          <w:rStyle w:val="59"/>
          <w:rFonts w:hint="default" w:ascii="Times New Roman" w:hAnsi="Times New Roman" w:eastAsia="宋体" w:cs="Times New Roman"/>
          <w:color w:val="auto"/>
          <w:sz w:val="24"/>
        </w:rPr>
        <w:fldChar w:fldCharType="begin"/>
      </w:r>
      <w:r>
        <w:rPr>
          <w:rStyle w:val="59"/>
          <w:rFonts w:hint="default" w:ascii="Times New Roman" w:hAnsi="Times New Roman" w:eastAsia="宋体" w:cs="Times New Roman"/>
          <w:color w:val="auto"/>
          <w:sz w:val="24"/>
        </w:rPr>
        <w:instrText xml:space="preserve"> </w:instrText>
      </w:r>
      <w:r>
        <w:rPr>
          <w:rFonts w:hint="default" w:ascii="Times New Roman" w:hAnsi="Times New Roman" w:eastAsia="宋体" w:cs="Times New Roman"/>
          <w:color w:val="auto"/>
          <w:sz w:val="24"/>
        </w:rPr>
        <w:instrText xml:space="preserve">HYPERLINK \l "_Toc120118374"</w:instrText>
      </w:r>
      <w:r>
        <w:rPr>
          <w:rStyle w:val="59"/>
          <w:rFonts w:hint="default" w:ascii="Times New Roman" w:hAnsi="Times New Roman" w:eastAsia="宋体" w:cs="Times New Roman"/>
          <w:color w:val="auto"/>
          <w:sz w:val="24"/>
        </w:rPr>
        <w:instrText xml:space="preserve"> </w:instrText>
      </w:r>
      <w:r>
        <w:rPr>
          <w:rStyle w:val="59"/>
          <w:rFonts w:hint="default" w:ascii="Times New Roman" w:hAnsi="Times New Roman" w:eastAsia="宋体" w:cs="Times New Roman"/>
          <w:color w:val="auto"/>
          <w:sz w:val="24"/>
        </w:rPr>
        <w:fldChar w:fldCharType="separate"/>
      </w:r>
      <w:r>
        <w:rPr>
          <w:rStyle w:val="59"/>
          <w:rFonts w:hint="default" w:ascii="Times New Roman" w:hAnsi="Times New Roman" w:eastAsia="宋体" w:cs="Times New Roman"/>
          <w:b/>
          <w:snapToGrid w:val="0"/>
          <w:color w:val="auto"/>
          <w:sz w:val="24"/>
        </w:rPr>
        <w:t>三、区域环境质量现状、环境保护目标及评价标准</w:t>
      </w:r>
      <w:r>
        <w:rPr>
          <w:rFonts w:hint="default" w:ascii="Times New Roman" w:hAnsi="Times New Roman" w:eastAsia="宋体" w:cs="Times New Roman"/>
          <w:color w:val="auto"/>
          <w:sz w:val="24"/>
        </w:rPr>
        <w:tab/>
      </w:r>
      <w:r>
        <w:rPr>
          <w:rFonts w:hint="default" w:ascii="Times New Roman" w:hAnsi="Times New Roman" w:eastAsia="宋体" w:cs="Times New Roman"/>
          <w:color w:val="auto"/>
          <w:sz w:val="24"/>
        </w:rPr>
        <w:fldChar w:fldCharType="begin"/>
      </w:r>
      <w:r>
        <w:rPr>
          <w:rFonts w:hint="default" w:ascii="Times New Roman" w:hAnsi="Times New Roman" w:eastAsia="宋体" w:cs="Times New Roman"/>
          <w:color w:val="auto"/>
          <w:sz w:val="24"/>
        </w:rPr>
        <w:instrText xml:space="preserve"> PAGEREF _Toc120118374 \h </w:instrText>
      </w:r>
      <w:r>
        <w:rPr>
          <w:rFonts w:hint="default" w:ascii="Times New Roman" w:hAnsi="Times New Roman" w:eastAsia="宋体" w:cs="Times New Roman"/>
          <w:color w:val="auto"/>
          <w:sz w:val="24"/>
        </w:rPr>
        <w:fldChar w:fldCharType="separate"/>
      </w:r>
      <w:r>
        <w:rPr>
          <w:rFonts w:hint="default" w:ascii="Times New Roman" w:hAnsi="Times New Roman" w:eastAsia="宋体" w:cs="Times New Roman"/>
          <w:color w:val="auto"/>
          <w:sz w:val="24"/>
        </w:rPr>
        <w:t>- 22 -</w:t>
      </w:r>
      <w:r>
        <w:rPr>
          <w:rFonts w:hint="default" w:ascii="Times New Roman" w:hAnsi="Times New Roman" w:eastAsia="宋体" w:cs="Times New Roman"/>
          <w:color w:val="auto"/>
          <w:sz w:val="24"/>
        </w:rPr>
        <w:fldChar w:fldCharType="end"/>
      </w:r>
      <w:r>
        <w:rPr>
          <w:rStyle w:val="59"/>
          <w:rFonts w:hint="default" w:ascii="Times New Roman" w:hAnsi="Times New Roman" w:eastAsia="宋体" w:cs="Times New Roman"/>
          <w:color w:val="auto"/>
          <w:sz w:val="24"/>
        </w:rPr>
        <w:fldChar w:fldCharType="end"/>
      </w:r>
    </w:p>
    <w:p w14:paraId="36F1E06F">
      <w:pPr>
        <w:pStyle w:val="35"/>
        <w:tabs>
          <w:tab w:val="right" w:leader="dot" w:pos="9016"/>
        </w:tabs>
        <w:spacing w:line="480" w:lineRule="auto"/>
        <w:rPr>
          <w:rFonts w:hint="default" w:ascii="Times New Roman" w:hAnsi="Times New Roman" w:eastAsia="宋体" w:cs="Times New Roman"/>
          <w:color w:val="auto"/>
          <w:sz w:val="24"/>
        </w:rPr>
      </w:pPr>
      <w:r>
        <w:rPr>
          <w:rStyle w:val="59"/>
          <w:rFonts w:hint="default" w:ascii="Times New Roman" w:hAnsi="Times New Roman" w:eastAsia="宋体" w:cs="Times New Roman"/>
          <w:color w:val="auto"/>
          <w:sz w:val="24"/>
        </w:rPr>
        <w:fldChar w:fldCharType="begin"/>
      </w:r>
      <w:r>
        <w:rPr>
          <w:rStyle w:val="59"/>
          <w:rFonts w:hint="default" w:ascii="Times New Roman" w:hAnsi="Times New Roman" w:eastAsia="宋体" w:cs="Times New Roman"/>
          <w:color w:val="auto"/>
          <w:sz w:val="24"/>
        </w:rPr>
        <w:instrText xml:space="preserve"> </w:instrText>
      </w:r>
      <w:r>
        <w:rPr>
          <w:rFonts w:hint="default" w:ascii="Times New Roman" w:hAnsi="Times New Roman" w:eastAsia="宋体" w:cs="Times New Roman"/>
          <w:color w:val="auto"/>
          <w:sz w:val="24"/>
        </w:rPr>
        <w:instrText xml:space="preserve">HYPERLINK \l "_Toc120118375"</w:instrText>
      </w:r>
      <w:r>
        <w:rPr>
          <w:rStyle w:val="59"/>
          <w:rFonts w:hint="default" w:ascii="Times New Roman" w:hAnsi="Times New Roman" w:eastAsia="宋体" w:cs="Times New Roman"/>
          <w:color w:val="auto"/>
          <w:sz w:val="24"/>
        </w:rPr>
        <w:instrText xml:space="preserve"> </w:instrText>
      </w:r>
      <w:r>
        <w:rPr>
          <w:rStyle w:val="59"/>
          <w:rFonts w:hint="default" w:ascii="Times New Roman" w:hAnsi="Times New Roman" w:eastAsia="宋体" w:cs="Times New Roman"/>
          <w:color w:val="auto"/>
          <w:sz w:val="24"/>
        </w:rPr>
        <w:fldChar w:fldCharType="separate"/>
      </w:r>
      <w:r>
        <w:rPr>
          <w:rStyle w:val="59"/>
          <w:rFonts w:hint="default" w:ascii="Times New Roman" w:hAnsi="Times New Roman" w:eastAsia="宋体" w:cs="Times New Roman"/>
          <w:b/>
          <w:snapToGrid w:val="0"/>
          <w:color w:val="auto"/>
          <w:sz w:val="24"/>
        </w:rPr>
        <w:t>四、主要环境影响和保护措施</w:t>
      </w:r>
      <w:r>
        <w:rPr>
          <w:rFonts w:hint="default" w:ascii="Times New Roman" w:hAnsi="Times New Roman" w:eastAsia="宋体" w:cs="Times New Roman"/>
          <w:color w:val="auto"/>
          <w:sz w:val="24"/>
        </w:rPr>
        <w:tab/>
      </w:r>
      <w:r>
        <w:rPr>
          <w:rFonts w:hint="default" w:ascii="Times New Roman" w:hAnsi="Times New Roman" w:eastAsia="宋体" w:cs="Times New Roman"/>
          <w:color w:val="auto"/>
          <w:sz w:val="24"/>
        </w:rPr>
        <w:fldChar w:fldCharType="begin"/>
      </w:r>
      <w:r>
        <w:rPr>
          <w:rFonts w:hint="default" w:ascii="Times New Roman" w:hAnsi="Times New Roman" w:eastAsia="宋体" w:cs="Times New Roman"/>
          <w:color w:val="auto"/>
          <w:sz w:val="24"/>
        </w:rPr>
        <w:instrText xml:space="preserve"> PAGEREF _Toc120118375 \h </w:instrText>
      </w:r>
      <w:r>
        <w:rPr>
          <w:rFonts w:hint="default" w:ascii="Times New Roman" w:hAnsi="Times New Roman" w:eastAsia="宋体" w:cs="Times New Roman"/>
          <w:color w:val="auto"/>
          <w:sz w:val="24"/>
        </w:rPr>
        <w:fldChar w:fldCharType="separate"/>
      </w:r>
      <w:r>
        <w:rPr>
          <w:rFonts w:hint="default" w:ascii="Times New Roman" w:hAnsi="Times New Roman" w:eastAsia="宋体" w:cs="Times New Roman"/>
          <w:color w:val="auto"/>
          <w:sz w:val="24"/>
        </w:rPr>
        <w:t>- 29 -</w:t>
      </w:r>
      <w:r>
        <w:rPr>
          <w:rFonts w:hint="default" w:ascii="Times New Roman" w:hAnsi="Times New Roman" w:eastAsia="宋体" w:cs="Times New Roman"/>
          <w:color w:val="auto"/>
          <w:sz w:val="24"/>
        </w:rPr>
        <w:fldChar w:fldCharType="end"/>
      </w:r>
      <w:r>
        <w:rPr>
          <w:rStyle w:val="59"/>
          <w:rFonts w:hint="default" w:ascii="Times New Roman" w:hAnsi="Times New Roman" w:eastAsia="宋体" w:cs="Times New Roman"/>
          <w:color w:val="auto"/>
          <w:sz w:val="24"/>
        </w:rPr>
        <w:fldChar w:fldCharType="end"/>
      </w:r>
    </w:p>
    <w:p w14:paraId="0E7A8554">
      <w:pPr>
        <w:pStyle w:val="35"/>
        <w:tabs>
          <w:tab w:val="right" w:leader="dot" w:pos="9016"/>
        </w:tabs>
        <w:spacing w:line="480" w:lineRule="auto"/>
        <w:rPr>
          <w:rFonts w:hint="default" w:ascii="Times New Roman" w:hAnsi="Times New Roman" w:eastAsia="宋体" w:cs="Times New Roman"/>
          <w:color w:val="auto"/>
          <w:sz w:val="24"/>
        </w:rPr>
      </w:pPr>
      <w:r>
        <w:rPr>
          <w:rStyle w:val="59"/>
          <w:rFonts w:hint="default" w:ascii="Times New Roman" w:hAnsi="Times New Roman" w:eastAsia="宋体" w:cs="Times New Roman"/>
          <w:color w:val="auto"/>
          <w:sz w:val="24"/>
        </w:rPr>
        <w:fldChar w:fldCharType="begin"/>
      </w:r>
      <w:r>
        <w:rPr>
          <w:rStyle w:val="59"/>
          <w:rFonts w:hint="default" w:ascii="Times New Roman" w:hAnsi="Times New Roman" w:eastAsia="宋体" w:cs="Times New Roman"/>
          <w:color w:val="auto"/>
          <w:sz w:val="24"/>
        </w:rPr>
        <w:instrText xml:space="preserve"> </w:instrText>
      </w:r>
      <w:r>
        <w:rPr>
          <w:rFonts w:hint="default" w:ascii="Times New Roman" w:hAnsi="Times New Roman" w:eastAsia="宋体" w:cs="Times New Roman"/>
          <w:color w:val="auto"/>
          <w:sz w:val="24"/>
        </w:rPr>
        <w:instrText xml:space="preserve">HYPERLINK \l "_Toc120118376"</w:instrText>
      </w:r>
      <w:r>
        <w:rPr>
          <w:rStyle w:val="59"/>
          <w:rFonts w:hint="default" w:ascii="Times New Roman" w:hAnsi="Times New Roman" w:eastAsia="宋体" w:cs="Times New Roman"/>
          <w:color w:val="auto"/>
          <w:sz w:val="24"/>
        </w:rPr>
        <w:instrText xml:space="preserve"> </w:instrText>
      </w:r>
      <w:r>
        <w:rPr>
          <w:rStyle w:val="59"/>
          <w:rFonts w:hint="default" w:ascii="Times New Roman" w:hAnsi="Times New Roman" w:eastAsia="宋体" w:cs="Times New Roman"/>
          <w:color w:val="auto"/>
          <w:sz w:val="24"/>
        </w:rPr>
        <w:fldChar w:fldCharType="separate"/>
      </w:r>
      <w:r>
        <w:rPr>
          <w:rStyle w:val="59"/>
          <w:rFonts w:hint="default" w:ascii="Times New Roman" w:hAnsi="Times New Roman" w:eastAsia="宋体" w:cs="Times New Roman"/>
          <w:b/>
          <w:snapToGrid w:val="0"/>
          <w:color w:val="auto"/>
          <w:sz w:val="24"/>
        </w:rPr>
        <w:t>五、环境保护措施监督检查清单</w:t>
      </w:r>
      <w:r>
        <w:rPr>
          <w:rFonts w:hint="default" w:ascii="Times New Roman" w:hAnsi="Times New Roman" w:eastAsia="宋体" w:cs="Times New Roman"/>
          <w:color w:val="auto"/>
          <w:sz w:val="24"/>
        </w:rPr>
        <w:tab/>
      </w:r>
      <w:r>
        <w:rPr>
          <w:rFonts w:hint="default" w:ascii="Times New Roman" w:hAnsi="Times New Roman" w:eastAsia="宋体" w:cs="Times New Roman"/>
          <w:color w:val="auto"/>
          <w:sz w:val="24"/>
        </w:rPr>
        <w:fldChar w:fldCharType="begin"/>
      </w:r>
      <w:r>
        <w:rPr>
          <w:rFonts w:hint="default" w:ascii="Times New Roman" w:hAnsi="Times New Roman" w:eastAsia="宋体" w:cs="Times New Roman"/>
          <w:color w:val="auto"/>
          <w:sz w:val="24"/>
        </w:rPr>
        <w:instrText xml:space="preserve"> PAGEREF _Toc120118376 \h </w:instrText>
      </w:r>
      <w:r>
        <w:rPr>
          <w:rFonts w:hint="default" w:ascii="Times New Roman" w:hAnsi="Times New Roman" w:eastAsia="宋体" w:cs="Times New Roman"/>
          <w:color w:val="auto"/>
          <w:sz w:val="24"/>
        </w:rPr>
        <w:fldChar w:fldCharType="separate"/>
      </w:r>
      <w:r>
        <w:rPr>
          <w:rFonts w:hint="default" w:ascii="Times New Roman" w:hAnsi="Times New Roman" w:eastAsia="宋体" w:cs="Times New Roman"/>
          <w:color w:val="auto"/>
          <w:sz w:val="24"/>
        </w:rPr>
        <w:t>- 56 -</w:t>
      </w:r>
      <w:r>
        <w:rPr>
          <w:rFonts w:hint="default" w:ascii="Times New Roman" w:hAnsi="Times New Roman" w:eastAsia="宋体" w:cs="Times New Roman"/>
          <w:color w:val="auto"/>
          <w:sz w:val="24"/>
        </w:rPr>
        <w:fldChar w:fldCharType="end"/>
      </w:r>
      <w:r>
        <w:rPr>
          <w:rStyle w:val="59"/>
          <w:rFonts w:hint="default" w:ascii="Times New Roman" w:hAnsi="Times New Roman" w:eastAsia="宋体" w:cs="Times New Roman"/>
          <w:color w:val="auto"/>
          <w:sz w:val="24"/>
        </w:rPr>
        <w:fldChar w:fldCharType="end"/>
      </w:r>
    </w:p>
    <w:p w14:paraId="45DCC4D5">
      <w:pPr>
        <w:pStyle w:val="35"/>
        <w:tabs>
          <w:tab w:val="right" w:leader="dot" w:pos="9016"/>
        </w:tabs>
        <w:spacing w:line="480" w:lineRule="auto"/>
        <w:rPr>
          <w:rFonts w:hint="default" w:ascii="Times New Roman" w:hAnsi="Times New Roman" w:eastAsia="宋体" w:cs="Times New Roman"/>
          <w:color w:val="auto"/>
          <w:sz w:val="24"/>
        </w:rPr>
      </w:pPr>
      <w:r>
        <w:rPr>
          <w:rStyle w:val="59"/>
          <w:rFonts w:hint="default" w:ascii="Times New Roman" w:hAnsi="Times New Roman" w:eastAsia="宋体" w:cs="Times New Roman"/>
          <w:color w:val="auto"/>
          <w:sz w:val="24"/>
        </w:rPr>
        <w:fldChar w:fldCharType="begin"/>
      </w:r>
      <w:r>
        <w:rPr>
          <w:rStyle w:val="59"/>
          <w:rFonts w:hint="default" w:ascii="Times New Roman" w:hAnsi="Times New Roman" w:eastAsia="宋体" w:cs="Times New Roman"/>
          <w:color w:val="auto"/>
          <w:sz w:val="24"/>
        </w:rPr>
        <w:instrText xml:space="preserve"> </w:instrText>
      </w:r>
      <w:r>
        <w:rPr>
          <w:rFonts w:hint="default" w:ascii="Times New Roman" w:hAnsi="Times New Roman" w:eastAsia="宋体" w:cs="Times New Roman"/>
          <w:color w:val="auto"/>
          <w:sz w:val="24"/>
        </w:rPr>
        <w:instrText xml:space="preserve">HYPERLINK \l "_Toc120118377"</w:instrText>
      </w:r>
      <w:r>
        <w:rPr>
          <w:rStyle w:val="59"/>
          <w:rFonts w:hint="default" w:ascii="Times New Roman" w:hAnsi="Times New Roman" w:eastAsia="宋体" w:cs="Times New Roman"/>
          <w:color w:val="auto"/>
          <w:sz w:val="24"/>
        </w:rPr>
        <w:instrText xml:space="preserve"> </w:instrText>
      </w:r>
      <w:r>
        <w:rPr>
          <w:rStyle w:val="59"/>
          <w:rFonts w:hint="default" w:ascii="Times New Roman" w:hAnsi="Times New Roman" w:eastAsia="宋体" w:cs="Times New Roman"/>
          <w:color w:val="auto"/>
          <w:sz w:val="24"/>
        </w:rPr>
        <w:fldChar w:fldCharType="separate"/>
      </w:r>
      <w:r>
        <w:rPr>
          <w:rStyle w:val="59"/>
          <w:rFonts w:hint="default" w:ascii="Times New Roman" w:hAnsi="Times New Roman" w:eastAsia="宋体" w:cs="Times New Roman"/>
          <w:b/>
          <w:snapToGrid w:val="0"/>
          <w:color w:val="auto"/>
          <w:sz w:val="24"/>
        </w:rPr>
        <w:t>六、结论</w:t>
      </w:r>
      <w:r>
        <w:rPr>
          <w:rFonts w:hint="default" w:ascii="Times New Roman" w:hAnsi="Times New Roman" w:eastAsia="宋体" w:cs="Times New Roman"/>
          <w:color w:val="auto"/>
          <w:sz w:val="24"/>
        </w:rPr>
        <w:tab/>
      </w:r>
      <w:r>
        <w:rPr>
          <w:rFonts w:hint="default" w:ascii="Times New Roman" w:hAnsi="Times New Roman" w:eastAsia="宋体" w:cs="Times New Roman"/>
          <w:color w:val="auto"/>
          <w:sz w:val="24"/>
        </w:rPr>
        <w:fldChar w:fldCharType="begin"/>
      </w:r>
      <w:r>
        <w:rPr>
          <w:rFonts w:hint="default" w:ascii="Times New Roman" w:hAnsi="Times New Roman" w:eastAsia="宋体" w:cs="Times New Roman"/>
          <w:color w:val="auto"/>
          <w:sz w:val="24"/>
        </w:rPr>
        <w:instrText xml:space="preserve"> PAGEREF _Toc120118377 \h </w:instrText>
      </w:r>
      <w:r>
        <w:rPr>
          <w:rFonts w:hint="default" w:ascii="Times New Roman" w:hAnsi="Times New Roman" w:eastAsia="宋体" w:cs="Times New Roman"/>
          <w:color w:val="auto"/>
          <w:sz w:val="24"/>
        </w:rPr>
        <w:fldChar w:fldCharType="separate"/>
      </w:r>
      <w:r>
        <w:rPr>
          <w:rFonts w:hint="default" w:ascii="Times New Roman" w:hAnsi="Times New Roman" w:eastAsia="宋体" w:cs="Times New Roman"/>
          <w:color w:val="auto"/>
          <w:sz w:val="24"/>
        </w:rPr>
        <w:t>- 59 -</w:t>
      </w:r>
      <w:r>
        <w:rPr>
          <w:rFonts w:hint="default" w:ascii="Times New Roman" w:hAnsi="Times New Roman" w:eastAsia="宋体" w:cs="Times New Roman"/>
          <w:color w:val="auto"/>
          <w:sz w:val="24"/>
        </w:rPr>
        <w:fldChar w:fldCharType="end"/>
      </w:r>
      <w:r>
        <w:rPr>
          <w:rStyle w:val="59"/>
          <w:rFonts w:hint="default" w:ascii="Times New Roman" w:hAnsi="Times New Roman" w:eastAsia="宋体" w:cs="Times New Roman"/>
          <w:color w:val="auto"/>
          <w:sz w:val="24"/>
        </w:rPr>
        <w:fldChar w:fldCharType="end"/>
      </w:r>
    </w:p>
    <w:p w14:paraId="56175E17">
      <w:pPr>
        <w:pStyle w:val="35"/>
        <w:tabs>
          <w:tab w:val="right" w:leader="dot" w:pos="9016"/>
        </w:tabs>
        <w:spacing w:line="480" w:lineRule="auto"/>
        <w:rPr>
          <w:rFonts w:hint="default" w:ascii="Times New Roman" w:hAnsi="Times New Roman" w:eastAsia="宋体" w:cs="Times New Roman"/>
          <w:color w:val="auto"/>
          <w:sz w:val="24"/>
        </w:rPr>
      </w:pPr>
      <w:r>
        <w:rPr>
          <w:rStyle w:val="59"/>
          <w:rFonts w:hint="default" w:ascii="Times New Roman" w:hAnsi="Times New Roman" w:eastAsia="宋体" w:cs="Times New Roman"/>
          <w:color w:val="auto"/>
          <w:sz w:val="24"/>
        </w:rPr>
        <w:fldChar w:fldCharType="begin"/>
      </w:r>
      <w:r>
        <w:rPr>
          <w:rStyle w:val="59"/>
          <w:rFonts w:hint="default" w:ascii="Times New Roman" w:hAnsi="Times New Roman" w:eastAsia="宋体" w:cs="Times New Roman"/>
          <w:color w:val="auto"/>
          <w:sz w:val="24"/>
        </w:rPr>
        <w:instrText xml:space="preserve"> </w:instrText>
      </w:r>
      <w:r>
        <w:rPr>
          <w:rFonts w:hint="default" w:ascii="Times New Roman" w:hAnsi="Times New Roman" w:eastAsia="宋体" w:cs="Times New Roman"/>
          <w:color w:val="auto"/>
          <w:sz w:val="24"/>
        </w:rPr>
        <w:instrText xml:space="preserve">HYPERLINK \l "_Toc120118378"</w:instrText>
      </w:r>
      <w:r>
        <w:rPr>
          <w:rStyle w:val="59"/>
          <w:rFonts w:hint="default" w:ascii="Times New Roman" w:hAnsi="Times New Roman" w:eastAsia="宋体" w:cs="Times New Roman"/>
          <w:color w:val="auto"/>
          <w:sz w:val="24"/>
        </w:rPr>
        <w:instrText xml:space="preserve"> </w:instrText>
      </w:r>
      <w:r>
        <w:rPr>
          <w:rStyle w:val="59"/>
          <w:rFonts w:hint="default" w:ascii="Times New Roman" w:hAnsi="Times New Roman" w:eastAsia="宋体" w:cs="Times New Roman"/>
          <w:color w:val="auto"/>
          <w:sz w:val="24"/>
        </w:rPr>
        <w:fldChar w:fldCharType="separate"/>
      </w:r>
      <w:r>
        <w:rPr>
          <w:rStyle w:val="59"/>
          <w:rFonts w:hint="default" w:ascii="Times New Roman" w:hAnsi="Times New Roman" w:eastAsia="宋体" w:cs="Times New Roman"/>
          <w:b/>
          <w:snapToGrid w:val="0"/>
          <w:color w:val="auto"/>
          <w:sz w:val="24"/>
        </w:rPr>
        <w:t>附表</w:t>
      </w:r>
      <w:r>
        <w:rPr>
          <w:rFonts w:hint="default" w:ascii="Times New Roman" w:hAnsi="Times New Roman" w:eastAsia="宋体" w:cs="Times New Roman"/>
          <w:color w:val="auto"/>
          <w:sz w:val="24"/>
        </w:rPr>
        <w:tab/>
      </w:r>
      <w:r>
        <w:rPr>
          <w:rFonts w:hint="default" w:ascii="Times New Roman" w:hAnsi="Times New Roman" w:eastAsia="宋体" w:cs="Times New Roman"/>
          <w:color w:val="auto"/>
          <w:sz w:val="24"/>
        </w:rPr>
        <w:fldChar w:fldCharType="begin"/>
      </w:r>
      <w:r>
        <w:rPr>
          <w:rFonts w:hint="default" w:ascii="Times New Roman" w:hAnsi="Times New Roman" w:eastAsia="宋体" w:cs="Times New Roman"/>
          <w:color w:val="auto"/>
          <w:sz w:val="24"/>
        </w:rPr>
        <w:instrText xml:space="preserve"> PAGEREF _Toc120118378 \h </w:instrText>
      </w:r>
      <w:r>
        <w:rPr>
          <w:rFonts w:hint="default" w:ascii="Times New Roman" w:hAnsi="Times New Roman" w:eastAsia="宋体" w:cs="Times New Roman"/>
          <w:color w:val="auto"/>
          <w:sz w:val="24"/>
        </w:rPr>
        <w:fldChar w:fldCharType="separate"/>
      </w:r>
      <w:r>
        <w:rPr>
          <w:rFonts w:hint="default" w:ascii="Times New Roman" w:hAnsi="Times New Roman" w:eastAsia="宋体" w:cs="Times New Roman"/>
          <w:color w:val="auto"/>
          <w:sz w:val="24"/>
        </w:rPr>
        <w:t>60</w:t>
      </w:r>
      <w:r>
        <w:rPr>
          <w:rFonts w:hint="default" w:ascii="Times New Roman" w:hAnsi="Times New Roman" w:eastAsia="宋体" w:cs="Times New Roman"/>
          <w:color w:val="auto"/>
          <w:sz w:val="24"/>
        </w:rPr>
        <w:fldChar w:fldCharType="end"/>
      </w:r>
      <w:r>
        <w:rPr>
          <w:rStyle w:val="59"/>
          <w:rFonts w:hint="default" w:ascii="Times New Roman" w:hAnsi="Times New Roman" w:eastAsia="宋体" w:cs="Times New Roman"/>
          <w:color w:val="auto"/>
          <w:sz w:val="24"/>
        </w:rPr>
        <w:fldChar w:fldCharType="end"/>
      </w:r>
    </w:p>
    <w:p w14:paraId="40CA5841">
      <w:pPr>
        <w:spacing w:line="480" w:lineRule="auto"/>
        <w:rPr>
          <w:rFonts w:hint="default" w:ascii="Times New Roman" w:hAnsi="Times New Roman" w:eastAsia="宋体" w:cs="Times New Roman"/>
          <w:snapToGrid w:val="0"/>
          <w:color w:val="0000FF"/>
          <w:sz w:val="24"/>
        </w:rPr>
      </w:pPr>
      <w:r>
        <w:rPr>
          <w:rFonts w:hint="default" w:ascii="Times New Roman" w:hAnsi="Times New Roman" w:eastAsia="宋体" w:cs="Times New Roman"/>
          <w:snapToGrid w:val="0"/>
          <w:color w:val="auto"/>
          <w:sz w:val="24"/>
        </w:rPr>
        <w:fldChar w:fldCharType="end"/>
      </w:r>
    </w:p>
    <w:p w14:paraId="5F6E2461">
      <w:pPr>
        <w:spacing w:line="480" w:lineRule="auto"/>
        <w:rPr>
          <w:rFonts w:hint="default" w:ascii="Times New Roman" w:hAnsi="Times New Roman" w:eastAsia="宋体" w:cs="Times New Roman"/>
          <w:snapToGrid w:val="0"/>
          <w:color w:val="0000FF"/>
          <w:sz w:val="24"/>
        </w:rPr>
      </w:pPr>
    </w:p>
    <w:p w14:paraId="0E1F8675">
      <w:pPr>
        <w:spacing w:line="480" w:lineRule="auto"/>
        <w:rPr>
          <w:rFonts w:hint="default" w:ascii="Times New Roman" w:hAnsi="Times New Roman" w:eastAsia="宋体" w:cs="Times New Roman"/>
          <w:snapToGrid w:val="0"/>
          <w:color w:val="0000FF"/>
          <w:sz w:val="24"/>
        </w:rPr>
      </w:pPr>
    </w:p>
    <w:p w14:paraId="2339E06A">
      <w:pPr>
        <w:spacing w:line="360" w:lineRule="auto"/>
        <w:rPr>
          <w:rFonts w:hint="default" w:ascii="Times New Roman" w:hAnsi="Times New Roman" w:eastAsia="宋体" w:cs="Times New Roman"/>
          <w:snapToGrid w:val="0"/>
          <w:color w:val="0000FF"/>
          <w:sz w:val="24"/>
        </w:rPr>
      </w:pPr>
    </w:p>
    <w:p w14:paraId="672E31D3">
      <w:pPr>
        <w:spacing w:line="360" w:lineRule="auto"/>
        <w:rPr>
          <w:rFonts w:hint="default" w:ascii="Times New Roman" w:hAnsi="Times New Roman" w:eastAsia="宋体" w:cs="Times New Roman"/>
          <w:snapToGrid w:val="0"/>
          <w:color w:val="0000FF"/>
          <w:sz w:val="24"/>
        </w:rPr>
      </w:pPr>
    </w:p>
    <w:p w14:paraId="3B6D185C">
      <w:pPr>
        <w:spacing w:line="360" w:lineRule="auto"/>
        <w:rPr>
          <w:rFonts w:hint="default" w:ascii="Times New Roman" w:hAnsi="Times New Roman" w:eastAsia="宋体" w:cs="Times New Roman"/>
          <w:snapToGrid w:val="0"/>
          <w:color w:val="0000FF"/>
          <w:sz w:val="24"/>
        </w:rPr>
      </w:pPr>
    </w:p>
    <w:p w14:paraId="63F84D0F">
      <w:pPr>
        <w:spacing w:line="360" w:lineRule="auto"/>
        <w:rPr>
          <w:rFonts w:hint="default" w:ascii="Times New Roman" w:hAnsi="Times New Roman" w:eastAsia="宋体" w:cs="Times New Roman"/>
          <w:snapToGrid w:val="0"/>
          <w:color w:val="0000FF"/>
          <w:sz w:val="24"/>
        </w:rPr>
      </w:pPr>
    </w:p>
    <w:p w14:paraId="71BD5469">
      <w:pPr>
        <w:spacing w:line="360" w:lineRule="auto"/>
        <w:rPr>
          <w:rFonts w:hint="default" w:ascii="Times New Roman" w:hAnsi="Times New Roman" w:eastAsia="宋体" w:cs="Times New Roman"/>
          <w:snapToGrid w:val="0"/>
          <w:color w:val="0000FF"/>
          <w:sz w:val="24"/>
        </w:rPr>
      </w:pPr>
    </w:p>
    <w:p w14:paraId="23A7D0FF">
      <w:pPr>
        <w:spacing w:line="360" w:lineRule="auto"/>
        <w:rPr>
          <w:rFonts w:hint="default" w:ascii="Times New Roman" w:hAnsi="Times New Roman" w:eastAsia="宋体" w:cs="Times New Roman"/>
          <w:snapToGrid w:val="0"/>
          <w:color w:val="0000FF"/>
          <w:sz w:val="24"/>
        </w:rPr>
      </w:pPr>
    </w:p>
    <w:p w14:paraId="50650182">
      <w:pPr>
        <w:spacing w:line="360" w:lineRule="auto"/>
        <w:rPr>
          <w:rFonts w:hint="default" w:ascii="Times New Roman" w:hAnsi="Times New Roman" w:eastAsia="宋体" w:cs="Times New Roman"/>
          <w:snapToGrid w:val="0"/>
          <w:color w:val="0000FF"/>
          <w:sz w:val="24"/>
        </w:rPr>
      </w:pPr>
    </w:p>
    <w:p w14:paraId="6BCEE67B">
      <w:pPr>
        <w:spacing w:line="360" w:lineRule="auto"/>
        <w:rPr>
          <w:rFonts w:hint="default" w:ascii="Times New Roman" w:hAnsi="Times New Roman" w:eastAsia="宋体" w:cs="Times New Roman"/>
          <w:snapToGrid w:val="0"/>
          <w:color w:val="0000FF"/>
          <w:sz w:val="24"/>
        </w:rPr>
      </w:pPr>
    </w:p>
    <w:p w14:paraId="6096AFB0">
      <w:pPr>
        <w:spacing w:line="360" w:lineRule="auto"/>
        <w:rPr>
          <w:rFonts w:hint="default" w:ascii="Times New Roman" w:hAnsi="Times New Roman" w:eastAsia="宋体" w:cs="Times New Roman"/>
          <w:snapToGrid w:val="0"/>
          <w:color w:val="0000FF"/>
          <w:sz w:val="24"/>
        </w:rPr>
      </w:pPr>
    </w:p>
    <w:p w14:paraId="36C4799F">
      <w:pPr>
        <w:spacing w:line="360" w:lineRule="auto"/>
        <w:rPr>
          <w:rFonts w:hint="default" w:ascii="Times New Roman" w:hAnsi="Times New Roman" w:eastAsia="宋体" w:cs="Times New Roman"/>
          <w:snapToGrid w:val="0"/>
          <w:color w:val="0000FF"/>
          <w:sz w:val="24"/>
        </w:rPr>
      </w:pPr>
    </w:p>
    <w:p w14:paraId="7060CDDE">
      <w:pPr>
        <w:spacing w:line="360" w:lineRule="auto"/>
        <w:rPr>
          <w:rFonts w:hint="default" w:ascii="Times New Roman" w:hAnsi="Times New Roman" w:eastAsia="宋体" w:cs="Times New Roman"/>
          <w:snapToGrid w:val="0"/>
          <w:color w:val="0000FF"/>
          <w:sz w:val="24"/>
        </w:rPr>
      </w:pPr>
    </w:p>
    <w:p w14:paraId="1CF5035B">
      <w:pPr>
        <w:spacing w:line="360" w:lineRule="auto"/>
        <w:rPr>
          <w:rFonts w:hint="default" w:ascii="Times New Roman" w:hAnsi="Times New Roman" w:eastAsia="宋体" w:cs="Times New Roman"/>
          <w:snapToGrid w:val="0"/>
          <w:color w:val="0000FF"/>
          <w:sz w:val="24"/>
        </w:rPr>
      </w:pPr>
    </w:p>
    <w:p w14:paraId="6722F93F">
      <w:pPr>
        <w:spacing w:line="360" w:lineRule="auto"/>
        <w:rPr>
          <w:rFonts w:hint="default" w:ascii="Times New Roman" w:hAnsi="Times New Roman" w:eastAsia="宋体" w:cs="Times New Roman"/>
          <w:snapToGrid w:val="0"/>
          <w:color w:val="0000FF"/>
          <w:sz w:val="24"/>
        </w:rPr>
      </w:pPr>
    </w:p>
    <w:p w14:paraId="2F4E50AA">
      <w:pPr>
        <w:spacing w:line="360" w:lineRule="auto"/>
        <w:rPr>
          <w:rFonts w:hint="default" w:ascii="Times New Roman" w:hAnsi="Times New Roman" w:eastAsia="宋体" w:cs="Times New Roman"/>
          <w:snapToGrid w:val="0"/>
          <w:color w:val="0000FF"/>
          <w:sz w:val="24"/>
        </w:rPr>
      </w:pPr>
    </w:p>
    <w:p w14:paraId="64C6791D">
      <w:pPr>
        <w:keepNext w:val="0"/>
        <w:keepLines w:val="0"/>
        <w:pageBreakBefore w:val="0"/>
        <w:widowControl w:val="0"/>
        <w:kinsoku/>
        <w:wordWrap/>
        <w:overflowPunct/>
        <w:topLinePunct w:val="0"/>
        <w:autoSpaceDE/>
        <w:autoSpaceDN/>
        <w:bidi w:val="0"/>
        <w:adjustRightInd/>
        <w:snapToGrid/>
        <w:spacing w:line="440" w:lineRule="atLeast"/>
        <w:textAlignment w:val="auto"/>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附件：</w:t>
      </w:r>
    </w:p>
    <w:p w14:paraId="22D2DE8C">
      <w:pPr>
        <w:keepNext w:val="0"/>
        <w:keepLines w:val="0"/>
        <w:pageBreakBefore w:val="0"/>
        <w:widowControl w:val="0"/>
        <w:kinsoku/>
        <w:wordWrap/>
        <w:overflowPunct/>
        <w:topLinePunct w:val="0"/>
        <w:autoSpaceDE/>
        <w:autoSpaceDN/>
        <w:bidi w:val="0"/>
        <w:adjustRightInd/>
        <w:snapToGrid/>
        <w:spacing w:line="440" w:lineRule="atLeast"/>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 xml:space="preserve">      附件1  委托书</w:t>
      </w:r>
    </w:p>
    <w:p w14:paraId="1C0B0862">
      <w:pPr>
        <w:keepNext w:val="0"/>
        <w:keepLines w:val="0"/>
        <w:pageBreakBefore w:val="0"/>
        <w:widowControl w:val="0"/>
        <w:kinsoku/>
        <w:wordWrap/>
        <w:overflowPunct/>
        <w:topLinePunct w:val="0"/>
        <w:autoSpaceDE/>
        <w:autoSpaceDN/>
        <w:bidi w:val="0"/>
        <w:adjustRightInd/>
        <w:snapToGrid/>
        <w:spacing w:line="440" w:lineRule="atLeast"/>
        <w:ind w:firstLine="720" w:firstLineChars="3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附件2  项目备案</w:t>
      </w:r>
    </w:p>
    <w:p w14:paraId="570C1045">
      <w:pPr>
        <w:keepNext w:val="0"/>
        <w:keepLines w:val="0"/>
        <w:pageBreakBefore w:val="0"/>
        <w:widowControl w:val="0"/>
        <w:kinsoku/>
        <w:wordWrap/>
        <w:overflowPunct/>
        <w:topLinePunct w:val="0"/>
        <w:autoSpaceDE/>
        <w:autoSpaceDN/>
        <w:bidi w:val="0"/>
        <w:adjustRightInd/>
        <w:snapToGrid/>
        <w:spacing w:line="440" w:lineRule="atLeast"/>
        <w:ind w:firstLine="720" w:firstLineChars="3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附件3  关于环评报告</w:t>
      </w:r>
      <w:r>
        <w:rPr>
          <w:rFonts w:hint="eastAsia" w:ascii="Times New Roman" w:hAnsi="Times New Roman" w:eastAsia="宋体" w:cs="Times New Roman"/>
          <w:color w:val="auto"/>
          <w:sz w:val="24"/>
          <w:lang w:val="en-US" w:eastAsia="zh-CN"/>
        </w:rPr>
        <w:t>真实性承诺</w:t>
      </w:r>
    </w:p>
    <w:p w14:paraId="7CA8F161">
      <w:pPr>
        <w:keepNext w:val="0"/>
        <w:keepLines w:val="0"/>
        <w:pageBreakBefore w:val="0"/>
        <w:widowControl w:val="0"/>
        <w:kinsoku/>
        <w:wordWrap/>
        <w:overflowPunct/>
        <w:topLinePunct w:val="0"/>
        <w:autoSpaceDE/>
        <w:autoSpaceDN/>
        <w:bidi w:val="0"/>
        <w:adjustRightInd/>
        <w:snapToGrid/>
        <w:spacing w:line="440" w:lineRule="atLeast"/>
        <w:ind w:firstLine="720" w:firstLineChars="3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 xml:space="preserve">附件4  </w:t>
      </w:r>
      <w:r>
        <w:rPr>
          <w:rFonts w:hint="eastAsia" w:ascii="Times New Roman" w:hAnsi="Times New Roman" w:eastAsia="宋体" w:cs="Times New Roman"/>
          <w:color w:val="auto"/>
          <w:sz w:val="24"/>
          <w:lang w:val="en-US" w:eastAsia="zh-CN"/>
        </w:rPr>
        <w:t>营业执照及法人身份证</w:t>
      </w:r>
    </w:p>
    <w:p w14:paraId="11D12719">
      <w:pPr>
        <w:keepNext w:val="0"/>
        <w:keepLines w:val="0"/>
        <w:pageBreakBefore w:val="0"/>
        <w:widowControl w:val="0"/>
        <w:kinsoku/>
        <w:wordWrap/>
        <w:overflowPunct/>
        <w:topLinePunct w:val="0"/>
        <w:autoSpaceDE/>
        <w:autoSpaceDN/>
        <w:bidi w:val="0"/>
        <w:adjustRightInd/>
        <w:snapToGrid/>
        <w:spacing w:line="440" w:lineRule="atLeast"/>
        <w:ind w:firstLine="720" w:firstLineChars="3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 xml:space="preserve">附件5  </w:t>
      </w:r>
      <w:r>
        <w:rPr>
          <w:rFonts w:hint="eastAsia" w:ascii="Times New Roman" w:hAnsi="Times New Roman" w:cs="Times New Roman"/>
          <w:color w:val="auto"/>
          <w:sz w:val="24"/>
          <w:lang w:val="en-US" w:eastAsia="zh-CN"/>
        </w:rPr>
        <w:t>不动产证</w:t>
      </w:r>
    </w:p>
    <w:p w14:paraId="53FDAF01">
      <w:pPr>
        <w:keepNext w:val="0"/>
        <w:keepLines w:val="0"/>
        <w:pageBreakBefore w:val="0"/>
        <w:widowControl w:val="0"/>
        <w:kinsoku/>
        <w:wordWrap/>
        <w:overflowPunct/>
        <w:topLinePunct w:val="0"/>
        <w:autoSpaceDE/>
        <w:autoSpaceDN/>
        <w:bidi w:val="0"/>
        <w:adjustRightInd/>
        <w:snapToGrid/>
        <w:spacing w:line="440" w:lineRule="atLeast"/>
        <w:ind w:firstLine="720" w:firstLineChars="3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 xml:space="preserve">附件6  </w:t>
      </w:r>
      <w:r>
        <w:rPr>
          <w:rFonts w:hint="eastAsia" w:ascii="Times New Roman" w:hAnsi="Times New Roman" w:cs="Times New Roman"/>
          <w:color w:val="auto"/>
          <w:sz w:val="24"/>
          <w:lang w:val="en-US" w:eastAsia="zh-CN"/>
        </w:rPr>
        <w:t>租赁合同</w:t>
      </w:r>
    </w:p>
    <w:p w14:paraId="0A9BF5FD">
      <w:pPr>
        <w:keepNext w:val="0"/>
        <w:keepLines w:val="0"/>
        <w:pageBreakBefore w:val="0"/>
        <w:widowControl w:val="0"/>
        <w:kinsoku/>
        <w:wordWrap/>
        <w:overflowPunct/>
        <w:topLinePunct w:val="0"/>
        <w:autoSpaceDE/>
        <w:autoSpaceDN/>
        <w:bidi w:val="0"/>
        <w:adjustRightInd/>
        <w:snapToGrid/>
        <w:spacing w:line="440" w:lineRule="atLeast"/>
        <w:ind w:firstLine="720" w:firstLineChars="300"/>
        <w:textAlignment w:val="auto"/>
        <w:rPr>
          <w:rFonts w:hint="default" w:ascii="Times New Roman" w:hAnsi="Times New Roman" w:eastAsia="宋体" w:cs="Times New Roman"/>
          <w:b/>
          <w:color w:val="auto"/>
          <w:sz w:val="24"/>
        </w:rPr>
      </w:pPr>
      <w:r>
        <w:rPr>
          <w:rFonts w:hint="default" w:ascii="Times New Roman" w:hAnsi="Times New Roman" w:eastAsia="宋体" w:cs="Times New Roman"/>
          <w:color w:val="auto"/>
          <w:sz w:val="24"/>
        </w:rPr>
        <w:t>附件</w:t>
      </w:r>
      <w:r>
        <w:rPr>
          <w:rFonts w:hint="eastAsia" w:ascii="Times New Roman" w:hAnsi="Times New Roman" w:eastAsia="宋体" w:cs="Times New Roman"/>
          <w:color w:val="auto"/>
          <w:sz w:val="24"/>
          <w:lang w:val="en-US" w:eastAsia="zh-CN"/>
        </w:rPr>
        <w:t>7</w:t>
      </w:r>
      <w:r>
        <w:rPr>
          <w:rFonts w:hint="default" w:ascii="Times New Roman" w:hAnsi="Times New Roman" w:eastAsia="宋体" w:cs="Times New Roman"/>
          <w:color w:val="auto"/>
          <w:sz w:val="24"/>
        </w:rPr>
        <w:t xml:space="preserve">  </w:t>
      </w:r>
      <w:r>
        <w:rPr>
          <w:rFonts w:hint="eastAsia" w:ascii="Times New Roman" w:hAnsi="Times New Roman" w:cs="Times New Roman"/>
          <w:color w:val="auto"/>
          <w:sz w:val="24"/>
          <w:lang w:val="en-US" w:eastAsia="zh-CN"/>
        </w:rPr>
        <w:t>淬火油MSDS</w:t>
      </w:r>
    </w:p>
    <w:p w14:paraId="7DDBDC97">
      <w:pPr>
        <w:keepNext w:val="0"/>
        <w:keepLines w:val="0"/>
        <w:pageBreakBefore w:val="0"/>
        <w:widowControl w:val="0"/>
        <w:kinsoku/>
        <w:wordWrap/>
        <w:overflowPunct/>
        <w:topLinePunct w:val="0"/>
        <w:autoSpaceDE/>
        <w:autoSpaceDN/>
        <w:bidi w:val="0"/>
        <w:adjustRightInd/>
        <w:snapToGrid/>
        <w:spacing w:line="440" w:lineRule="atLeast"/>
        <w:textAlignment w:val="auto"/>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附图：</w:t>
      </w:r>
    </w:p>
    <w:p w14:paraId="1E98B375">
      <w:pPr>
        <w:keepNext w:val="0"/>
        <w:keepLines w:val="0"/>
        <w:pageBreakBefore w:val="0"/>
        <w:widowControl w:val="0"/>
        <w:kinsoku/>
        <w:wordWrap/>
        <w:overflowPunct/>
        <w:topLinePunct w:val="0"/>
        <w:autoSpaceDE/>
        <w:autoSpaceDN/>
        <w:bidi w:val="0"/>
        <w:adjustRightInd/>
        <w:snapToGrid/>
        <w:spacing w:line="440" w:lineRule="atLeast"/>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 xml:space="preserve">      附图1  项目地理位置图</w:t>
      </w:r>
    </w:p>
    <w:p w14:paraId="516C8683">
      <w:pPr>
        <w:keepNext w:val="0"/>
        <w:keepLines w:val="0"/>
        <w:pageBreakBefore w:val="0"/>
        <w:widowControl w:val="0"/>
        <w:kinsoku/>
        <w:wordWrap/>
        <w:overflowPunct/>
        <w:topLinePunct w:val="0"/>
        <w:autoSpaceDE/>
        <w:autoSpaceDN/>
        <w:bidi w:val="0"/>
        <w:adjustRightInd/>
        <w:snapToGrid/>
        <w:spacing w:line="440" w:lineRule="atLeast"/>
        <w:ind w:firstLine="720" w:firstLineChars="3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附图2  项目四至关系图</w:t>
      </w:r>
    </w:p>
    <w:p w14:paraId="2C1BDF60">
      <w:pPr>
        <w:keepNext w:val="0"/>
        <w:keepLines w:val="0"/>
        <w:pageBreakBefore w:val="0"/>
        <w:widowControl w:val="0"/>
        <w:kinsoku/>
        <w:wordWrap/>
        <w:overflowPunct/>
        <w:topLinePunct w:val="0"/>
        <w:autoSpaceDE/>
        <w:autoSpaceDN/>
        <w:bidi w:val="0"/>
        <w:adjustRightInd/>
        <w:snapToGrid/>
        <w:spacing w:line="440" w:lineRule="atLeast"/>
        <w:ind w:firstLine="720" w:firstLineChars="3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附图3  引用数据现状监测点位与本项目位置关系图</w:t>
      </w:r>
    </w:p>
    <w:p w14:paraId="0F340B4B">
      <w:pPr>
        <w:keepNext w:val="0"/>
        <w:keepLines w:val="0"/>
        <w:pageBreakBefore w:val="0"/>
        <w:widowControl w:val="0"/>
        <w:kinsoku/>
        <w:wordWrap/>
        <w:overflowPunct/>
        <w:topLinePunct w:val="0"/>
        <w:autoSpaceDE/>
        <w:autoSpaceDN/>
        <w:bidi w:val="0"/>
        <w:adjustRightInd/>
        <w:snapToGrid/>
        <w:spacing w:line="440" w:lineRule="atLeast"/>
        <w:ind w:firstLine="720" w:firstLineChars="3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 xml:space="preserve">附图4  </w:t>
      </w:r>
      <w:r>
        <w:rPr>
          <w:rFonts w:hint="eastAsia" w:ascii="Times New Roman" w:hAnsi="Times New Roman" w:eastAsia="宋体" w:cs="Times New Roman"/>
          <w:color w:val="auto"/>
          <w:sz w:val="24"/>
          <w:lang w:val="en-US" w:eastAsia="zh-CN"/>
        </w:rPr>
        <w:t>项目周边500m范围内敏感点分布图</w:t>
      </w:r>
    </w:p>
    <w:p w14:paraId="050E5FBE">
      <w:pPr>
        <w:keepNext w:val="0"/>
        <w:keepLines w:val="0"/>
        <w:pageBreakBefore w:val="0"/>
        <w:widowControl w:val="0"/>
        <w:kinsoku/>
        <w:wordWrap/>
        <w:overflowPunct/>
        <w:topLinePunct w:val="0"/>
        <w:autoSpaceDE/>
        <w:autoSpaceDN/>
        <w:bidi w:val="0"/>
        <w:adjustRightInd/>
        <w:snapToGrid/>
        <w:spacing w:line="440" w:lineRule="atLeast"/>
        <w:ind w:firstLine="720" w:firstLineChars="3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附图5  项目平面布置图</w:t>
      </w:r>
    </w:p>
    <w:p w14:paraId="714722DA">
      <w:pPr>
        <w:keepNext w:val="0"/>
        <w:keepLines w:val="0"/>
        <w:pageBreakBefore w:val="0"/>
        <w:widowControl w:val="0"/>
        <w:kinsoku/>
        <w:wordWrap/>
        <w:overflowPunct/>
        <w:topLinePunct w:val="0"/>
        <w:autoSpaceDE/>
        <w:autoSpaceDN/>
        <w:bidi w:val="0"/>
        <w:adjustRightInd/>
        <w:snapToGrid/>
        <w:spacing w:line="440" w:lineRule="atLeast"/>
        <w:ind w:firstLine="720" w:firstLineChars="3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 xml:space="preserve">附图6  </w:t>
      </w:r>
      <w:r>
        <w:rPr>
          <w:rFonts w:hint="eastAsia" w:ascii="Times New Roman" w:hAnsi="Times New Roman" w:eastAsia="宋体" w:cs="Times New Roman"/>
          <w:color w:val="auto"/>
          <w:sz w:val="24"/>
          <w:lang w:val="en-US" w:eastAsia="zh-CN"/>
        </w:rPr>
        <w:t>项目</w:t>
      </w:r>
      <w:r>
        <w:rPr>
          <w:rFonts w:hint="default" w:ascii="Times New Roman" w:hAnsi="Times New Roman" w:eastAsia="宋体" w:cs="Times New Roman"/>
          <w:color w:val="auto"/>
          <w:sz w:val="24"/>
        </w:rPr>
        <w:t>废气收集管线及分区防渗图</w:t>
      </w:r>
    </w:p>
    <w:p w14:paraId="151AFE14">
      <w:pPr>
        <w:keepNext w:val="0"/>
        <w:keepLines w:val="0"/>
        <w:pageBreakBefore w:val="0"/>
        <w:widowControl w:val="0"/>
        <w:kinsoku/>
        <w:wordWrap/>
        <w:overflowPunct/>
        <w:topLinePunct w:val="0"/>
        <w:autoSpaceDE/>
        <w:autoSpaceDN/>
        <w:bidi w:val="0"/>
        <w:adjustRightInd/>
        <w:snapToGrid/>
        <w:spacing w:line="440" w:lineRule="atLeast"/>
        <w:ind w:firstLine="720" w:firstLineChars="3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附图7  雨污管网图</w:t>
      </w:r>
    </w:p>
    <w:p w14:paraId="52DD944F">
      <w:pPr>
        <w:keepNext w:val="0"/>
        <w:keepLines w:val="0"/>
        <w:pageBreakBefore w:val="0"/>
        <w:widowControl w:val="0"/>
        <w:kinsoku/>
        <w:wordWrap/>
        <w:overflowPunct/>
        <w:topLinePunct w:val="0"/>
        <w:autoSpaceDE/>
        <w:autoSpaceDN/>
        <w:bidi w:val="0"/>
        <w:adjustRightInd/>
        <w:snapToGrid/>
        <w:spacing w:line="440" w:lineRule="atLeast"/>
        <w:ind w:firstLine="720" w:firstLineChars="300"/>
        <w:textAlignment w:val="auto"/>
        <w:rPr>
          <w:rFonts w:hint="default" w:ascii="Times New Roman" w:hAnsi="Times New Roman" w:eastAsia="宋体" w:cs="Times New Roman"/>
          <w:color w:val="0000FF"/>
          <w:sz w:val="24"/>
        </w:rPr>
      </w:pPr>
      <w:r>
        <w:rPr>
          <w:rFonts w:hint="default" w:ascii="Times New Roman" w:hAnsi="Times New Roman" w:eastAsia="宋体" w:cs="Times New Roman"/>
          <w:color w:val="auto"/>
          <w:sz w:val="24"/>
        </w:rPr>
        <w:t>附图8  安徽</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三线一单</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管控要求线上查询</w:t>
      </w:r>
    </w:p>
    <w:p w14:paraId="0E6A8EE2">
      <w:pPr>
        <w:pStyle w:val="62"/>
        <w:bidi w:val="0"/>
        <w:ind w:firstLine="720" w:firstLineChars="300"/>
        <w:rPr>
          <w:rFonts w:hint="default" w:ascii="Times New Roman" w:hAnsi="Times New Roman" w:eastAsia="宋体" w:cs="Times New Roman"/>
          <w:color w:val="0000FF"/>
          <w:lang w:val="en-US" w:eastAsia="zh-CN"/>
        </w:rPr>
        <w:sectPr>
          <w:footerReference r:id="rId3" w:type="default"/>
          <w:pgSz w:w="11906" w:h="16838"/>
          <w:pgMar w:top="1440" w:right="1440" w:bottom="1440" w:left="1440" w:header="851" w:footer="850" w:gutter="0"/>
          <w:pgBorders>
            <w:top w:val="none" w:sz="0" w:space="0"/>
            <w:left w:val="none" w:sz="0" w:space="0"/>
            <w:bottom w:val="none" w:sz="0" w:space="0"/>
            <w:right w:val="none" w:sz="0" w:space="0"/>
          </w:pgBorders>
          <w:pgNumType w:fmt="upperRoman" w:start="1"/>
          <w:cols w:space="720" w:num="1"/>
          <w:docGrid w:linePitch="312" w:charSpace="0"/>
        </w:sectPr>
      </w:pPr>
    </w:p>
    <w:p w14:paraId="7292FE86">
      <w:pPr>
        <w:pStyle w:val="46"/>
        <w:spacing w:before="72" w:beforeLines="30" w:beforeAutospacing="0" w:after="0" w:afterAutospacing="0" w:line="360" w:lineRule="auto"/>
        <w:jc w:val="center"/>
        <w:outlineLvl w:val="0"/>
        <w:rPr>
          <w:rFonts w:hint="default" w:ascii="Times New Roman" w:hAnsi="Times New Roman" w:eastAsia="宋体" w:cs="Times New Roman"/>
          <w:b/>
          <w:snapToGrid w:val="0"/>
          <w:color w:val="auto"/>
          <w:sz w:val="28"/>
          <w:szCs w:val="28"/>
        </w:rPr>
      </w:pPr>
      <w:bookmarkStart w:id="3" w:name="_Toc76406935"/>
      <w:bookmarkStart w:id="4" w:name="_Toc120118372"/>
      <w:r>
        <w:rPr>
          <w:rFonts w:hint="default" w:ascii="Times New Roman" w:hAnsi="Times New Roman" w:eastAsia="宋体" w:cs="Times New Roman"/>
          <w:b/>
          <w:snapToGrid w:val="0"/>
          <w:color w:val="auto"/>
          <w:sz w:val="28"/>
          <w:szCs w:val="28"/>
        </w:rPr>
        <w:t>一、建设项目基本情况</w:t>
      </w:r>
      <w:bookmarkEnd w:id="3"/>
      <w:bookmarkEnd w:id="4"/>
    </w:p>
    <w:tbl>
      <w:tblPr>
        <w:tblStyle w:val="52"/>
        <w:tblW w:w="920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862"/>
        <w:gridCol w:w="319"/>
        <w:gridCol w:w="2723"/>
        <w:gridCol w:w="1584"/>
        <w:gridCol w:w="3713"/>
      </w:tblGrid>
      <w:tr w14:paraId="7E82BD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8" w:hRule="atLeast"/>
          <w:jc w:val="center"/>
        </w:trPr>
        <w:tc>
          <w:tcPr>
            <w:tcW w:w="1181" w:type="dxa"/>
            <w:gridSpan w:val="2"/>
            <w:noWrap w:val="0"/>
            <w:tcMar>
              <w:top w:w="16" w:type="dxa"/>
              <w:left w:w="16" w:type="dxa"/>
              <w:right w:w="16" w:type="dxa"/>
            </w:tcMar>
            <w:vAlign w:val="center"/>
          </w:tcPr>
          <w:p w14:paraId="53F747FD">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建设项目</w:t>
            </w:r>
          </w:p>
          <w:p w14:paraId="38F27A2F">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名称</w:t>
            </w:r>
          </w:p>
        </w:tc>
        <w:tc>
          <w:tcPr>
            <w:tcW w:w="8020" w:type="dxa"/>
            <w:gridSpan w:val="3"/>
            <w:noWrap w:val="0"/>
            <w:vAlign w:val="center"/>
          </w:tcPr>
          <w:p w14:paraId="36CFF530">
            <w:pPr>
              <w:keepNext w:val="0"/>
              <w:keepLines w:val="0"/>
              <w:suppressLineNumbers w:val="0"/>
              <w:adjustRightInd w:val="0"/>
              <w:spacing w:before="0" w:beforeAutospacing="0" w:after="0" w:afterAutospacing="0" w:line="400" w:lineRule="exact"/>
              <w:ind w:left="0" w:right="0"/>
              <w:jc w:val="center"/>
              <w:rPr>
                <w:rFonts w:hint="default" w:ascii="Times New Roman" w:hAnsi="Times New Roman" w:eastAsia="宋体" w:cs="Times New Roman"/>
                <w:color w:val="auto"/>
                <w:sz w:val="24"/>
              </w:rPr>
            </w:pPr>
            <w:r>
              <w:rPr>
                <w:rFonts w:hint="default" w:ascii="Times New Roman" w:hAnsi="Times New Roman" w:cs="Times New Roman"/>
                <w:bCs/>
                <w:color w:val="auto"/>
                <w:sz w:val="24"/>
                <w:lang w:val="en-US" w:eastAsia="zh-CN"/>
              </w:rPr>
              <w:t>汽车零配件热处理生产线项目</w:t>
            </w:r>
          </w:p>
        </w:tc>
      </w:tr>
      <w:tr w14:paraId="0B7885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29" w:hRule="atLeast"/>
          <w:jc w:val="center"/>
        </w:trPr>
        <w:tc>
          <w:tcPr>
            <w:tcW w:w="1181" w:type="dxa"/>
            <w:gridSpan w:val="2"/>
            <w:noWrap w:val="0"/>
            <w:tcMar>
              <w:top w:w="16" w:type="dxa"/>
              <w:left w:w="16" w:type="dxa"/>
              <w:right w:w="16" w:type="dxa"/>
            </w:tcMar>
            <w:vAlign w:val="center"/>
          </w:tcPr>
          <w:p w14:paraId="2CE5C4F7">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项目代码</w:t>
            </w:r>
          </w:p>
        </w:tc>
        <w:tc>
          <w:tcPr>
            <w:tcW w:w="8020" w:type="dxa"/>
            <w:gridSpan w:val="3"/>
            <w:noWrap w:val="0"/>
            <w:vAlign w:val="center"/>
          </w:tcPr>
          <w:p w14:paraId="2A877692">
            <w:pPr>
              <w:pStyle w:val="62"/>
              <w:keepNext w:val="0"/>
              <w:keepLines w:val="0"/>
              <w:suppressLineNumbers w:val="0"/>
              <w:bidi w:val="0"/>
              <w:spacing w:before="0" w:beforeAutospacing="0" w:after="0" w:afterAutospacing="0" w:line="240" w:lineRule="auto"/>
              <w:ind w:left="0" w:leftChars="0" w:right="0" w:firstLine="0" w:firstLineChars="0"/>
              <w:jc w:val="center"/>
              <w:rPr>
                <w:rFonts w:hint="default" w:ascii="Times New Roman" w:hAnsi="Times New Roman" w:eastAsia="宋体" w:cs="Times New Roman"/>
                <w:color w:val="auto"/>
              </w:rPr>
            </w:pPr>
            <w:r>
              <w:rPr>
                <w:rFonts w:hint="eastAsia"/>
                <w:color w:val="auto"/>
                <w:lang w:val="en-US" w:eastAsia="zh-CN"/>
              </w:rPr>
              <w:t>2602-340461-04-01-608021</w:t>
            </w:r>
          </w:p>
        </w:tc>
      </w:tr>
      <w:tr w14:paraId="1290C3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1181" w:type="dxa"/>
            <w:gridSpan w:val="2"/>
            <w:noWrap w:val="0"/>
            <w:tcMar>
              <w:top w:w="16" w:type="dxa"/>
              <w:left w:w="16" w:type="dxa"/>
              <w:right w:w="16" w:type="dxa"/>
            </w:tcMar>
            <w:vAlign w:val="center"/>
          </w:tcPr>
          <w:p w14:paraId="2B74A0D8">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建设单位</w:t>
            </w:r>
          </w:p>
          <w:p w14:paraId="6EAA042C">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联系人</w:t>
            </w:r>
          </w:p>
        </w:tc>
        <w:tc>
          <w:tcPr>
            <w:tcW w:w="2723" w:type="dxa"/>
            <w:noWrap w:val="0"/>
            <w:vAlign w:val="center"/>
          </w:tcPr>
          <w:p w14:paraId="3BAD0503">
            <w:pPr>
              <w:keepNext w:val="0"/>
              <w:keepLines w:val="0"/>
              <w:suppressLineNumbers w:val="0"/>
              <w:adjustRightInd w:val="0"/>
              <w:spacing w:before="0" w:beforeAutospacing="0" w:after="0" w:afterAutospacing="0" w:line="400" w:lineRule="exact"/>
              <w:ind w:left="0" w:right="0"/>
              <w:jc w:val="center"/>
              <w:rPr>
                <w:rFonts w:hint="default" w:ascii="Times New Roman" w:hAnsi="Times New Roman" w:eastAsia="宋体" w:cs="Times New Roman"/>
                <w:color w:val="auto"/>
                <w:sz w:val="24"/>
                <w:szCs w:val="24"/>
                <w:lang w:val="en-US" w:eastAsia="zh-CN"/>
              </w:rPr>
            </w:pPr>
            <w:r>
              <w:rPr>
                <w:rFonts w:hint="eastAsia"/>
                <w:color w:val="auto"/>
                <w:sz w:val="24"/>
                <w:szCs w:val="24"/>
                <w:lang w:val="en-US" w:eastAsia="zh-CN"/>
              </w:rPr>
              <w:t>董杰辉</w:t>
            </w:r>
          </w:p>
        </w:tc>
        <w:tc>
          <w:tcPr>
            <w:tcW w:w="1584" w:type="dxa"/>
            <w:noWrap w:val="0"/>
            <w:vAlign w:val="center"/>
          </w:tcPr>
          <w:p w14:paraId="667AFF78">
            <w:pPr>
              <w:keepNext w:val="0"/>
              <w:keepLines w:val="0"/>
              <w:suppressLineNumbers w:val="0"/>
              <w:adjustRightInd w:val="0"/>
              <w:spacing w:before="0" w:beforeAutospacing="0" w:after="0" w:afterAutospacing="0" w:line="400" w:lineRule="exact"/>
              <w:ind w:left="0" w:right="0"/>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联系方式</w:t>
            </w:r>
          </w:p>
        </w:tc>
        <w:tc>
          <w:tcPr>
            <w:tcW w:w="3713" w:type="dxa"/>
            <w:noWrap w:val="0"/>
            <w:vAlign w:val="center"/>
          </w:tcPr>
          <w:p w14:paraId="74DE1459">
            <w:pPr>
              <w:keepNext w:val="0"/>
              <w:keepLines w:val="0"/>
              <w:suppressLineNumbers w:val="0"/>
              <w:adjustRightInd w:val="0"/>
              <w:spacing w:before="0" w:beforeAutospacing="0" w:after="0" w:afterAutospacing="0" w:line="400" w:lineRule="exact"/>
              <w:ind w:left="0" w:right="0"/>
              <w:jc w:val="center"/>
              <w:rPr>
                <w:rFonts w:hint="default" w:ascii="Times New Roman" w:hAnsi="Times New Roman" w:eastAsia="宋体" w:cs="Times New Roman"/>
                <w:color w:val="auto"/>
                <w:sz w:val="24"/>
                <w:szCs w:val="24"/>
                <w:lang w:val="en-US" w:eastAsia="zh-CN"/>
              </w:rPr>
            </w:pPr>
            <w:r>
              <w:rPr>
                <w:rFonts w:hint="eastAsia" w:ascii="宋体" w:hAnsi="宋体" w:cs="宋体"/>
                <w:color w:val="auto"/>
                <w:kern w:val="0"/>
                <w:sz w:val="24"/>
                <w:szCs w:val="24"/>
                <w:lang w:val="en-US" w:eastAsia="zh-CN"/>
              </w:rPr>
              <w:t>13958597432</w:t>
            </w:r>
          </w:p>
        </w:tc>
      </w:tr>
      <w:tr w14:paraId="490C83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2" w:hRule="atLeast"/>
          <w:jc w:val="center"/>
        </w:trPr>
        <w:tc>
          <w:tcPr>
            <w:tcW w:w="1181" w:type="dxa"/>
            <w:gridSpan w:val="2"/>
            <w:noWrap w:val="0"/>
            <w:tcMar>
              <w:top w:w="16" w:type="dxa"/>
              <w:left w:w="16" w:type="dxa"/>
              <w:right w:w="16" w:type="dxa"/>
            </w:tcMar>
            <w:vAlign w:val="center"/>
          </w:tcPr>
          <w:p w14:paraId="33C21510">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建设地点</w:t>
            </w:r>
          </w:p>
        </w:tc>
        <w:tc>
          <w:tcPr>
            <w:tcW w:w="8020" w:type="dxa"/>
            <w:gridSpan w:val="3"/>
            <w:noWrap w:val="0"/>
            <w:vAlign w:val="center"/>
          </w:tcPr>
          <w:p w14:paraId="6A2CACD6">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 w:val="24"/>
              </w:rPr>
            </w:pPr>
            <w:r>
              <w:rPr>
                <w:rFonts w:hint="eastAsia" w:ascii="Times New Roman" w:hAnsi="Times New Roman" w:cs="Times New Roman"/>
                <w:color w:val="auto"/>
                <w:sz w:val="24"/>
                <w:lang w:val="en-US" w:eastAsia="zh-CN"/>
              </w:rPr>
              <w:t>淮南</w:t>
            </w:r>
            <w:r>
              <w:rPr>
                <w:rFonts w:hint="eastAsia" w:ascii="Times New Roman" w:hAnsi="Times New Roman" w:eastAsia="宋体" w:cs="Times New Roman"/>
                <w:color w:val="auto"/>
                <w:sz w:val="24"/>
                <w:lang w:val="en-US" w:eastAsia="zh-CN"/>
              </w:rPr>
              <w:t>市经开区华兴路东侧、庆兴北侧智慧显示产业园</w:t>
            </w:r>
            <w:r>
              <w:rPr>
                <w:rFonts w:hint="eastAsia" w:ascii="Times New Roman" w:hAnsi="Times New Roman" w:cs="Times New Roman"/>
                <w:color w:val="auto"/>
                <w:sz w:val="24"/>
                <w:lang w:val="en-US" w:eastAsia="zh-CN"/>
              </w:rPr>
              <w:t>5#</w:t>
            </w:r>
            <w:r>
              <w:rPr>
                <w:rFonts w:hint="eastAsia" w:ascii="Times New Roman" w:hAnsi="Times New Roman" w:eastAsia="宋体" w:cs="Times New Roman"/>
                <w:color w:val="auto"/>
                <w:sz w:val="24"/>
                <w:lang w:val="en-US" w:eastAsia="zh-CN"/>
              </w:rPr>
              <w:t>厂房</w:t>
            </w:r>
            <w:r>
              <w:rPr>
                <w:rFonts w:hint="eastAsia" w:ascii="Times New Roman" w:hAnsi="Times New Roman" w:cs="Times New Roman"/>
                <w:color w:val="auto"/>
                <w:sz w:val="24"/>
                <w:lang w:val="en-US" w:eastAsia="zh-CN"/>
              </w:rPr>
              <w:t>（西侧部分）</w:t>
            </w:r>
          </w:p>
        </w:tc>
      </w:tr>
      <w:tr w14:paraId="6CBF7D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6" w:hRule="atLeast"/>
          <w:jc w:val="center"/>
        </w:trPr>
        <w:tc>
          <w:tcPr>
            <w:tcW w:w="1181" w:type="dxa"/>
            <w:gridSpan w:val="2"/>
            <w:noWrap w:val="0"/>
            <w:tcMar>
              <w:top w:w="16" w:type="dxa"/>
              <w:left w:w="16" w:type="dxa"/>
              <w:right w:w="16" w:type="dxa"/>
            </w:tcMar>
            <w:vAlign w:val="center"/>
          </w:tcPr>
          <w:p w14:paraId="007F8DD0">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地理坐标</w:t>
            </w:r>
          </w:p>
        </w:tc>
        <w:tc>
          <w:tcPr>
            <w:tcW w:w="8020" w:type="dxa"/>
            <w:gridSpan w:val="3"/>
            <w:noWrap w:val="0"/>
            <w:vAlign w:val="center"/>
          </w:tcPr>
          <w:p w14:paraId="2F5C2175">
            <w:pPr>
              <w:keepNext w:val="0"/>
              <w:keepLines w:val="0"/>
              <w:suppressLineNumbers w:val="0"/>
              <w:spacing w:before="0" w:beforeAutospacing="0" w:after="0" w:afterAutospacing="0" w:line="400" w:lineRule="exact"/>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东经：</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pacing w:val="-2"/>
                <w:sz w:val="24"/>
                <w:u w:val="single"/>
              </w:rPr>
              <w:t>11</w:t>
            </w:r>
            <w:r>
              <w:rPr>
                <w:rFonts w:hint="eastAsia" w:ascii="Times New Roman" w:hAnsi="Times New Roman" w:cs="Times New Roman"/>
                <w:color w:val="auto"/>
                <w:spacing w:val="-2"/>
                <w:sz w:val="24"/>
                <w:u w:val="single"/>
                <w:lang w:val="en-US" w:eastAsia="zh-CN"/>
              </w:rPr>
              <w:t>7</w:t>
            </w:r>
            <w:r>
              <w:rPr>
                <w:rFonts w:hint="default" w:ascii="Times New Roman" w:hAnsi="Times New Roman" w:eastAsia="宋体" w:cs="Times New Roman"/>
                <w:color w:val="auto"/>
                <w:spacing w:val="-2"/>
                <w:sz w:val="24"/>
                <w:u w:val="single"/>
              </w:rPr>
              <w:t xml:space="preserve"> </w:t>
            </w:r>
            <w:r>
              <w:rPr>
                <w:rFonts w:hint="default" w:ascii="Times New Roman" w:hAnsi="Times New Roman" w:eastAsia="宋体" w:cs="Times New Roman"/>
                <w:color w:val="auto"/>
                <w:spacing w:val="-2"/>
                <w:sz w:val="24"/>
              </w:rPr>
              <w:t>度</w:t>
            </w:r>
            <w:r>
              <w:rPr>
                <w:rFonts w:hint="default" w:ascii="Times New Roman" w:hAnsi="Times New Roman" w:eastAsia="宋体" w:cs="Times New Roman"/>
                <w:color w:val="auto"/>
                <w:spacing w:val="-56"/>
                <w:sz w:val="24"/>
                <w:u w:val="single"/>
              </w:rPr>
              <w:t xml:space="preserve">             </w:t>
            </w:r>
            <w:r>
              <w:rPr>
                <w:rFonts w:hint="eastAsia" w:ascii="Times New Roman" w:hAnsi="Times New Roman" w:cs="Times New Roman"/>
                <w:color w:val="auto"/>
                <w:spacing w:val="-2"/>
                <w:sz w:val="24"/>
                <w:u w:val="single"/>
                <w:lang w:val="en-US" w:eastAsia="zh-CN"/>
              </w:rPr>
              <w:t>05</w:t>
            </w:r>
            <w:r>
              <w:rPr>
                <w:rFonts w:hint="default" w:ascii="Times New Roman" w:hAnsi="Times New Roman" w:eastAsia="宋体" w:cs="Times New Roman"/>
                <w:color w:val="auto"/>
                <w:spacing w:val="-2"/>
                <w:sz w:val="24"/>
                <w:u w:val="single"/>
              </w:rPr>
              <w:t xml:space="preserve"> </w:t>
            </w:r>
            <w:r>
              <w:rPr>
                <w:rFonts w:hint="default" w:ascii="Times New Roman" w:hAnsi="Times New Roman" w:eastAsia="宋体" w:cs="Times New Roman"/>
                <w:color w:val="auto"/>
                <w:spacing w:val="-2"/>
                <w:sz w:val="24"/>
              </w:rPr>
              <w:t>分</w:t>
            </w:r>
            <w:r>
              <w:rPr>
                <w:rFonts w:hint="default" w:ascii="Times New Roman" w:hAnsi="Times New Roman" w:eastAsia="宋体" w:cs="Times New Roman"/>
                <w:color w:val="auto"/>
                <w:spacing w:val="-57"/>
                <w:sz w:val="24"/>
                <w:u w:val="single"/>
              </w:rPr>
              <w:t xml:space="preserve">               </w:t>
            </w:r>
            <w:r>
              <w:rPr>
                <w:rFonts w:hint="eastAsia" w:ascii="Times New Roman" w:hAnsi="Times New Roman" w:cs="Times New Roman"/>
                <w:color w:val="auto"/>
                <w:spacing w:val="-2"/>
                <w:sz w:val="24"/>
                <w:u w:val="single"/>
                <w:lang w:val="en-US" w:eastAsia="zh-CN"/>
              </w:rPr>
              <w:t>25.244</w:t>
            </w:r>
            <w:r>
              <w:rPr>
                <w:rFonts w:hint="default" w:ascii="Times New Roman" w:hAnsi="Times New Roman" w:eastAsia="宋体" w:cs="Times New Roman"/>
                <w:color w:val="auto"/>
                <w:spacing w:val="-2"/>
                <w:sz w:val="24"/>
                <w:u w:val="single"/>
              </w:rPr>
              <w:t xml:space="preserve"> </w:t>
            </w:r>
            <w:r>
              <w:rPr>
                <w:rFonts w:hint="default" w:ascii="Times New Roman" w:hAnsi="Times New Roman" w:eastAsia="宋体" w:cs="Times New Roman"/>
                <w:color w:val="auto"/>
                <w:spacing w:val="-2"/>
                <w:sz w:val="24"/>
              </w:rPr>
              <w:t>秒</w:t>
            </w:r>
            <w:r>
              <w:rPr>
                <w:rFonts w:hint="default" w:ascii="Times New Roman" w:hAnsi="Times New Roman" w:eastAsia="宋体" w:cs="Times New Roman"/>
                <w:color w:val="auto"/>
                <w:sz w:val="24"/>
              </w:rPr>
              <w:t>，北纬：</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pacing w:val="-2"/>
                <w:sz w:val="24"/>
                <w:u w:val="single"/>
              </w:rPr>
              <w:t>3</w:t>
            </w:r>
            <w:r>
              <w:rPr>
                <w:rFonts w:hint="eastAsia" w:ascii="Times New Roman" w:hAnsi="Times New Roman" w:cs="Times New Roman"/>
                <w:color w:val="auto"/>
                <w:spacing w:val="-2"/>
                <w:sz w:val="24"/>
                <w:u w:val="single"/>
                <w:lang w:val="en-US" w:eastAsia="zh-CN"/>
              </w:rPr>
              <w:t>2</w:t>
            </w:r>
            <w:r>
              <w:rPr>
                <w:rFonts w:hint="default" w:ascii="Times New Roman" w:hAnsi="Times New Roman" w:eastAsia="宋体" w:cs="Times New Roman"/>
                <w:color w:val="auto"/>
                <w:spacing w:val="-2"/>
                <w:sz w:val="24"/>
                <w:u w:val="single"/>
              </w:rPr>
              <w:t xml:space="preserve"> </w:t>
            </w:r>
            <w:r>
              <w:rPr>
                <w:rFonts w:hint="default" w:ascii="Times New Roman" w:hAnsi="Times New Roman" w:eastAsia="宋体" w:cs="Times New Roman"/>
                <w:color w:val="auto"/>
                <w:spacing w:val="-2"/>
                <w:sz w:val="24"/>
              </w:rPr>
              <w:t>度</w:t>
            </w:r>
            <w:r>
              <w:rPr>
                <w:rFonts w:hint="default" w:ascii="Times New Roman" w:hAnsi="Times New Roman" w:eastAsia="宋体" w:cs="Times New Roman"/>
                <w:color w:val="auto"/>
                <w:spacing w:val="-48"/>
                <w:sz w:val="24"/>
                <w:u w:val="single"/>
              </w:rPr>
              <w:t xml:space="preserve">  </w:t>
            </w:r>
            <w:r>
              <w:rPr>
                <w:rFonts w:hint="default" w:ascii="Times New Roman" w:hAnsi="Times New Roman" w:eastAsia="宋体" w:cs="Times New Roman"/>
                <w:color w:val="auto"/>
                <w:spacing w:val="-2"/>
                <w:sz w:val="24"/>
                <w:u w:val="single"/>
                <w:lang w:val="en-US" w:eastAsia="zh-CN"/>
              </w:rPr>
              <w:t xml:space="preserve"> </w:t>
            </w:r>
            <w:r>
              <w:rPr>
                <w:rFonts w:hint="eastAsia" w:ascii="Times New Roman" w:hAnsi="Times New Roman" w:cs="Times New Roman"/>
                <w:color w:val="auto"/>
                <w:spacing w:val="-2"/>
                <w:sz w:val="24"/>
                <w:u w:val="single"/>
                <w:lang w:val="en-US" w:eastAsia="zh-CN"/>
              </w:rPr>
              <w:t>39</w:t>
            </w:r>
            <w:r>
              <w:rPr>
                <w:rFonts w:hint="default" w:ascii="Times New Roman" w:hAnsi="Times New Roman" w:eastAsia="宋体" w:cs="Times New Roman"/>
                <w:color w:val="auto"/>
                <w:spacing w:val="-2"/>
                <w:sz w:val="24"/>
                <w:u w:val="single"/>
                <w:lang w:val="en-US" w:eastAsia="zh-CN"/>
              </w:rPr>
              <w:t xml:space="preserve"> </w:t>
            </w:r>
            <w:r>
              <w:rPr>
                <w:rFonts w:hint="default" w:ascii="Times New Roman" w:hAnsi="Times New Roman" w:eastAsia="宋体" w:cs="Times New Roman"/>
                <w:color w:val="auto"/>
                <w:spacing w:val="-2"/>
                <w:sz w:val="24"/>
              </w:rPr>
              <w:t>分</w:t>
            </w:r>
            <w:r>
              <w:rPr>
                <w:rFonts w:hint="default" w:ascii="Times New Roman" w:hAnsi="Times New Roman" w:eastAsia="宋体" w:cs="Times New Roman"/>
                <w:color w:val="auto"/>
                <w:spacing w:val="-2"/>
                <w:sz w:val="24"/>
                <w:u w:val="single"/>
              </w:rPr>
              <w:t xml:space="preserve"> </w:t>
            </w:r>
            <w:r>
              <w:rPr>
                <w:rFonts w:hint="eastAsia" w:ascii="Times New Roman" w:hAnsi="Times New Roman" w:cs="Times New Roman"/>
                <w:color w:val="auto"/>
                <w:spacing w:val="-2"/>
                <w:sz w:val="24"/>
                <w:u w:val="single"/>
                <w:lang w:val="en-US" w:eastAsia="zh-CN"/>
              </w:rPr>
              <w:t>6.929</w:t>
            </w:r>
            <w:r>
              <w:rPr>
                <w:rFonts w:hint="default" w:ascii="Times New Roman" w:hAnsi="Times New Roman" w:eastAsia="宋体" w:cs="Times New Roman"/>
                <w:color w:val="auto"/>
                <w:spacing w:val="-2"/>
                <w:sz w:val="24"/>
                <w:u w:val="single"/>
              </w:rPr>
              <w:t xml:space="preserve"> </w:t>
            </w:r>
            <w:r>
              <w:rPr>
                <w:rFonts w:hint="default" w:ascii="Times New Roman" w:hAnsi="Times New Roman" w:eastAsia="宋体" w:cs="Times New Roman"/>
                <w:color w:val="auto"/>
                <w:spacing w:val="-3"/>
                <w:sz w:val="24"/>
              </w:rPr>
              <w:t>秒</w:t>
            </w:r>
          </w:p>
        </w:tc>
      </w:tr>
      <w:tr w14:paraId="326B9C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68" w:hRule="atLeast"/>
          <w:jc w:val="center"/>
        </w:trPr>
        <w:tc>
          <w:tcPr>
            <w:tcW w:w="1181" w:type="dxa"/>
            <w:gridSpan w:val="2"/>
            <w:noWrap w:val="0"/>
            <w:tcMar>
              <w:top w:w="16" w:type="dxa"/>
              <w:left w:w="16" w:type="dxa"/>
              <w:right w:w="16" w:type="dxa"/>
            </w:tcMar>
            <w:vAlign w:val="center"/>
          </w:tcPr>
          <w:p w14:paraId="5B5E2735">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国民经济</w:t>
            </w:r>
          </w:p>
          <w:p w14:paraId="28358477">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行业类别</w:t>
            </w:r>
          </w:p>
        </w:tc>
        <w:tc>
          <w:tcPr>
            <w:tcW w:w="2723" w:type="dxa"/>
            <w:noWrap w:val="0"/>
            <w:vAlign w:val="center"/>
          </w:tcPr>
          <w:p w14:paraId="39BD8EF8">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szCs w:val="24"/>
                <w:lang w:val="en-US" w:eastAsia="zh-CN"/>
              </w:rPr>
              <w:t>C</w:t>
            </w:r>
            <w:r>
              <w:rPr>
                <w:rFonts w:hint="eastAsia" w:ascii="Times New Roman" w:hAnsi="Times New Roman" w:cs="Times New Roman"/>
                <w:color w:val="auto"/>
                <w:sz w:val="24"/>
                <w:szCs w:val="24"/>
                <w:lang w:val="en-US" w:eastAsia="zh-CN"/>
              </w:rPr>
              <w:t>3360金属表面处理及热处理加工</w:t>
            </w:r>
          </w:p>
        </w:tc>
        <w:tc>
          <w:tcPr>
            <w:tcW w:w="1584" w:type="dxa"/>
            <w:noWrap w:val="0"/>
            <w:vAlign w:val="center"/>
          </w:tcPr>
          <w:p w14:paraId="7470730A">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rPr>
            </w:pPr>
            <w:bookmarkStart w:id="5" w:name="_Hlk49843745"/>
            <w:r>
              <w:rPr>
                <w:rFonts w:hint="default" w:ascii="Times New Roman" w:hAnsi="Times New Roman" w:eastAsia="宋体" w:cs="Times New Roman"/>
                <w:b/>
                <w:color w:val="auto"/>
                <w:sz w:val="24"/>
              </w:rPr>
              <w:t>建设项目</w:t>
            </w:r>
          </w:p>
          <w:p w14:paraId="7E986091">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行业类别</w:t>
            </w:r>
            <w:bookmarkEnd w:id="5"/>
          </w:p>
        </w:tc>
        <w:tc>
          <w:tcPr>
            <w:tcW w:w="3713" w:type="dxa"/>
            <w:noWrap w:val="0"/>
            <w:vAlign w:val="center"/>
          </w:tcPr>
          <w:p w14:paraId="5BDB762E">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4"/>
                <w:lang w:val="en-US"/>
              </w:rPr>
            </w:pPr>
            <w:r>
              <w:rPr>
                <w:rStyle w:val="67"/>
                <w:rFonts w:hint="default"/>
                <w:color w:val="auto"/>
                <w:sz w:val="24"/>
                <w:szCs w:val="24"/>
              </w:rPr>
              <w:t>三十、金属制品业</w:t>
            </w:r>
            <w:r>
              <w:rPr>
                <w:rStyle w:val="67"/>
                <w:rFonts w:hint="eastAsia"/>
                <w:color w:val="auto"/>
                <w:sz w:val="24"/>
                <w:szCs w:val="24"/>
                <w:lang w:val="en-US" w:eastAsia="zh-CN"/>
              </w:rPr>
              <w:t>33</w:t>
            </w:r>
            <w:r>
              <w:rPr>
                <w:rFonts w:hint="default" w:ascii="Times New Roman" w:hAnsi="Times New Roman" w:eastAsia="宋体" w:cs="Times New Roman"/>
                <w:color w:val="auto"/>
                <w:spacing w:val="-2"/>
                <w:position w:val="3"/>
                <w:sz w:val="24"/>
                <w:szCs w:val="24"/>
                <w:lang w:val="en-US" w:eastAsia="zh-CN"/>
              </w:rPr>
              <w:t>——</w:t>
            </w:r>
            <w:r>
              <w:rPr>
                <w:rFonts w:hint="eastAsia" w:ascii="Times New Roman" w:hAnsi="Times New Roman" w:cs="Times New Roman"/>
                <w:color w:val="auto"/>
                <w:spacing w:val="-2"/>
                <w:position w:val="3"/>
                <w:sz w:val="24"/>
                <w:szCs w:val="24"/>
                <w:lang w:val="en-US" w:eastAsia="zh-CN"/>
              </w:rPr>
              <w:t>67</w:t>
            </w:r>
            <w:r>
              <w:rPr>
                <w:rFonts w:hint="default" w:ascii="Times New Roman" w:hAnsi="Times New Roman" w:eastAsia="宋体" w:cs="Times New Roman"/>
                <w:color w:val="auto"/>
                <w:spacing w:val="-2"/>
                <w:position w:val="3"/>
                <w:sz w:val="24"/>
                <w:szCs w:val="24"/>
                <w:lang w:val="en-US" w:eastAsia="zh-CN"/>
              </w:rPr>
              <w:t>、</w:t>
            </w:r>
            <w:r>
              <w:rPr>
                <w:rFonts w:hint="default" w:ascii="Times New Roman" w:hAnsi="Times New Roman" w:cs="Times New Roman"/>
                <w:bCs/>
                <w:color w:val="auto"/>
                <w:sz w:val="24"/>
                <w:szCs w:val="24"/>
                <w:highlight w:val="none"/>
              </w:rPr>
              <w:t>金属表面处理及热处理加工</w:t>
            </w:r>
            <w:r>
              <w:rPr>
                <w:rFonts w:hint="eastAsia" w:ascii="Times New Roman" w:hAnsi="Times New Roman" w:eastAsia="宋体" w:cs="Times New Roman"/>
                <w:color w:val="auto"/>
                <w:spacing w:val="-2"/>
                <w:position w:val="3"/>
                <w:sz w:val="24"/>
                <w:szCs w:val="24"/>
                <w:lang w:val="en-US" w:eastAsia="zh-CN"/>
              </w:rPr>
              <w:t>——其他</w:t>
            </w:r>
          </w:p>
        </w:tc>
      </w:tr>
      <w:tr w14:paraId="18D9A4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71" w:hRule="atLeast"/>
          <w:jc w:val="center"/>
        </w:trPr>
        <w:tc>
          <w:tcPr>
            <w:tcW w:w="1181" w:type="dxa"/>
            <w:gridSpan w:val="2"/>
            <w:noWrap w:val="0"/>
            <w:tcMar>
              <w:top w:w="16" w:type="dxa"/>
              <w:left w:w="16" w:type="dxa"/>
              <w:right w:w="16" w:type="dxa"/>
            </w:tcMar>
            <w:vAlign w:val="center"/>
          </w:tcPr>
          <w:p w14:paraId="32A9E75F">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建设性质</w:t>
            </w:r>
          </w:p>
        </w:tc>
        <w:tc>
          <w:tcPr>
            <w:tcW w:w="2723" w:type="dxa"/>
            <w:noWrap w:val="0"/>
            <w:vAlign w:val="center"/>
          </w:tcPr>
          <w:p w14:paraId="2FCA6AE8">
            <w:pPr>
              <w:keepNext w:val="0"/>
              <w:keepLines w:val="0"/>
              <w:suppressLineNumbers w:val="0"/>
              <w:adjustRightInd w:val="0"/>
              <w:spacing w:before="0" w:beforeAutospacing="0" w:after="0" w:afterAutospacing="0" w:line="240" w:lineRule="auto"/>
              <w:ind w:left="105" w:leftChars="50" w:right="105" w:rightChars="5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2" w:char="0052"/>
            </w:r>
            <w:r>
              <w:rPr>
                <w:rFonts w:hint="default" w:ascii="Times New Roman" w:hAnsi="Times New Roman" w:eastAsia="宋体" w:cs="Times New Roman"/>
                <w:color w:val="auto"/>
                <w:sz w:val="24"/>
              </w:rPr>
              <w:t>新建（迁建）</w:t>
            </w:r>
          </w:p>
          <w:p w14:paraId="2295A92D">
            <w:pPr>
              <w:keepNext w:val="0"/>
              <w:keepLines w:val="0"/>
              <w:suppressLineNumbers w:val="0"/>
              <w:adjustRightInd w:val="0"/>
              <w:spacing w:before="0" w:beforeAutospacing="0" w:after="0" w:afterAutospacing="0" w:line="240" w:lineRule="auto"/>
              <w:ind w:left="105" w:leftChars="50" w:right="105" w:rightChars="5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2" w:char="00A3"/>
            </w:r>
            <w:r>
              <w:rPr>
                <w:rFonts w:hint="default" w:ascii="Times New Roman" w:hAnsi="Times New Roman" w:eastAsia="宋体" w:cs="Times New Roman"/>
                <w:color w:val="auto"/>
                <w:sz w:val="24"/>
              </w:rPr>
              <w:t>改建</w:t>
            </w:r>
          </w:p>
          <w:p w14:paraId="60C3BFF0">
            <w:pPr>
              <w:keepNext w:val="0"/>
              <w:keepLines w:val="0"/>
              <w:suppressLineNumbers w:val="0"/>
              <w:adjustRightInd w:val="0"/>
              <w:spacing w:before="0" w:beforeAutospacing="0" w:after="0" w:afterAutospacing="0" w:line="240" w:lineRule="auto"/>
              <w:ind w:left="105" w:leftChars="50" w:right="105" w:rightChars="5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2" w:char="00A3"/>
            </w:r>
            <w:r>
              <w:rPr>
                <w:rFonts w:hint="default" w:ascii="Times New Roman" w:hAnsi="Times New Roman" w:eastAsia="宋体" w:cs="Times New Roman"/>
                <w:color w:val="auto"/>
                <w:sz w:val="24"/>
              </w:rPr>
              <w:t>扩建</w:t>
            </w:r>
          </w:p>
          <w:p w14:paraId="37F67EAE">
            <w:pPr>
              <w:keepNext w:val="0"/>
              <w:keepLines w:val="0"/>
              <w:suppressLineNumbers w:val="0"/>
              <w:adjustRightInd w:val="0"/>
              <w:spacing w:before="0" w:beforeAutospacing="0" w:after="0" w:afterAutospacing="0" w:line="240" w:lineRule="auto"/>
              <w:ind w:left="105" w:leftChars="50" w:right="105" w:rightChars="5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2" w:char="00A3"/>
            </w:r>
            <w:r>
              <w:rPr>
                <w:rFonts w:hint="default" w:ascii="Times New Roman" w:hAnsi="Times New Roman" w:eastAsia="宋体" w:cs="Times New Roman"/>
                <w:color w:val="auto"/>
                <w:sz w:val="24"/>
              </w:rPr>
              <w:t>技术改造</w:t>
            </w:r>
          </w:p>
        </w:tc>
        <w:tc>
          <w:tcPr>
            <w:tcW w:w="1584" w:type="dxa"/>
            <w:noWrap w:val="0"/>
            <w:vAlign w:val="center"/>
          </w:tcPr>
          <w:p w14:paraId="2E048FA4">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建设项目</w:t>
            </w:r>
          </w:p>
          <w:p w14:paraId="657E94D6">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申报情形</w:t>
            </w:r>
          </w:p>
        </w:tc>
        <w:tc>
          <w:tcPr>
            <w:tcW w:w="3713" w:type="dxa"/>
            <w:noWrap w:val="0"/>
            <w:vAlign w:val="center"/>
          </w:tcPr>
          <w:p w14:paraId="03123F56">
            <w:pPr>
              <w:keepNext w:val="0"/>
              <w:keepLines w:val="0"/>
              <w:suppressLineNumbers w:val="0"/>
              <w:adjustRightInd w:val="0"/>
              <w:spacing w:before="0" w:beforeAutospacing="0" w:after="0" w:afterAutospacing="0" w:line="240" w:lineRule="auto"/>
              <w:ind w:left="105" w:leftChars="50" w:right="105" w:rightChars="5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2" w:char="0052"/>
            </w:r>
            <w:r>
              <w:rPr>
                <w:rFonts w:hint="default" w:ascii="Times New Roman" w:hAnsi="Times New Roman" w:eastAsia="宋体" w:cs="Times New Roman"/>
                <w:color w:val="auto"/>
                <w:sz w:val="24"/>
              </w:rPr>
              <w:t>首次申报项目</w:t>
            </w:r>
          </w:p>
          <w:p w14:paraId="4E6FFD71">
            <w:pPr>
              <w:keepNext w:val="0"/>
              <w:keepLines w:val="0"/>
              <w:suppressLineNumbers w:val="0"/>
              <w:adjustRightInd w:val="0"/>
              <w:spacing w:before="0" w:beforeAutospacing="0" w:after="0" w:afterAutospacing="0" w:line="240" w:lineRule="auto"/>
              <w:ind w:left="105" w:leftChars="50" w:right="105" w:rightChars="5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2" w:char="00A3"/>
            </w:r>
            <w:r>
              <w:rPr>
                <w:rFonts w:hint="default" w:ascii="Times New Roman" w:hAnsi="Times New Roman" w:eastAsia="宋体" w:cs="Times New Roman"/>
                <w:color w:val="auto"/>
                <w:sz w:val="24"/>
              </w:rPr>
              <w:t>不予批准后再次申报项目</w:t>
            </w:r>
          </w:p>
          <w:p w14:paraId="31A91541">
            <w:pPr>
              <w:keepNext w:val="0"/>
              <w:keepLines w:val="0"/>
              <w:suppressLineNumbers w:val="0"/>
              <w:adjustRightInd w:val="0"/>
              <w:spacing w:before="0" w:beforeAutospacing="0" w:after="0" w:afterAutospacing="0" w:line="240" w:lineRule="auto"/>
              <w:ind w:left="105" w:leftChars="50" w:right="105" w:rightChars="5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2" w:char="00A3"/>
            </w:r>
            <w:r>
              <w:rPr>
                <w:rFonts w:hint="default" w:ascii="Times New Roman" w:hAnsi="Times New Roman" w:eastAsia="宋体" w:cs="Times New Roman"/>
                <w:color w:val="auto"/>
                <w:sz w:val="24"/>
              </w:rPr>
              <w:t xml:space="preserve">超五年重新审核项目 </w:t>
            </w:r>
          </w:p>
          <w:p w14:paraId="639B88D1">
            <w:pPr>
              <w:keepNext w:val="0"/>
              <w:keepLines w:val="0"/>
              <w:suppressLineNumbers w:val="0"/>
              <w:adjustRightInd w:val="0"/>
              <w:spacing w:before="0" w:beforeAutospacing="0" w:after="0" w:afterAutospacing="0" w:line="240" w:lineRule="auto"/>
              <w:ind w:left="105" w:leftChars="50" w:right="105" w:rightChars="5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2" w:char="00A3"/>
            </w:r>
            <w:r>
              <w:rPr>
                <w:rFonts w:hint="default" w:ascii="Times New Roman" w:hAnsi="Times New Roman" w:eastAsia="宋体" w:cs="Times New Roman"/>
                <w:color w:val="auto"/>
                <w:sz w:val="24"/>
              </w:rPr>
              <w:t>重大变动重新报批项目</w:t>
            </w:r>
          </w:p>
        </w:tc>
      </w:tr>
      <w:tr w14:paraId="17293A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50" w:hRule="atLeast"/>
          <w:jc w:val="center"/>
        </w:trPr>
        <w:tc>
          <w:tcPr>
            <w:tcW w:w="1181" w:type="dxa"/>
            <w:gridSpan w:val="2"/>
            <w:noWrap w:val="0"/>
            <w:tcMar>
              <w:top w:w="16" w:type="dxa"/>
              <w:left w:w="16" w:type="dxa"/>
              <w:right w:w="16" w:type="dxa"/>
            </w:tcMar>
            <w:vAlign w:val="center"/>
          </w:tcPr>
          <w:p w14:paraId="297A8B0A">
            <w:pPr>
              <w:keepNext w:val="0"/>
              <w:keepLines w:val="0"/>
              <w:suppressLineNumbers w:val="0"/>
              <w:adjustRightInd w:val="0"/>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项目审</w:t>
            </w:r>
          </w:p>
          <w:p w14:paraId="5D40E2FD">
            <w:pPr>
              <w:keepNext w:val="0"/>
              <w:keepLines w:val="0"/>
              <w:suppressLineNumbers w:val="0"/>
              <w:adjustRightInd w:val="0"/>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批部门</w:t>
            </w:r>
          </w:p>
        </w:tc>
        <w:tc>
          <w:tcPr>
            <w:tcW w:w="2723" w:type="dxa"/>
            <w:noWrap w:val="0"/>
            <w:vAlign w:val="center"/>
          </w:tcPr>
          <w:p w14:paraId="21B6B855">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eastAsia"/>
                <w:color w:val="auto"/>
                <w:sz w:val="24"/>
                <w:szCs w:val="24"/>
                <w:lang w:val="en-US" w:eastAsia="zh-CN"/>
              </w:rPr>
              <w:t>淮南经开区经济发展局</w:t>
            </w:r>
          </w:p>
        </w:tc>
        <w:tc>
          <w:tcPr>
            <w:tcW w:w="1584" w:type="dxa"/>
            <w:noWrap w:val="0"/>
            <w:vAlign w:val="center"/>
          </w:tcPr>
          <w:p w14:paraId="74C5DEE4">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项目审批（核准/备案）文号</w:t>
            </w:r>
          </w:p>
        </w:tc>
        <w:tc>
          <w:tcPr>
            <w:tcW w:w="3713" w:type="dxa"/>
            <w:noWrap w:val="0"/>
            <w:vAlign w:val="center"/>
          </w:tcPr>
          <w:p w14:paraId="070E4B36">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w:t>
            </w:r>
          </w:p>
        </w:tc>
      </w:tr>
      <w:tr w14:paraId="7329D5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60" w:hRule="atLeast"/>
          <w:jc w:val="center"/>
        </w:trPr>
        <w:tc>
          <w:tcPr>
            <w:tcW w:w="1181" w:type="dxa"/>
            <w:gridSpan w:val="2"/>
            <w:noWrap w:val="0"/>
            <w:tcMar>
              <w:top w:w="16" w:type="dxa"/>
              <w:left w:w="16" w:type="dxa"/>
              <w:right w:w="16" w:type="dxa"/>
            </w:tcMar>
            <w:vAlign w:val="center"/>
          </w:tcPr>
          <w:p w14:paraId="65A765F1">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总投资</w:t>
            </w:r>
          </w:p>
          <w:p w14:paraId="66715E99">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（万元）</w:t>
            </w:r>
          </w:p>
        </w:tc>
        <w:tc>
          <w:tcPr>
            <w:tcW w:w="2723" w:type="dxa"/>
            <w:noWrap w:val="0"/>
            <w:vAlign w:val="center"/>
          </w:tcPr>
          <w:p w14:paraId="0074EC98">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 w:val="24"/>
                <w:lang w:val="en-US" w:eastAsia="zh-CN"/>
              </w:rPr>
            </w:pPr>
            <w:r>
              <w:rPr>
                <w:rFonts w:hint="eastAsia" w:ascii="Times New Roman" w:hAnsi="Times New Roman" w:cs="Times New Roman"/>
                <w:color w:val="auto"/>
                <w:sz w:val="24"/>
                <w:lang w:val="en-US" w:eastAsia="zh-CN"/>
              </w:rPr>
              <w:t>3300</w:t>
            </w:r>
          </w:p>
        </w:tc>
        <w:tc>
          <w:tcPr>
            <w:tcW w:w="1584" w:type="dxa"/>
            <w:noWrap w:val="0"/>
            <w:tcMar>
              <w:top w:w="16" w:type="dxa"/>
              <w:left w:w="16" w:type="dxa"/>
              <w:right w:w="16" w:type="dxa"/>
            </w:tcMar>
            <w:vAlign w:val="center"/>
          </w:tcPr>
          <w:p w14:paraId="3226C857">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环保投资</w:t>
            </w:r>
          </w:p>
          <w:p w14:paraId="65ECCA1C">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（万元）</w:t>
            </w:r>
          </w:p>
        </w:tc>
        <w:tc>
          <w:tcPr>
            <w:tcW w:w="3713" w:type="dxa"/>
            <w:noWrap w:val="0"/>
            <w:vAlign w:val="center"/>
          </w:tcPr>
          <w:p w14:paraId="4D00EAB9">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 w:val="24"/>
                <w:lang w:val="en-US" w:eastAsia="zh-CN"/>
              </w:rPr>
            </w:pPr>
            <w:r>
              <w:rPr>
                <w:rFonts w:hint="eastAsia" w:ascii="Times New Roman" w:hAnsi="Times New Roman" w:cs="Times New Roman"/>
                <w:color w:val="auto"/>
                <w:sz w:val="24"/>
                <w:lang w:val="en-US" w:eastAsia="zh-CN"/>
              </w:rPr>
              <w:t>56</w:t>
            </w:r>
          </w:p>
        </w:tc>
      </w:tr>
      <w:tr w14:paraId="437447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00" w:hRule="atLeast"/>
          <w:jc w:val="center"/>
        </w:trPr>
        <w:tc>
          <w:tcPr>
            <w:tcW w:w="1181" w:type="dxa"/>
            <w:gridSpan w:val="2"/>
            <w:noWrap w:val="0"/>
            <w:tcMar>
              <w:top w:w="16" w:type="dxa"/>
              <w:left w:w="16" w:type="dxa"/>
              <w:right w:w="16" w:type="dxa"/>
            </w:tcMar>
            <w:vAlign w:val="center"/>
          </w:tcPr>
          <w:p w14:paraId="3507F6C5">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环保投资</w:t>
            </w:r>
          </w:p>
          <w:p w14:paraId="3C1C15F9">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占比（%）</w:t>
            </w:r>
          </w:p>
        </w:tc>
        <w:tc>
          <w:tcPr>
            <w:tcW w:w="2723" w:type="dxa"/>
            <w:noWrap w:val="0"/>
            <w:vAlign w:val="center"/>
          </w:tcPr>
          <w:p w14:paraId="65920410">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 w:val="24"/>
              </w:rPr>
            </w:pPr>
            <w:r>
              <w:rPr>
                <w:rFonts w:hint="eastAsia" w:ascii="Times New Roman" w:hAnsi="Times New Roman" w:cs="Times New Roman"/>
                <w:color w:val="auto"/>
                <w:sz w:val="24"/>
                <w:lang w:val="en-US" w:eastAsia="zh-CN"/>
              </w:rPr>
              <w:t>1.7</w:t>
            </w:r>
            <w:r>
              <w:rPr>
                <w:rFonts w:hint="default" w:ascii="Times New Roman" w:hAnsi="Times New Roman" w:eastAsia="宋体" w:cs="Times New Roman"/>
                <w:color w:val="auto"/>
                <w:sz w:val="24"/>
              </w:rPr>
              <w:t>%</w:t>
            </w:r>
          </w:p>
        </w:tc>
        <w:tc>
          <w:tcPr>
            <w:tcW w:w="1584" w:type="dxa"/>
            <w:noWrap w:val="0"/>
            <w:tcMar>
              <w:top w:w="16" w:type="dxa"/>
              <w:left w:w="16" w:type="dxa"/>
              <w:right w:w="16" w:type="dxa"/>
            </w:tcMar>
            <w:vAlign w:val="center"/>
          </w:tcPr>
          <w:p w14:paraId="2E283AEC">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施工工期</w:t>
            </w:r>
          </w:p>
        </w:tc>
        <w:tc>
          <w:tcPr>
            <w:tcW w:w="3713" w:type="dxa"/>
            <w:noWrap w:val="0"/>
            <w:vAlign w:val="center"/>
          </w:tcPr>
          <w:p w14:paraId="0BD9A424">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 w:val="24"/>
                <w:lang w:val="en-US" w:eastAsia="zh-CN"/>
              </w:rPr>
            </w:pPr>
            <w:r>
              <w:rPr>
                <w:rFonts w:hint="eastAsia" w:ascii="Times New Roman" w:hAnsi="Times New Roman" w:cs="Times New Roman"/>
                <w:color w:val="auto"/>
                <w:sz w:val="24"/>
                <w:lang w:val="en-US" w:eastAsia="zh-CN"/>
              </w:rPr>
              <w:t>1</w:t>
            </w:r>
            <w:r>
              <w:rPr>
                <w:rFonts w:hint="eastAsia" w:ascii="Times New Roman" w:hAnsi="Times New Roman" w:eastAsia="宋体" w:cs="Times New Roman"/>
                <w:color w:val="auto"/>
                <w:sz w:val="24"/>
                <w:lang w:val="en-US" w:eastAsia="zh-CN"/>
              </w:rPr>
              <w:t>个月</w:t>
            </w:r>
          </w:p>
        </w:tc>
      </w:tr>
      <w:tr w14:paraId="15F14E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30" w:hRule="atLeast"/>
          <w:jc w:val="center"/>
        </w:trPr>
        <w:tc>
          <w:tcPr>
            <w:tcW w:w="1181" w:type="dxa"/>
            <w:gridSpan w:val="2"/>
            <w:noWrap w:val="0"/>
            <w:tcMar>
              <w:top w:w="16" w:type="dxa"/>
              <w:left w:w="16" w:type="dxa"/>
              <w:right w:w="16" w:type="dxa"/>
            </w:tcMar>
            <w:vAlign w:val="center"/>
          </w:tcPr>
          <w:p w14:paraId="7F519FAC">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是否开工</w:t>
            </w:r>
          </w:p>
          <w:p w14:paraId="6CACCC82">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建设</w:t>
            </w:r>
          </w:p>
        </w:tc>
        <w:tc>
          <w:tcPr>
            <w:tcW w:w="2723" w:type="dxa"/>
            <w:noWrap w:val="0"/>
            <w:vAlign w:val="center"/>
          </w:tcPr>
          <w:p w14:paraId="104944FF">
            <w:pPr>
              <w:keepNext w:val="0"/>
              <w:keepLines w:val="0"/>
              <w:suppressLineNumbers w:val="0"/>
              <w:adjustRightInd w:val="0"/>
              <w:spacing w:before="0" w:beforeAutospacing="0" w:after="0" w:afterAutospacing="0" w:line="240" w:lineRule="auto"/>
              <w:ind w:left="0" w:right="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2" w:char="0052"/>
            </w:r>
            <w:r>
              <w:rPr>
                <w:rFonts w:hint="default" w:ascii="Times New Roman" w:hAnsi="Times New Roman" w:eastAsia="宋体" w:cs="Times New Roman"/>
                <w:color w:val="auto"/>
                <w:sz w:val="24"/>
              </w:rPr>
              <w:t>否</w:t>
            </w:r>
          </w:p>
          <w:p w14:paraId="44D88C04">
            <w:pPr>
              <w:keepNext w:val="0"/>
              <w:keepLines w:val="0"/>
              <w:suppressLineNumbers w:val="0"/>
              <w:adjustRightInd w:val="0"/>
              <w:spacing w:before="0" w:beforeAutospacing="0" w:after="0" w:afterAutospacing="0" w:line="240" w:lineRule="auto"/>
              <w:ind w:left="0" w:right="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2" w:char="00A3"/>
            </w:r>
            <w:r>
              <w:rPr>
                <w:rFonts w:hint="default" w:ascii="Times New Roman" w:hAnsi="Times New Roman" w:eastAsia="宋体" w:cs="Times New Roman"/>
                <w:color w:val="auto"/>
                <w:sz w:val="24"/>
              </w:rPr>
              <w:t>是</w:t>
            </w:r>
          </w:p>
        </w:tc>
        <w:tc>
          <w:tcPr>
            <w:tcW w:w="1584" w:type="dxa"/>
            <w:noWrap w:val="0"/>
            <w:tcMar>
              <w:top w:w="16" w:type="dxa"/>
              <w:left w:w="16" w:type="dxa"/>
              <w:right w:w="16" w:type="dxa"/>
            </w:tcMar>
            <w:vAlign w:val="center"/>
          </w:tcPr>
          <w:p w14:paraId="47C47B28">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pacing w:val="-6"/>
                <w:sz w:val="24"/>
              </w:rPr>
            </w:pPr>
            <w:r>
              <w:rPr>
                <w:rFonts w:hint="default" w:ascii="Times New Roman" w:hAnsi="Times New Roman" w:eastAsia="宋体" w:cs="Times New Roman"/>
                <w:b/>
                <w:color w:val="auto"/>
                <w:spacing w:val="-6"/>
                <w:sz w:val="24"/>
              </w:rPr>
              <w:t>用地面积</w:t>
            </w:r>
          </w:p>
          <w:p w14:paraId="41FF6F21">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pacing w:val="-6"/>
                <w:sz w:val="24"/>
              </w:rPr>
              <w:t>（m</w:t>
            </w:r>
            <w:r>
              <w:rPr>
                <w:rFonts w:hint="default" w:ascii="Times New Roman" w:hAnsi="Times New Roman" w:eastAsia="宋体" w:cs="Times New Roman"/>
                <w:b/>
                <w:color w:val="auto"/>
                <w:spacing w:val="-6"/>
                <w:sz w:val="24"/>
                <w:vertAlign w:val="superscript"/>
              </w:rPr>
              <w:t>2</w:t>
            </w:r>
            <w:r>
              <w:rPr>
                <w:rFonts w:hint="default" w:ascii="Times New Roman" w:hAnsi="Times New Roman" w:eastAsia="宋体" w:cs="Times New Roman"/>
                <w:b/>
                <w:color w:val="auto"/>
                <w:spacing w:val="-6"/>
                <w:sz w:val="24"/>
              </w:rPr>
              <w:t>）</w:t>
            </w:r>
          </w:p>
        </w:tc>
        <w:tc>
          <w:tcPr>
            <w:tcW w:w="3713" w:type="dxa"/>
            <w:noWrap w:val="0"/>
            <w:vAlign w:val="center"/>
          </w:tcPr>
          <w:p w14:paraId="3AD92092">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0000FF"/>
                <w:sz w:val="24"/>
                <w:lang w:val="en-US" w:eastAsia="zh-CN"/>
              </w:rPr>
            </w:pPr>
            <w:r>
              <w:rPr>
                <w:rFonts w:hint="eastAsia" w:ascii="Times New Roman" w:hAnsi="Times New Roman" w:cs="Times New Roman"/>
                <w:color w:val="auto"/>
                <w:sz w:val="24"/>
                <w:szCs w:val="24"/>
                <w:lang w:val="en-US" w:eastAsia="zh-CN"/>
              </w:rPr>
              <w:t>2700</w:t>
            </w:r>
          </w:p>
        </w:tc>
      </w:tr>
      <w:tr w14:paraId="591153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181" w:type="dxa"/>
            <w:gridSpan w:val="2"/>
            <w:noWrap w:val="0"/>
            <w:vAlign w:val="center"/>
          </w:tcPr>
          <w:p w14:paraId="59A2BADE">
            <w:pPr>
              <w:keepNext w:val="0"/>
              <w:keepLines w:val="0"/>
              <w:suppressLineNumbers w:val="0"/>
              <w:adjustRightInd w:val="0"/>
              <w:spacing w:before="0" w:beforeAutospacing="0" w:after="0" w:afterAutospacing="0" w:line="360" w:lineRule="exact"/>
              <w:ind w:left="-63" w:leftChars="-30" w:right="-63" w:rightChars="-30"/>
              <w:jc w:val="center"/>
              <w:rPr>
                <w:rFonts w:hint="default" w:ascii="Times New Roman" w:hAnsi="Times New Roman" w:eastAsia="宋体" w:cs="Times New Roman"/>
                <w:b/>
                <w:color w:val="auto"/>
                <w:kern w:val="0"/>
                <w:sz w:val="24"/>
              </w:rPr>
            </w:pPr>
            <w:r>
              <w:rPr>
                <w:rFonts w:hint="default" w:ascii="Times New Roman" w:hAnsi="宋体" w:eastAsia="宋体" w:cs="Times New Roman"/>
                <w:b/>
                <w:color w:val="auto"/>
                <w:kern w:val="0"/>
                <w:sz w:val="24"/>
              </w:rPr>
              <w:t>专项评价</w:t>
            </w:r>
            <w:r>
              <w:rPr>
                <w:rFonts w:hint="default" w:ascii="Times New Roman" w:hAnsi="宋体" w:eastAsia="宋体" w:cs="Times New Roman"/>
                <w:b/>
                <w:color w:val="auto"/>
                <w:sz w:val="24"/>
              </w:rPr>
              <w:t>设置</w:t>
            </w:r>
            <w:r>
              <w:rPr>
                <w:rFonts w:hint="default" w:ascii="Times New Roman" w:hAnsi="宋体" w:eastAsia="宋体" w:cs="Times New Roman"/>
                <w:b/>
                <w:color w:val="auto"/>
                <w:kern w:val="0"/>
                <w:sz w:val="24"/>
              </w:rPr>
              <w:t>情况</w:t>
            </w:r>
          </w:p>
        </w:tc>
        <w:tc>
          <w:tcPr>
            <w:tcW w:w="8020" w:type="dxa"/>
            <w:gridSpan w:val="3"/>
            <w:noWrap w:val="0"/>
            <w:vAlign w:val="center"/>
          </w:tcPr>
          <w:p w14:paraId="2213FF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textAlignment w:val="auto"/>
              <w:rPr>
                <w:rFonts w:hint="default" w:ascii="Times New Roman" w:hAnsi="Times New Roman" w:eastAsia="宋体" w:cs="Times New Roman"/>
                <w:color w:val="auto"/>
                <w:kern w:val="0"/>
                <w:sz w:val="24"/>
              </w:rPr>
            </w:pPr>
            <w:r>
              <w:rPr>
                <w:rFonts w:hint="default" w:ascii="Times New Roman" w:hAnsi="宋体" w:eastAsia="宋体" w:cs="Times New Roman"/>
                <w:color w:val="auto"/>
                <w:kern w:val="0"/>
                <w:sz w:val="24"/>
              </w:rPr>
              <w:t>根据《建设项目环境影响报告表编制技术指南（污染影响类）（试行）》，本项目</w:t>
            </w:r>
            <w:r>
              <w:rPr>
                <w:rFonts w:hint="default" w:ascii="Times New Roman" w:hAnsi="宋体" w:eastAsia="宋体" w:cs="Times New Roman"/>
                <w:color w:val="auto"/>
                <w:kern w:val="0"/>
                <w:sz w:val="24"/>
                <w:lang w:bidi="ar"/>
              </w:rPr>
              <w:t>无</w:t>
            </w:r>
            <w:r>
              <w:rPr>
                <w:rFonts w:hint="default" w:ascii="Times New Roman" w:hAnsi="宋体" w:eastAsia="宋体" w:cs="Times New Roman"/>
                <w:color w:val="auto"/>
                <w:kern w:val="0"/>
                <w:sz w:val="24"/>
              </w:rPr>
              <w:t>需设置专项</w:t>
            </w:r>
            <w:r>
              <w:rPr>
                <w:rFonts w:hint="default" w:ascii="Times New Roman" w:hAnsi="宋体" w:eastAsia="宋体" w:cs="Times New Roman"/>
                <w:b w:val="0"/>
                <w:bCs/>
                <w:color w:val="auto"/>
                <w:kern w:val="0"/>
                <w:sz w:val="24"/>
              </w:rPr>
              <w:t>评价</w:t>
            </w:r>
            <w:r>
              <w:rPr>
                <w:rFonts w:hint="default" w:ascii="Times New Roman" w:hAnsi="宋体" w:eastAsia="宋体" w:cs="Times New Roman"/>
                <w:color w:val="auto"/>
                <w:kern w:val="0"/>
                <w:sz w:val="24"/>
              </w:rPr>
              <w:t>。</w:t>
            </w:r>
          </w:p>
        </w:tc>
      </w:tr>
      <w:tr w14:paraId="6065B5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1181" w:type="dxa"/>
            <w:gridSpan w:val="2"/>
            <w:noWrap w:val="0"/>
            <w:vAlign w:val="center"/>
          </w:tcPr>
          <w:p w14:paraId="37B2ADB9">
            <w:pPr>
              <w:keepNext w:val="0"/>
              <w:keepLines w:val="0"/>
              <w:suppressLineNumbers w:val="0"/>
              <w:autoSpaceDE w:val="0"/>
              <w:autoSpaceDN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color w:val="auto"/>
                <w:kern w:val="0"/>
                <w:sz w:val="24"/>
              </w:rPr>
            </w:pPr>
            <w:r>
              <w:rPr>
                <w:rFonts w:hint="default" w:ascii="Times New Roman" w:hAnsi="宋体" w:eastAsia="宋体" w:cs="Times New Roman"/>
                <w:b/>
                <w:color w:val="auto"/>
                <w:sz w:val="24"/>
              </w:rPr>
              <w:t>规划情况</w:t>
            </w:r>
          </w:p>
        </w:tc>
        <w:tc>
          <w:tcPr>
            <w:tcW w:w="8020" w:type="dxa"/>
            <w:gridSpan w:val="3"/>
            <w:noWrap w:val="0"/>
            <w:vAlign w:val="center"/>
          </w:tcPr>
          <w:p w14:paraId="7D1F56A2">
            <w:pPr>
              <w:pStyle w:val="62"/>
              <w:keepNext w:val="0"/>
              <w:keepLines w:val="0"/>
              <w:suppressLineNumbers w:val="0"/>
              <w:bidi w:val="0"/>
              <w:spacing w:before="0" w:beforeAutospacing="0" w:after="0" w:afterAutospacing="0"/>
              <w:ind w:left="0" w:right="0"/>
              <w:rPr>
                <w:rFonts w:hint="default"/>
                <w:color w:val="auto"/>
                <w:lang w:eastAsia="zh-CN"/>
              </w:rPr>
            </w:pPr>
            <w:r>
              <w:rPr>
                <w:rFonts w:hint="default"/>
                <w:color w:val="auto"/>
                <w:lang w:eastAsia="zh-CN"/>
              </w:rPr>
              <w:t>规划名称：《淮南市东部工业区总体规划（2008-2020）》</w:t>
            </w:r>
          </w:p>
          <w:p w14:paraId="4D6A1D84">
            <w:pPr>
              <w:pStyle w:val="62"/>
              <w:keepNext w:val="0"/>
              <w:keepLines w:val="0"/>
              <w:suppressLineNumbers w:val="0"/>
              <w:bidi w:val="0"/>
              <w:spacing w:before="0" w:beforeAutospacing="0" w:after="0" w:afterAutospacing="0"/>
              <w:ind w:left="0" w:right="0"/>
              <w:rPr>
                <w:rFonts w:hint="default"/>
                <w:color w:val="auto"/>
                <w:lang w:eastAsia="zh-CN"/>
              </w:rPr>
            </w:pPr>
            <w:r>
              <w:rPr>
                <w:rFonts w:hint="default"/>
                <w:color w:val="auto"/>
                <w:lang w:eastAsia="zh-CN"/>
              </w:rPr>
              <w:t>审批机关：淮南市人民政府</w:t>
            </w:r>
          </w:p>
          <w:p w14:paraId="02D1C536">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lang w:val="en-US"/>
              </w:rPr>
            </w:pPr>
            <w:r>
              <w:rPr>
                <w:rFonts w:hint="eastAsia"/>
                <w:color w:val="auto"/>
                <w:lang w:eastAsia="zh-CN"/>
              </w:rPr>
              <w:t>规划审批文件名称及文号：《关于</w:t>
            </w:r>
            <w:r>
              <w:rPr>
                <w:rFonts w:hint="default"/>
                <w:color w:val="auto"/>
                <w:lang w:eastAsia="zh-CN"/>
              </w:rPr>
              <w:t>淮南市东部工业区总体规划（2008-2020）</w:t>
            </w:r>
            <w:r>
              <w:rPr>
                <w:rFonts w:hint="eastAsia"/>
                <w:color w:val="auto"/>
                <w:lang w:eastAsia="zh-CN"/>
              </w:rPr>
              <w:t>的批复》</w:t>
            </w:r>
            <w:r>
              <w:rPr>
                <w:rFonts w:hint="default"/>
                <w:color w:val="auto"/>
                <w:lang w:eastAsia="zh-CN"/>
              </w:rPr>
              <w:t>（</w:t>
            </w:r>
            <w:r>
              <w:rPr>
                <w:rFonts w:hint="eastAsia"/>
                <w:color w:val="auto"/>
                <w:lang w:eastAsia="zh-CN"/>
              </w:rPr>
              <w:t>淮政府秘[2009]118号</w:t>
            </w:r>
            <w:r>
              <w:rPr>
                <w:rFonts w:hint="default"/>
                <w:color w:val="auto"/>
                <w:lang w:eastAsia="zh-CN"/>
              </w:rPr>
              <w:t>）</w:t>
            </w:r>
          </w:p>
        </w:tc>
      </w:tr>
      <w:tr w14:paraId="033E86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00" w:hRule="atLeast"/>
          <w:jc w:val="center"/>
        </w:trPr>
        <w:tc>
          <w:tcPr>
            <w:tcW w:w="862" w:type="dxa"/>
            <w:noWrap w:val="0"/>
            <w:vAlign w:val="center"/>
          </w:tcPr>
          <w:p w14:paraId="3EF19417">
            <w:pPr>
              <w:keepNext w:val="0"/>
              <w:keepLines w:val="0"/>
              <w:suppressLineNumbers w:val="0"/>
              <w:adjustRightInd w:val="0"/>
              <w:spacing w:before="0" w:beforeAutospacing="0" w:after="0" w:afterAutospacing="0" w:line="460" w:lineRule="exact"/>
              <w:ind w:left="0" w:right="-63" w:rightChars="-30"/>
              <w:jc w:val="both"/>
              <w:rPr>
                <w:rFonts w:hint="default" w:ascii="Times New Roman" w:hAnsi="宋体" w:eastAsia="宋体" w:cs="Times New Roman"/>
                <w:b/>
                <w:bCs w:val="0"/>
                <w:color w:val="auto"/>
                <w:sz w:val="24"/>
              </w:rPr>
            </w:pPr>
          </w:p>
          <w:p w14:paraId="4E58E1F3">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宋体" w:eastAsia="宋体" w:cs="Times New Roman"/>
                <w:b/>
                <w:bCs w:val="0"/>
                <w:color w:val="auto"/>
                <w:sz w:val="24"/>
              </w:rPr>
            </w:pPr>
            <w:r>
              <w:rPr>
                <w:rFonts w:hint="default" w:ascii="Times New Roman" w:hAnsi="宋体" w:eastAsia="宋体" w:cs="Times New Roman"/>
                <w:b/>
                <w:bCs w:val="0"/>
                <w:color w:val="auto"/>
                <w:sz w:val="24"/>
              </w:rPr>
              <w:t>规划环境影响评价情况</w:t>
            </w:r>
          </w:p>
        </w:tc>
        <w:tc>
          <w:tcPr>
            <w:tcW w:w="8339" w:type="dxa"/>
            <w:gridSpan w:val="4"/>
            <w:noWrap w:val="0"/>
            <w:vAlign w:val="center"/>
          </w:tcPr>
          <w:p w14:paraId="6950AAF8">
            <w:pPr>
              <w:pStyle w:val="62"/>
              <w:keepNext w:val="0"/>
              <w:keepLines w:val="0"/>
              <w:suppressLineNumbers w:val="0"/>
              <w:bidi w:val="0"/>
              <w:spacing w:before="0" w:beforeAutospacing="0" w:after="0" w:afterAutospacing="0"/>
              <w:ind w:left="0" w:right="0"/>
              <w:rPr>
                <w:rFonts w:hint="eastAsia"/>
                <w:color w:val="auto"/>
                <w:lang w:eastAsia="zh-CN"/>
              </w:rPr>
            </w:pPr>
            <w:r>
              <w:rPr>
                <w:rFonts w:hint="eastAsia"/>
                <w:color w:val="auto"/>
                <w:lang w:eastAsia="zh-CN"/>
              </w:rPr>
              <w:t>1、</w:t>
            </w:r>
            <w:r>
              <w:rPr>
                <w:rFonts w:hint="default"/>
                <w:color w:val="auto"/>
                <w:lang w:eastAsia="zh-CN"/>
              </w:rPr>
              <w:t>规划环评名称：</w:t>
            </w:r>
            <w:r>
              <w:rPr>
                <w:rFonts w:hint="eastAsia"/>
                <w:color w:val="auto"/>
                <w:lang w:eastAsia="zh-CN"/>
              </w:rPr>
              <w:t>《淮南市东部工业区总体规划环境影响报告书》</w:t>
            </w:r>
          </w:p>
          <w:p w14:paraId="3BD87CFA">
            <w:pPr>
              <w:pStyle w:val="62"/>
              <w:keepNext w:val="0"/>
              <w:keepLines w:val="0"/>
              <w:suppressLineNumbers w:val="0"/>
              <w:bidi w:val="0"/>
              <w:spacing w:before="0" w:beforeAutospacing="0" w:after="0" w:afterAutospacing="0"/>
              <w:ind w:left="0" w:right="0"/>
              <w:rPr>
                <w:rFonts w:hint="default"/>
                <w:color w:val="auto"/>
                <w:lang w:eastAsia="zh-CN"/>
              </w:rPr>
            </w:pPr>
            <w:r>
              <w:rPr>
                <w:rFonts w:hint="default"/>
                <w:color w:val="auto"/>
                <w:lang w:eastAsia="zh-CN"/>
              </w:rPr>
              <w:t>审批机关：原</w:t>
            </w:r>
            <w:r>
              <w:rPr>
                <w:rFonts w:hint="eastAsia"/>
                <w:color w:val="auto"/>
                <w:lang w:eastAsia="zh-CN"/>
              </w:rPr>
              <w:t>淮南市环保局</w:t>
            </w:r>
          </w:p>
          <w:p w14:paraId="0FA2DD73">
            <w:pPr>
              <w:pStyle w:val="62"/>
              <w:keepNext w:val="0"/>
              <w:keepLines w:val="0"/>
              <w:suppressLineNumbers w:val="0"/>
              <w:bidi w:val="0"/>
              <w:spacing w:before="0" w:beforeAutospacing="0" w:after="0" w:afterAutospacing="0"/>
              <w:ind w:left="0" w:right="0"/>
              <w:rPr>
                <w:rFonts w:hint="eastAsia"/>
                <w:color w:val="auto"/>
                <w:lang w:eastAsia="zh-CN"/>
              </w:rPr>
            </w:pPr>
            <w:r>
              <w:rPr>
                <w:rFonts w:hint="default"/>
                <w:color w:val="auto"/>
                <w:lang w:eastAsia="zh-CN"/>
              </w:rPr>
              <w:t>规划环评审批文件名称及文号：</w:t>
            </w:r>
            <w:r>
              <w:rPr>
                <w:rFonts w:hint="eastAsia"/>
                <w:color w:val="auto"/>
                <w:lang w:eastAsia="zh-CN"/>
              </w:rPr>
              <w:t>淮南市环境保护局</w:t>
            </w:r>
            <w:r>
              <w:rPr>
                <w:rFonts w:hint="default"/>
                <w:color w:val="auto"/>
                <w:lang w:eastAsia="zh-CN"/>
              </w:rPr>
              <w:t>《</w:t>
            </w:r>
            <w:r>
              <w:rPr>
                <w:rFonts w:hint="eastAsia"/>
                <w:color w:val="auto"/>
                <w:lang w:eastAsia="zh-CN"/>
              </w:rPr>
              <w:t>关于淮南市东部工业区总体规划环境影响报告书</w:t>
            </w:r>
            <w:r>
              <w:rPr>
                <w:rFonts w:hint="default"/>
                <w:color w:val="auto"/>
                <w:lang w:eastAsia="zh-CN"/>
              </w:rPr>
              <w:t>》审核意见的函》（</w:t>
            </w:r>
            <w:r>
              <w:rPr>
                <w:rFonts w:hint="eastAsia"/>
                <w:color w:val="auto"/>
                <w:lang w:eastAsia="zh-CN"/>
              </w:rPr>
              <w:t>淮环函</w:t>
            </w:r>
            <w:r>
              <w:rPr>
                <w:rFonts w:hint="default"/>
                <w:color w:val="auto"/>
                <w:lang w:eastAsia="zh-CN"/>
              </w:rPr>
              <w:t>〔</w:t>
            </w:r>
            <w:r>
              <w:rPr>
                <w:rFonts w:hint="eastAsia"/>
                <w:color w:val="auto"/>
                <w:lang w:eastAsia="zh-CN"/>
              </w:rPr>
              <w:t>2010</w:t>
            </w:r>
            <w:r>
              <w:rPr>
                <w:rFonts w:hint="default"/>
                <w:color w:val="auto"/>
                <w:lang w:eastAsia="zh-CN"/>
              </w:rPr>
              <w:t>〕</w:t>
            </w:r>
            <w:r>
              <w:rPr>
                <w:rFonts w:hint="eastAsia"/>
                <w:color w:val="auto"/>
                <w:lang w:eastAsia="zh-CN"/>
              </w:rPr>
              <w:t>130号</w:t>
            </w:r>
            <w:r>
              <w:rPr>
                <w:rFonts w:hint="default"/>
                <w:color w:val="auto"/>
                <w:lang w:eastAsia="zh-CN"/>
              </w:rPr>
              <w:t>）</w:t>
            </w:r>
          </w:p>
          <w:p w14:paraId="6BAE4605">
            <w:pPr>
              <w:pStyle w:val="62"/>
              <w:keepNext w:val="0"/>
              <w:keepLines w:val="0"/>
              <w:suppressLineNumbers w:val="0"/>
              <w:bidi w:val="0"/>
              <w:spacing w:before="0" w:beforeAutospacing="0" w:after="0" w:afterAutospacing="0"/>
              <w:ind w:left="0" w:right="0"/>
              <w:rPr>
                <w:rFonts w:hint="default"/>
                <w:color w:val="auto"/>
                <w:lang w:eastAsia="zh-CN"/>
              </w:rPr>
            </w:pPr>
            <w:r>
              <w:rPr>
                <w:rFonts w:hint="eastAsia"/>
                <w:color w:val="auto"/>
                <w:lang w:eastAsia="zh-CN"/>
              </w:rPr>
              <w:t>2、规划环评跟踪评价名称：《淮南经济技术开发区总体发展规划环境影响跟踪评价报告书</w:t>
            </w:r>
            <w:r>
              <w:rPr>
                <w:rFonts w:hint="default"/>
                <w:color w:val="auto"/>
                <w:lang w:eastAsia="zh-CN"/>
              </w:rPr>
              <w:t>》</w:t>
            </w:r>
          </w:p>
          <w:p w14:paraId="0752AB3D">
            <w:pPr>
              <w:pStyle w:val="62"/>
              <w:keepNext w:val="0"/>
              <w:keepLines w:val="0"/>
              <w:suppressLineNumbers w:val="0"/>
              <w:bidi w:val="0"/>
              <w:spacing w:before="0" w:beforeAutospacing="0" w:after="0" w:afterAutospacing="0"/>
              <w:ind w:left="0" w:right="0"/>
              <w:rPr>
                <w:rFonts w:hint="default"/>
                <w:color w:val="auto"/>
                <w:lang w:eastAsia="zh-CN"/>
              </w:rPr>
            </w:pPr>
            <w:r>
              <w:rPr>
                <w:rFonts w:hint="eastAsia"/>
                <w:color w:val="auto"/>
                <w:lang w:eastAsia="zh-CN"/>
              </w:rPr>
              <w:t>审查单位：安徽省生态环境厅</w:t>
            </w:r>
          </w:p>
          <w:p w14:paraId="489F382B">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0"/>
                <w:lang w:eastAsia="zh-CN"/>
              </w:rPr>
            </w:pPr>
            <w:r>
              <w:rPr>
                <w:rFonts w:hint="eastAsia"/>
                <w:color w:val="auto"/>
                <w:lang w:eastAsia="zh-CN"/>
              </w:rPr>
              <w:t>审查文件：安徽省生态环境厅关于印发</w:t>
            </w:r>
            <w:r>
              <w:rPr>
                <w:rFonts w:hint="default"/>
                <w:color w:val="auto"/>
                <w:lang w:eastAsia="zh-CN"/>
              </w:rPr>
              <w:t>《</w:t>
            </w:r>
            <w:r>
              <w:rPr>
                <w:rFonts w:hint="eastAsia"/>
                <w:color w:val="auto"/>
                <w:lang w:eastAsia="zh-CN"/>
              </w:rPr>
              <w:t>淮南经济技术开发区总体发展规划环境影响跟踪评价报告书审核意见</w:t>
            </w:r>
            <w:r>
              <w:rPr>
                <w:rFonts w:hint="default"/>
                <w:color w:val="auto"/>
                <w:lang w:eastAsia="zh-CN"/>
              </w:rPr>
              <w:t>》的函（皖</w:t>
            </w:r>
            <w:r>
              <w:rPr>
                <w:rFonts w:hint="eastAsia"/>
                <w:color w:val="auto"/>
                <w:lang w:eastAsia="zh-CN"/>
              </w:rPr>
              <w:t>环</w:t>
            </w:r>
            <w:r>
              <w:rPr>
                <w:rFonts w:hint="default"/>
                <w:color w:val="auto"/>
                <w:lang w:eastAsia="zh-CN"/>
              </w:rPr>
              <w:t>函〔</w:t>
            </w:r>
            <w:r>
              <w:rPr>
                <w:rFonts w:hint="eastAsia"/>
                <w:color w:val="auto"/>
                <w:lang w:eastAsia="zh-CN"/>
              </w:rPr>
              <w:t>2020</w:t>
            </w:r>
            <w:r>
              <w:rPr>
                <w:rFonts w:hint="default"/>
                <w:color w:val="auto"/>
                <w:lang w:eastAsia="zh-CN"/>
              </w:rPr>
              <w:t>〕</w:t>
            </w:r>
            <w:r>
              <w:rPr>
                <w:rFonts w:hint="eastAsia"/>
                <w:color w:val="auto"/>
                <w:lang w:eastAsia="zh-CN"/>
              </w:rPr>
              <w:t>411</w:t>
            </w:r>
            <w:r>
              <w:rPr>
                <w:rFonts w:hint="default"/>
                <w:color w:val="auto"/>
                <w:lang w:eastAsia="zh-CN"/>
              </w:rPr>
              <w:t>号）</w:t>
            </w:r>
          </w:p>
        </w:tc>
      </w:tr>
      <w:tr w14:paraId="5D6D85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10" w:hRule="atLeast"/>
          <w:jc w:val="center"/>
        </w:trPr>
        <w:tc>
          <w:tcPr>
            <w:tcW w:w="862" w:type="dxa"/>
            <w:noWrap w:val="0"/>
            <w:vAlign w:val="center"/>
          </w:tcPr>
          <w:p w14:paraId="7DD9A9F3">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auto"/>
                <w:sz w:val="24"/>
              </w:rPr>
            </w:pPr>
          </w:p>
          <w:p w14:paraId="71801903">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auto"/>
                <w:sz w:val="24"/>
              </w:rPr>
            </w:pPr>
          </w:p>
          <w:p w14:paraId="404FB1B6">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auto"/>
                <w:sz w:val="24"/>
              </w:rPr>
            </w:pPr>
          </w:p>
          <w:p w14:paraId="2BC05BB8">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auto"/>
                <w:sz w:val="24"/>
              </w:rPr>
            </w:pPr>
          </w:p>
          <w:p w14:paraId="607F18EF">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宋体" w:eastAsia="宋体" w:cs="Times New Roman"/>
                <w:b/>
                <w:bCs w:val="0"/>
                <w:color w:val="auto"/>
                <w:sz w:val="24"/>
              </w:rPr>
            </w:pPr>
          </w:p>
          <w:p w14:paraId="6CDC471D">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宋体" w:eastAsia="宋体" w:cs="Times New Roman"/>
                <w:b/>
                <w:bCs w:val="0"/>
                <w:color w:val="auto"/>
                <w:sz w:val="24"/>
              </w:rPr>
            </w:pPr>
          </w:p>
          <w:p w14:paraId="1675CF7D">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宋体" w:eastAsia="宋体" w:cs="Times New Roman"/>
                <w:b/>
                <w:bCs w:val="0"/>
                <w:color w:val="auto"/>
                <w:sz w:val="24"/>
              </w:rPr>
            </w:pPr>
          </w:p>
          <w:p w14:paraId="24DA7BFC">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auto"/>
                <w:kern w:val="0"/>
                <w:szCs w:val="21"/>
              </w:rPr>
            </w:pPr>
            <w:r>
              <w:rPr>
                <w:rFonts w:hint="default" w:ascii="Times New Roman" w:hAnsi="宋体" w:eastAsia="宋体" w:cs="Times New Roman"/>
                <w:b/>
                <w:bCs w:val="0"/>
                <w:color w:val="auto"/>
                <w:sz w:val="24"/>
              </w:rPr>
              <w:t>规划及规划环境影响评价符合性分析</w:t>
            </w:r>
          </w:p>
          <w:p w14:paraId="0624D910">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auto"/>
                <w:kern w:val="0"/>
                <w:szCs w:val="21"/>
              </w:rPr>
            </w:pPr>
          </w:p>
          <w:p w14:paraId="68D07845">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auto"/>
                <w:kern w:val="0"/>
                <w:szCs w:val="21"/>
              </w:rPr>
            </w:pPr>
          </w:p>
          <w:p w14:paraId="28842B1B">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auto"/>
                <w:kern w:val="0"/>
                <w:szCs w:val="21"/>
              </w:rPr>
            </w:pPr>
          </w:p>
          <w:p w14:paraId="32BDBE38">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auto"/>
                <w:kern w:val="0"/>
                <w:szCs w:val="21"/>
              </w:rPr>
            </w:pPr>
          </w:p>
          <w:p w14:paraId="07813F23">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0000FF"/>
                <w:kern w:val="0"/>
                <w:szCs w:val="21"/>
              </w:rPr>
            </w:pPr>
          </w:p>
          <w:p w14:paraId="5E0696EB">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0000FF"/>
                <w:kern w:val="0"/>
                <w:szCs w:val="21"/>
              </w:rPr>
            </w:pPr>
          </w:p>
          <w:p w14:paraId="2CAF0270">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0000FF"/>
                <w:kern w:val="0"/>
                <w:szCs w:val="21"/>
              </w:rPr>
            </w:pPr>
          </w:p>
          <w:p w14:paraId="73E3BE2A">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0000FF"/>
                <w:kern w:val="0"/>
                <w:szCs w:val="21"/>
              </w:rPr>
            </w:pPr>
          </w:p>
          <w:p w14:paraId="5AC2C25B">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0000FF"/>
                <w:kern w:val="0"/>
                <w:szCs w:val="21"/>
              </w:rPr>
            </w:pPr>
          </w:p>
          <w:p w14:paraId="46E0DC2C">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0000FF"/>
                <w:kern w:val="0"/>
                <w:szCs w:val="21"/>
              </w:rPr>
            </w:pPr>
          </w:p>
          <w:p w14:paraId="0FF58944">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0000FF"/>
                <w:sz w:val="24"/>
              </w:rPr>
            </w:pPr>
          </w:p>
          <w:p w14:paraId="7BA11210">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0000FF"/>
                <w:sz w:val="24"/>
              </w:rPr>
            </w:pPr>
          </w:p>
          <w:p w14:paraId="636328E4">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0000FF"/>
                <w:sz w:val="24"/>
              </w:rPr>
            </w:pPr>
          </w:p>
          <w:p w14:paraId="14B6D7B1">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0000FF"/>
                <w:sz w:val="24"/>
              </w:rPr>
            </w:pPr>
          </w:p>
          <w:p w14:paraId="42D640B6">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宋体" w:eastAsia="宋体" w:cs="Times New Roman"/>
                <w:b/>
                <w:bCs w:val="0"/>
                <w:color w:val="0000FF"/>
                <w:sz w:val="24"/>
              </w:rPr>
            </w:pPr>
          </w:p>
          <w:p w14:paraId="09C370A7">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宋体" w:eastAsia="宋体" w:cs="Times New Roman"/>
                <w:b/>
                <w:bCs w:val="0"/>
                <w:color w:val="0000FF"/>
                <w:sz w:val="24"/>
              </w:rPr>
            </w:pPr>
          </w:p>
          <w:p w14:paraId="11F52E1D">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宋体" w:eastAsia="宋体" w:cs="Times New Roman"/>
                <w:b/>
                <w:bCs w:val="0"/>
                <w:color w:val="0000FF"/>
                <w:sz w:val="24"/>
              </w:rPr>
            </w:pPr>
          </w:p>
          <w:p w14:paraId="79747392">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宋体" w:eastAsia="宋体" w:cs="Times New Roman"/>
                <w:b/>
                <w:bCs w:val="0"/>
                <w:color w:val="0000FF"/>
                <w:sz w:val="24"/>
              </w:rPr>
            </w:pPr>
          </w:p>
          <w:p w14:paraId="29E764A4">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宋体" w:eastAsia="宋体" w:cs="Times New Roman"/>
                <w:b/>
                <w:bCs w:val="0"/>
                <w:color w:val="0000FF"/>
                <w:sz w:val="24"/>
              </w:rPr>
            </w:pPr>
          </w:p>
          <w:p w14:paraId="3B88091E">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宋体" w:eastAsia="宋体" w:cs="Times New Roman"/>
                <w:b/>
                <w:bCs w:val="0"/>
                <w:color w:val="0000FF"/>
                <w:sz w:val="24"/>
              </w:rPr>
            </w:pPr>
          </w:p>
          <w:p w14:paraId="3BCA6681">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auto"/>
                <w:kern w:val="0"/>
                <w:szCs w:val="21"/>
              </w:rPr>
            </w:pPr>
            <w:r>
              <w:rPr>
                <w:rFonts w:hint="default" w:ascii="Times New Roman" w:hAnsi="宋体" w:eastAsia="宋体" w:cs="Times New Roman"/>
                <w:b/>
                <w:bCs w:val="0"/>
                <w:color w:val="auto"/>
                <w:sz w:val="24"/>
              </w:rPr>
              <w:t>规划及规划环境影响评价符合性分析</w:t>
            </w:r>
          </w:p>
          <w:p w14:paraId="3CC9FB35">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0000FF"/>
                <w:kern w:val="0"/>
                <w:szCs w:val="21"/>
              </w:rPr>
            </w:pPr>
          </w:p>
          <w:p w14:paraId="4134CFDD">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0000FF"/>
                <w:kern w:val="0"/>
                <w:szCs w:val="21"/>
              </w:rPr>
            </w:pPr>
          </w:p>
          <w:p w14:paraId="14D16C62">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0000FF"/>
                <w:kern w:val="0"/>
                <w:szCs w:val="21"/>
              </w:rPr>
            </w:pPr>
          </w:p>
          <w:p w14:paraId="1403C575">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0000FF"/>
                <w:kern w:val="0"/>
                <w:szCs w:val="21"/>
              </w:rPr>
            </w:pPr>
          </w:p>
          <w:p w14:paraId="6C4B998E">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0000FF"/>
                <w:kern w:val="0"/>
                <w:szCs w:val="21"/>
              </w:rPr>
            </w:pPr>
          </w:p>
          <w:p w14:paraId="302DA645">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0000FF"/>
                <w:kern w:val="0"/>
                <w:szCs w:val="21"/>
              </w:rPr>
            </w:pPr>
          </w:p>
          <w:p w14:paraId="6567CC1B">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0000FF"/>
                <w:kern w:val="0"/>
                <w:szCs w:val="21"/>
              </w:rPr>
            </w:pPr>
          </w:p>
          <w:p w14:paraId="57CB946F">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0000FF"/>
                <w:kern w:val="0"/>
                <w:szCs w:val="21"/>
              </w:rPr>
            </w:pPr>
          </w:p>
          <w:p w14:paraId="14E62A8E">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0000FF"/>
                <w:kern w:val="0"/>
                <w:szCs w:val="21"/>
              </w:rPr>
            </w:pPr>
          </w:p>
          <w:p w14:paraId="05285900">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0000FF"/>
                <w:kern w:val="0"/>
                <w:szCs w:val="21"/>
              </w:rPr>
            </w:pPr>
          </w:p>
          <w:p w14:paraId="7AB3D8E6">
            <w:pPr>
              <w:keepNext w:val="0"/>
              <w:keepLines w:val="0"/>
              <w:suppressLineNumbers w:val="0"/>
              <w:adjustRightInd w:val="0"/>
              <w:spacing w:before="0" w:beforeAutospacing="0" w:after="0" w:afterAutospacing="0" w:line="460" w:lineRule="exact"/>
              <w:ind w:left="0" w:right="-63" w:rightChars="-30"/>
              <w:jc w:val="both"/>
              <w:rPr>
                <w:rFonts w:hint="eastAsia" w:ascii="Times New Roman" w:hAnsi="Times New Roman" w:eastAsia="宋体" w:cs="Times New Roman"/>
                <w:b w:val="0"/>
                <w:bCs/>
                <w:color w:val="0000FF"/>
                <w:kern w:val="0"/>
                <w:szCs w:val="21"/>
                <w:lang w:eastAsia="zh-CN"/>
              </w:rPr>
            </w:pPr>
          </w:p>
          <w:p w14:paraId="77C13D88">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宋体" w:eastAsia="宋体" w:cs="Times New Roman"/>
                <w:b/>
                <w:bCs w:val="0"/>
                <w:color w:val="0000FF"/>
                <w:sz w:val="24"/>
              </w:rPr>
            </w:pPr>
          </w:p>
          <w:p w14:paraId="6A1A6E72">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宋体" w:eastAsia="宋体" w:cs="Times New Roman"/>
                <w:b/>
                <w:bCs w:val="0"/>
                <w:color w:val="0000FF"/>
                <w:sz w:val="24"/>
              </w:rPr>
            </w:pPr>
          </w:p>
          <w:p w14:paraId="087B9A7C">
            <w:pPr>
              <w:keepNext w:val="0"/>
              <w:keepLines w:val="0"/>
              <w:suppressLineNumbers w:val="0"/>
              <w:adjustRightInd w:val="0"/>
              <w:spacing w:before="0" w:beforeAutospacing="0" w:after="0" w:afterAutospacing="0" w:line="460" w:lineRule="exact"/>
              <w:ind w:left="0" w:right="-63" w:rightChars="-30"/>
              <w:jc w:val="both"/>
              <w:rPr>
                <w:rFonts w:hint="default" w:ascii="Times New Roman" w:hAnsi="宋体" w:eastAsia="宋体" w:cs="Times New Roman"/>
                <w:b/>
                <w:bCs w:val="0"/>
                <w:color w:val="0000FF"/>
                <w:sz w:val="24"/>
              </w:rPr>
            </w:pPr>
          </w:p>
          <w:p w14:paraId="33104BFE">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宋体" w:eastAsia="宋体" w:cs="Times New Roman"/>
                <w:b/>
                <w:bCs w:val="0"/>
                <w:color w:val="0000FF"/>
                <w:sz w:val="24"/>
              </w:rPr>
            </w:pPr>
          </w:p>
          <w:p w14:paraId="4DD68215">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宋体" w:eastAsia="宋体" w:cs="Times New Roman"/>
                <w:b/>
                <w:bCs w:val="0"/>
                <w:color w:val="0000FF"/>
                <w:sz w:val="24"/>
              </w:rPr>
            </w:pPr>
          </w:p>
          <w:p w14:paraId="7BE90601">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宋体" w:eastAsia="宋体" w:cs="Times New Roman"/>
                <w:b/>
                <w:bCs w:val="0"/>
                <w:color w:val="0000FF"/>
                <w:sz w:val="24"/>
              </w:rPr>
            </w:pPr>
          </w:p>
          <w:p w14:paraId="13BF18C7">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宋体" w:eastAsia="宋体" w:cs="Times New Roman"/>
                <w:b/>
                <w:bCs w:val="0"/>
                <w:color w:val="0000FF"/>
                <w:sz w:val="24"/>
              </w:rPr>
            </w:pPr>
          </w:p>
          <w:p w14:paraId="34C627E3">
            <w:pPr>
              <w:keepNext w:val="0"/>
              <w:keepLines w:val="0"/>
              <w:suppressLineNumbers w:val="0"/>
              <w:adjustRightInd w:val="0"/>
              <w:spacing w:before="0" w:beforeAutospacing="0" w:after="0" w:afterAutospacing="0" w:line="460" w:lineRule="exact"/>
              <w:ind w:left="0" w:right="-63" w:rightChars="-30"/>
              <w:jc w:val="both"/>
              <w:rPr>
                <w:rFonts w:hint="default" w:ascii="Times New Roman" w:hAnsi="宋体" w:eastAsia="宋体" w:cs="Times New Roman"/>
                <w:b/>
                <w:bCs w:val="0"/>
                <w:color w:val="0000FF"/>
                <w:sz w:val="24"/>
              </w:rPr>
            </w:pPr>
          </w:p>
          <w:p w14:paraId="6753A784">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宋体" w:eastAsia="宋体" w:cs="Times New Roman"/>
                <w:b/>
                <w:bCs w:val="0"/>
                <w:color w:val="0000FF"/>
                <w:sz w:val="24"/>
              </w:rPr>
            </w:pPr>
          </w:p>
          <w:p w14:paraId="2E2BC7B1">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auto"/>
                <w:kern w:val="0"/>
                <w:szCs w:val="21"/>
              </w:rPr>
            </w:pPr>
            <w:r>
              <w:rPr>
                <w:rFonts w:hint="default" w:ascii="Times New Roman" w:hAnsi="宋体" w:eastAsia="宋体" w:cs="Times New Roman"/>
                <w:b/>
                <w:bCs w:val="0"/>
                <w:color w:val="auto"/>
                <w:sz w:val="24"/>
              </w:rPr>
              <w:t>规划及规划环境影响评价符合性分析</w:t>
            </w:r>
          </w:p>
          <w:p w14:paraId="7996F556">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0000FF"/>
                <w:kern w:val="0"/>
                <w:szCs w:val="21"/>
              </w:rPr>
            </w:pPr>
          </w:p>
          <w:p w14:paraId="5A4EAC69">
            <w:pPr>
              <w:keepNext w:val="0"/>
              <w:keepLines w:val="0"/>
              <w:suppressLineNumbers w:val="0"/>
              <w:adjustRightInd w:val="0"/>
              <w:spacing w:before="0" w:beforeAutospacing="0" w:after="0" w:afterAutospacing="0" w:line="460" w:lineRule="exact"/>
              <w:ind w:left="-63" w:leftChars="-30" w:right="-63" w:rightChars="-30"/>
              <w:jc w:val="center"/>
              <w:rPr>
                <w:rFonts w:hint="default" w:ascii="Times New Roman" w:hAnsi="Times New Roman" w:eastAsia="宋体" w:cs="Times New Roman"/>
                <w:b w:val="0"/>
                <w:bCs/>
                <w:color w:val="0000FF"/>
                <w:kern w:val="0"/>
                <w:szCs w:val="21"/>
              </w:rPr>
            </w:pPr>
          </w:p>
          <w:p w14:paraId="643FA0BC">
            <w:pPr>
              <w:pStyle w:val="5"/>
              <w:suppressLineNumbers w:val="0"/>
              <w:spacing w:beforeAutospacing="0" w:afterAutospacing="0"/>
              <w:ind w:left="0" w:leftChars="0" w:right="0" w:rightChars="0"/>
              <w:rPr>
                <w:rFonts w:hint="default" w:ascii="Times New Roman" w:hAnsi="Times New Roman" w:eastAsia="宋体" w:cs="Times New Roman"/>
                <w:b/>
                <w:color w:val="0000FF"/>
                <w:sz w:val="24"/>
              </w:rPr>
            </w:pPr>
          </w:p>
        </w:tc>
        <w:tc>
          <w:tcPr>
            <w:tcW w:w="8339" w:type="dxa"/>
            <w:gridSpan w:val="4"/>
            <w:noWrap w:val="0"/>
            <w:vAlign w:val="center"/>
          </w:tcPr>
          <w:p w14:paraId="7B2897ED">
            <w:pPr>
              <w:pStyle w:val="62"/>
              <w:keepNext w:val="0"/>
              <w:keepLines w:val="0"/>
              <w:suppressLineNumbers w:val="0"/>
              <w:bidi w:val="0"/>
              <w:spacing w:before="0" w:beforeAutospacing="0" w:after="0" w:afterAutospacing="0"/>
              <w:ind w:left="0" w:leftChars="0" w:right="0" w:firstLine="0" w:firstLineChars="0"/>
              <w:rPr>
                <w:rFonts w:hint="default"/>
                <w:color w:val="auto"/>
                <w:lang w:eastAsia="zh-CN"/>
              </w:rPr>
            </w:pPr>
            <w:r>
              <w:rPr>
                <w:rFonts w:hint="default"/>
                <w:b/>
                <w:bCs/>
                <w:color w:val="auto"/>
              </w:rPr>
              <w:pict>
                <v:rect id="_x0000_s10374" o:spid="_x0000_s10374" o:spt="1" style="position:absolute;left:0pt;margin-left:53.45pt;margin-top:575.4pt;height:22.2pt;width:302.25pt;z-index:251665408;mso-width-relative:page;mso-height-relative:page;" fillcolor="#FFFFFF" filled="t" stroked="f" coordsize="21600,21600">
                  <v:path/>
                  <v:fill on="t" color2="#FFFFFF" focussize="0,0"/>
                  <v:stroke on="f"/>
                  <v:imagedata o:title=""/>
                  <o:lock v:ext="edit" aspectratio="f"/>
                  <v:textbox>
                    <w:txbxContent>
                      <w:p w14:paraId="34ED57A6">
                        <w:pPr>
                          <w:jc w:val="center"/>
                          <w:rPr>
                            <w:rFonts w:hint="eastAsia" w:ascii="宋体" w:hAnsi="宋体" w:eastAsia="宋体" w:cs="宋体"/>
                            <w:b/>
                            <w:bCs/>
                            <w:lang w:val="en-US" w:eastAsia="zh-CN"/>
                          </w:rPr>
                        </w:pPr>
                        <w:r>
                          <w:rPr>
                            <w:rFonts w:hint="eastAsia" w:ascii="宋体" w:hAnsi="宋体" w:eastAsia="宋体" w:cs="宋体"/>
                            <w:b/>
                            <w:bCs/>
                            <w:lang w:val="en-US" w:eastAsia="zh-CN"/>
                          </w:rPr>
                          <w:t>图1-1  本项目与开发区总体规划位置关系</w:t>
                        </w:r>
                      </w:p>
                    </w:txbxContent>
                  </v:textbox>
                </v:rect>
              </w:pict>
            </w:r>
            <w:r>
              <w:rPr>
                <w:rFonts w:hint="eastAsia"/>
                <w:b/>
                <w:bCs/>
                <w:color w:val="auto"/>
                <w:lang w:eastAsia="zh-CN"/>
              </w:rPr>
              <w:t>1、</w:t>
            </w:r>
            <w:r>
              <w:rPr>
                <w:rFonts w:hint="default"/>
                <w:b/>
                <w:bCs/>
                <w:color w:val="auto"/>
                <w:lang w:eastAsia="zh-CN"/>
              </w:rPr>
              <w:t>规划符合性分析</w:t>
            </w:r>
          </w:p>
          <w:p w14:paraId="07C93888">
            <w:pPr>
              <w:pStyle w:val="62"/>
              <w:keepNext w:val="0"/>
              <w:keepLines w:val="0"/>
              <w:suppressLineNumbers w:val="0"/>
              <w:bidi w:val="0"/>
              <w:spacing w:before="0" w:beforeAutospacing="0" w:after="0" w:afterAutospacing="0"/>
              <w:ind w:left="0" w:right="0"/>
              <w:rPr>
                <w:rFonts w:hint="eastAsia" w:ascii="Times New Roman" w:hAnsi="宋体"/>
                <w:color w:val="auto"/>
                <w:szCs w:val="24"/>
                <w:lang w:eastAsia="zh-CN"/>
              </w:rPr>
            </w:pPr>
            <w:r>
              <w:rPr>
                <w:rFonts w:hint="eastAsia"/>
                <w:color w:val="auto"/>
                <w:lang w:eastAsia="zh-CN"/>
              </w:rPr>
              <w:t>1995年5月5日，安徽省人民政府批复（皖政秘〔1995〕88号）了淮南经济技术开发区总体规划</w:t>
            </w:r>
            <w:r>
              <w:rPr>
                <w:rFonts w:hint="eastAsia" w:ascii="Times New Roman" w:hAnsi="宋体"/>
                <w:color w:val="auto"/>
                <w:szCs w:val="24"/>
                <w:lang w:eastAsia="zh-CN"/>
              </w:rPr>
              <w:t>，批准规划面积为4.29km</w:t>
            </w:r>
            <w:r>
              <w:rPr>
                <w:rFonts w:hint="eastAsia" w:ascii="Times New Roman" w:hAnsi="宋体"/>
                <w:color w:val="auto"/>
                <w:szCs w:val="24"/>
                <w:vertAlign w:val="superscript"/>
                <w:lang w:eastAsia="zh-CN"/>
              </w:rPr>
              <w:t>2</w:t>
            </w:r>
            <w:r>
              <w:rPr>
                <w:rFonts w:hint="eastAsia" w:ascii="Times New Roman" w:hAnsi="宋体"/>
                <w:color w:val="auto"/>
                <w:szCs w:val="24"/>
                <w:lang w:eastAsia="zh-CN"/>
              </w:rPr>
              <w:t>，其中第一期开发建设面积为2km</w:t>
            </w:r>
            <w:r>
              <w:rPr>
                <w:rFonts w:hint="eastAsia" w:ascii="Times New Roman" w:hAnsi="宋体"/>
                <w:color w:val="auto"/>
                <w:szCs w:val="24"/>
                <w:vertAlign w:val="superscript"/>
                <w:lang w:eastAsia="zh-CN"/>
              </w:rPr>
              <w:t>2</w:t>
            </w:r>
            <w:r>
              <w:rPr>
                <w:rFonts w:hint="eastAsia" w:ascii="Times New Roman" w:hAnsi="宋体"/>
                <w:color w:val="auto"/>
                <w:szCs w:val="24"/>
                <w:lang w:eastAsia="zh-CN"/>
              </w:rPr>
              <w:t>。四至范围为：东至中兴路，南至合阜铁路，西至建兴路-国庆东路-建设路，北至电厂路。</w:t>
            </w:r>
          </w:p>
          <w:p w14:paraId="73535A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Times New Roman" w:hAnsi="宋体"/>
                <w:sz w:val="24"/>
                <w:szCs w:val="24"/>
                <w:lang w:eastAsia="zh-CN"/>
              </w:rPr>
            </w:pPr>
            <w:r>
              <w:rPr>
                <w:rFonts w:hint="eastAsia" w:ascii="Times New Roman" w:hAnsi="宋体"/>
                <w:sz w:val="24"/>
                <w:szCs w:val="24"/>
                <w:lang w:eastAsia="zh-CN"/>
              </w:rPr>
              <w:t>2008年，淮南市人民政府委托编制完成《淮南市东部工业区总体规划（2008-2020）》，规划范围为：南至合徐高速公路淮南连接线、西至田大路、东至洛九路、北至电厂路，规划面积20km</w:t>
            </w:r>
            <w:r>
              <w:rPr>
                <w:rFonts w:hint="eastAsia" w:ascii="Times New Roman" w:hAnsi="宋体"/>
                <w:sz w:val="24"/>
                <w:szCs w:val="24"/>
                <w:vertAlign w:val="superscript"/>
                <w:lang w:eastAsia="zh-CN"/>
              </w:rPr>
              <w:t>2</w:t>
            </w:r>
            <w:r>
              <w:rPr>
                <w:rFonts w:hint="eastAsia" w:ascii="Times New Roman" w:hAnsi="宋体"/>
                <w:sz w:val="24"/>
                <w:szCs w:val="24"/>
                <w:lang w:eastAsia="zh-CN"/>
              </w:rPr>
              <w:t>，规划主导产业为“生物医药、纺织服装、化学工业、机械电子与新型材料、食品加工、商贸流通”。</w:t>
            </w:r>
          </w:p>
          <w:p w14:paraId="0CFB2E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Times New Roman" w:hAnsi="宋体"/>
                <w:sz w:val="24"/>
                <w:szCs w:val="24"/>
                <w:lang w:eastAsia="zh-CN"/>
              </w:rPr>
            </w:pPr>
            <w:r>
              <w:rPr>
                <w:rFonts w:hint="eastAsia" w:ascii="Times New Roman" w:hAnsi="宋体"/>
                <w:sz w:val="24"/>
                <w:szCs w:val="24"/>
                <w:lang w:eastAsia="zh-CN"/>
              </w:rPr>
              <w:t>2011年7月24日，安徽省人民政府批准《关于同意安徽淮南经济开发区扩区的批复》（皖政秘﹝2011﹞252号），扩区后淮南经济开发区总体规划面积为20平方公里，规划范围为：东至206国道（洛九路），南至合徐高速淮南连接线公路，西至田大路，北至电厂路。扩区后淮南经济开发区与淮南东部工业区规划用地范围完全一致，淮南东部工业区即安徽淮南经济开发区。</w:t>
            </w:r>
          </w:p>
          <w:p w14:paraId="3C6839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Times New Roman" w:hAnsi="宋体"/>
                <w:sz w:val="24"/>
                <w:szCs w:val="24"/>
                <w:lang w:eastAsia="zh-CN"/>
              </w:rPr>
            </w:pPr>
            <w:r>
              <w:rPr>
                <w:rFonts w:hint="eastAsia" w:ascii="Times New Roman" w:hAnsi="宋体"/>
                <w:sz w:val="24"/>
                <w:szCs w:val="24"/>
                <w:lang w:eastAsia="zh-CN"/>
              </w:rPr>
              <w:t>淮南东部工业区与安徽淮南经济开发区规划用地范围完全一致，淮南东部工业区即安徽淮南经济技术开发区。四至范围为：南至合徐高速公路淮南连接线、西至田大路、东至洛九路、北至电厂路，总面积为20平方公里。</w:t>
            </w:r>
          </w:p>
          <w:p w14:paraId="7D3B35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Times New Roman" w:hAnsi="宋体"/>
                <w:sz w:val="24"/>
                <w:szCs w:val="24"/>
                <w:lang w:eastAsia="zh-CN"/>
              </w:rPr>
            </w:pPr>
            <w:r>
              <w:rPr>
                <w:rFonts w:hint="eastAsia" w:ascii="Times New Roman" w:hAnsi="宋体"/>
                <w:sz w:val="24"/>
                <w:szCs w:val="24"/>
                <w:lang w:eastAsia="zh-CN"/>
              </w:rPr>
              <w:t>淮南经济技术开发区的主导产业为：专用设备、医药。</w:t>
            </w:r>
          </w:p>
          <w:p w14:paraId="11372303">
            <w:pPr>
              <w:pStyle w:val="63"/>
              <w:keepNext w:val="0"/>
              <w:keepLines w:val="0"/>
              <w:suppressLineNumbers w:val="0"/>
              <w:bidi w:val="0"/>
              <w:spacing w:before="0" w:beforeAutospacing="0" w:after="0" w:afterAutospacing="0"/>
              <w:ind w:left="0" w:right="0"/>
              <w:rPr>
                <w:rFonts w:ascii="Times New Roman" w:hAnsi="Times New Roman" w:eastAsia="黑体"/>
                <w:bCs/>
                <w:color w:val="auto"/>
                <w:szCs w:val="24"/>
                <w:lang w:eastAsia="zh-CN"/>
              </w:rPr>
            </w:pPr>
            <w:r>
              <w:rPr>
                <w:color w:val="auto"/>
                <w:lang w:eastAsia="zh-CN"/>
              </w:rPr>
              <w:t>表1-</w:t>
            </w:r>
            <w:r>
              <w:rPr>
                <w:rFonts w:hint="eastAsia"/>
                <w:color w:val="auto"/>
                <w:lang w:val="en-US" w:eastAsia="zh-CN"/>
              </w:rPr>
              <w:t>1</w:t>
            </w:r>
            <w:r>
              <w:rPr>
                <w:color w:val="auto"/>
                <w:lang w:eastAsia="zh-CN"/>
              </w:rPr>
              <w:t xml:space="preserve">  园区入园行业的控制建议</w:t>
            </w:r>
          </w:p>
          <w:tbl>
            <w:tblPr>
              <w:tblStyle w:val="52"/>
              <w:tblW w:w="5000" w:type="pct"/>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7"/>
              <w:gridCol w:w="1130"/>
              <w:gridCol w:w="6276"/>
            </w:tblGrid>
            <w:tr w14:paraId="38EA2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5" w:type="pct"/>
                  <w:tcBorders>
                    <w:tl2br w:val="nil"/>
                    <w:tr2bl w:val="nil"/>
                  </w:tcBorders>
                  <w:noWrap w:val="0"/>
                  <w:vAlign w:val="center"/>
                </w:tcPr>
                <w:p w14:paraId="30330D2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序号</w:t>
                  </w:r>
                </w:p>
              </w:tc>
              <w:tc>
                <w:tcPr>
                  <w:tcW w:w="696" w:type="pct"/>
                  <w:tcBorders>
                    <w:tl2br w:val="nil"/>
                    <w:tr2bl w:val="nil"/>
                  </w:tcBorders>
                  <w:noWrap w:val="0"/>
                  <w:vAlign w:val="center"/>
                </w:tcPr>
                <w:p w14:paraId="596AAB8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类型</w:t>
                  </w:r>
                </w:p>
              </w:tc>
              <w:tc>
                <w:tcPr>
                  <w:tcW w:w="3867" w:type="pct"/>
                  <w:tcBorders>
                    <w:tl2br w:val="nil"/>
                    <w:tr2bl w:val="nil"/>
                  </w:tcBorders>
                  <w:noWrap w:val="0"/>
                  <w:vAlign w:val="center"/>
                </w:tcPr>
                <w:p w14:paraId="28DD22D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负面清单要求</w:t>
                  </w:r>
                </w:p>
              </w:tc>
            </w:tr>
            <w:tr w14:paraId="07003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5" w:type="pct"/>
                  <w:tcBorders>
                    <w:tl2br w:val="nil"/>
                    <w:tr2bl w:val="nil"/>
                  </w:tcBorders>
                  <w:noWrap w:val="0"/>
                  <w:vAlign w:val="center"/>
                </w:tcPr>
                <w:p w14:paraId="06AE7D3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696" w:type="pct"/>
                  <w:vMerge w:val="restart"/>
                  <w:tcBorders>
                    <w:tl2br w:val="nil"/>
                    <w:tr2bl w:val="nil"/>
                  </w:tcBorders>
                  <w:noWrap w:val="0"/>
                  <w:vAlign w:val="center"/>
                </w:tcPr>
                <w:p w14:paraId="51646F7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产业导向</w:t>
                  </w:r>
                </w:p>
              </w:tc>
              <w:tc>
                <w:tcPr>
                  <w:tcW w:w="3867" w:type="pct"/>
                  <w:tcBorders>
                    <w:tl2br w:val="nil"/>
                    <w:tr2bl w:val="nil"/>
                  </w:tcBorders>
                  <w:noWrap w:val="0"/>
                  <w:vAlign w:val="center"/>
                </w:tcPr>
                <w:p w14:paraId="7B872B0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禁止引入国家明令禁止建设或投资的、列入《产业结构调整指导目录(2019年本）》、《外商投资产业指导目录（2017年修订)》、《市场准入负面清单(2019年版）》等相关产业政策中禁止或淘汰类的项目。</w:t>
                  </w:r>
                </w:p>
              </w:tc>
            </w:tr>
            <w:tr w14:paraId="30F4F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5" w:type="pct"/>
                  <w:tcBorders>
                    <w:tl2br w:val="nil"/>
                    <w:tr2bl w:val="nil"/>
                  </w:tcBorders>
                  <w:noWrap w:val="0"/>
                  <w:vAlign w:val="center"/>
                </w:tcPr>
                <w:p w14:paraId="02AF602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696" w:type="pct"/>
                  <w:vMerge w:val="continue"/>
                  <w:tcBorders>
                    <w:tl2br w:val="nil"/>
                    <w:tr2bl w:val="nil"/>
                  </w:tcBorders>
                  <w:noWrap w:val="0"/>
                  <w:vAlign w:val="center"/>
                </w:tcPr>
                <w:p w14:paraId="6FD782B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p>
              </w:tc>
              <w:tc>
                <w:tcPr>
                  <w:tcW w:w="3867" w:type="pct"/>
                  <w:tcBorders>
                    <w:tl2br w:val="nil"/>
                    <w:tr2bl w:val="nil"/>
                  </w:tcBorders>
                  <w:noWrap w:val="0"/>
                  <w:vAlign w:val="center"/>
                </w:tcPr>
                <w:p w14:paraId="25E5BD9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禁止引进国家、安徽省明确规定不得审批的建设项目。</w:t>
                  </w:r>
                </w:p>
              </w:tc>
            </w:tr>
            <w:tr w14:paraId="204D9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5" w:type="pct"/>
                  <w:tcBorders>
                    <w:tl2br w:val="nil"/>
                    <w:tr2bl w:val="nil"/>
                  </w:tcBorders>
                  <w:noWrap w:val="0"/>
                  <w:vAlign w:val="center"/>
                </w:tcPr>
                <w:p w14:paraId="1E4A6C9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3</w:t>
                  </w:r>
                </w:p>
              </w:tc>
              <w:tc>
                <w:tcPr>
                  <w:tcW w:w="696" w:type="pct"/>
                  <w:vMerge w:val="continue"/>
                  <w:tcBorders>
                    <w:tl2br w:val="nil"/>
                    <w:tr2bl w:val="nil"/>
                  </w:tcBorders>
                  <w:noWrap w:val="0"/>
                  <w:vAlign w:val="center"/>
                </w:tcPr>
                <w:p w14:paraId="2A8B9A7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p>
              </w:tc>
              <w:tc>
                <w:tcPr>
                  <w:tcW w:w="3867" w:type="pct"/>
                  <w:tcBorders>
                    <w:tl2br w:val="nil"/>
                    <w:tr2bl w:val="nil"/>
                  </w:tcBorders>
                  <w:noWrap w:val="0"/>
                  <w:vAlign w:val="center"/>
                </w:tcPr>
                <w:p w14:paraId="2DC2844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禁止引进钢铁、焦化、电解铝、铸造、水泥和平板玻璃等产能类项目。</w:t>
                  </w:r>
                </w:p>
              </w:tc>
            </w:tr>
            <w:tr w14:paraId="3A5B6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5" w:type="pct"/>
                  <w:tcBorders>
                    <w:tl2br w:val="nil"/>
                    <w:tr2bl w:val="nil"/>
                  </w:tcBorders>
                  <w:noWrap w:val="0"/>
                  <w:vAlign w:val="center"/>
                </w:tcPr>
                <w:p w14:paraId="5AD6CA5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4</w:t>
                  </w:r>
                </w:p>
              </w:tc>
              <w:tc>
                <w:tcPr>
                  <w:tcW w:w="696" w:type="pct"/>
                  <w:vMerge w:val="continue"/>
                  <w:tcBorders>
                    <w:tl2br w:val="nil"/>
                    <w:tr2bl w:val="nil"/>
                  </w:tcBorders>
                  <w:noWrap w:val="0"/>
                  <w:vAlign w:val="center"/>
                </w:tcPr>
                <w:p w14:paraId="5FE2FA7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p>
              </w:tc>
              <w:tc>
                <w:tcPr>
                  <w:tcW w:w="3867" w:type="pct"/>
                  <w:tcBorders>
                    <w:tl2br w:val="nil"/>
                    <w:tr2bl w:val="nil"/>
                  </w:tcBorders>
                  <w:noWrap w:val="0"/>
                  <w:vAlign w:val="center"/>
                </w:tcPr>
                <w:p w14:paraId="421EE80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禁止新引入农药制造等污染较重的化工类项目。</w:t>
                  </w:r>
                </w:p>
              </w:tc>
            </w:tr>
            <w:tr w14:paraId="187F8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5" w:type="pct"/>
                  <w:tcBorders>
                    <w:tl2br w:val="nil"/>
                    <w:tr2bl w:val="nil"/>
                  </w:tcBorders>
                  <w:noWrap w:val="0"/>
                  <w:vAlign w:val="center"/>
                </w:tcPr>
                <w:p w14:paraId="154595A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5</w:t>
                  </w:r>
                </w:p>
              </w:tc>
              <w:tc>
                <w:tcPr>
                  <w:tcW w:w="696" w:type="pct"/>
                  <w:vMerge w:val="continue"/>
                  <w:tcBorders>
                    <w:tl2br w:val="nil"/>
                    <w:tr2bl w:val="nil"/>
                  </w:tcBorders>
                  <w:noWrap w:val="0"/>
                  <w:vAlign w:val="center"/>
                </w:tcPr>
                <w:p w14:paraId="0CAC95F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p>
              </w:tc>
              <w:tc>
                <w:tcPr>
                  <w:tcW w:w="3867" w:type="pct"/>
                  <w:tcBorders>
                    <w:tl2br w:val="nil"/>
                    <w:tr2bl w:val="nil"/>
                  </w:tcBorders>
                  <w:noWrap w:val="0"/>
                  <w:vAlign w:val="center"/>
                </w:tcPr>
                <w:p w14:paraId="35145EC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禁止引进化学制浆造纸企业和印染、制革、化工、电镀、酿造等污染严重的小型企业。</w:t>
                  </w:r>
                </w:p>
              </w:tc>
            </w:tr>
            <w:tr w14:paraId="6D52D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5" w:type="pct"/>
                  <w:tcBorders>
                    <w:tl2br w:val="nil"/>
                    <w:tr2bl w:val="nil"/>
                  </w:tcBorders>
                  <w:noWrap w:val="0"/>
                  <w:vAlign w:val="center"/>
                </w:tcPr>
                <w:p w14:paraId="63C59F1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6</w:t>
                  </w:r>
                </w:p>
              </w:tc>
              <w:tc>
                <w:tcPr>
                  <w:tcW w:w="696" w:type="pct"/>
                  <w:vMerge w:val="continue"/>
                  <w:tcBorders>
                    <w:tl2br w:val="nil"/>
                    <w:tr2bl w:val="nil"/>
                  </w:tcBorders>
                  <w:noWrap w:val="0"/>
                  <w:vAlign w:val="center"/>
                </w:tcPr>
                <w:p w14:paraId="498F2A2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p>
              </w:tc>
              <w:tc>
                <w:tcPr>
                  <w:tcW w:w="3867" w:type="pct"/>
                  <w:tcBorders>
                    <w:tl2br w:val="nil"/>
                    <w:tr2bl w:val="nil"/>
                  </w:tcBorders>
                  <w:noWrap w:val="0"/>
                  <w:vAlign w:val="center"/>
                </w:tcPr>
                <w:p w14:paraId="2923936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严格控制化学药品原药制造等污染较重的项目。</w:t>
                  </w:r>
                </w:p>
              </w:tc>
            </w:tr>
            <w:tr w14:paraId="310EB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5" w:type="pct"/>
                  <w:tcBorders>
                    <w:tl2br w:val="nil"/>
                    <w:tr2bl w:val="nil"/>
                  </w:tcBorders>
                  <w:noWrap w:val="0"/>
                  <w:vAlign w:val="center"/>
                </w:tcPr>
                <w:p w14:paraId="13E74E0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7</w:t>
                  </w:r>
                </w:p>
              </w:tc>
              <w:tc>
                <w:tcPr>
                  <w:tcW w:w="696" w:type="pct"/>
                  <w:vMerge w:val="continue"/>
                  <w:tcBorders>
                    <w:tl2br w:val="nil"/>
                    <w:tr2bl w:val="nil"/>
                  </w:tcBorders>
                  <w:noWrap w:val="0"/>
                  <w:vAlign w:val="center"/>
                </w:tcPr>
                <w:p w14:paraId="14EE76B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p>
              </w:tc>
              <w:tc>
                <w:tcPr>
                  <w:tcW w:w="3867" w:type="pct"/>
                  <w:tcBorders>
                    <w:tl2br w:val="nil"/>
                    <w:tr2bl w:val="nil"/>
                  </w:tcBorders>
                  <w:noWrap w:val="0"/>
                  <w:vAlign w:val="center"/>
                </w:tcPr>
                <w:p w14:paraId="2A964DA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严格控制非主导产业高污染、高能耗类项目。</w:t>
                  </w:r>
                </w:p>
              </w:tc>
            </w:tr>
            <w:tr w14:paraId="671A7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5" w:type="pct"/>
                  <w:tcBorders>
                    <w:tl2br w:val="nil"/>
                    <w:tr2bl w:val="nil"/>
                  </w:tcBorders>
                  <w:noWrap w:val="0"/>
                  <w:vAlign w:val="center"/>
                </w:tcPr>
                <w:p w14:paraId="7147346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8</w:t>
                  </w:r>
                </w:p>
              </w:tc>
              <w:tc>
                <w:tcPr>
                  <w:tcW w:w="696" w:type="pct"/>
                  <w:vMerge w:val="restart"/>
                  <w:tcBorders>
                    <w:tl2br w:val="nil"/>
                    <w:tr2bl w:val="nil"/>
                  </w:tcBorders>
                  <w:noWrap w:val="0"/>
                  <w:vAlign w:val="center"/>
                </w:tcPr>
                <w:p w14:paraId="1B215EF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生产工艺</w:t>
                  </w:r>
                </w:p>
              </w:tc>
              <w:tc>
                <w:tcPr>
                  <w:tcW w:w="3867" w:type="pct"/>
                  <w:tcBorders>
                    <w:tl2br w:val="nil"/>
                    <w:tr2bl w:val="nil"/>
                  </w:tcBorders>
                  <w:noWrap w:val="0"/>
                  <w:vAlign w:val="center"/>
                </w:tcPr>
                <w:p w14:paraId="5485773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禁止引进炼油、产生致癌、致畸、致突变物质的项目。</w:t>
                  </w:r>
                </w:p>
              </w:tc>
            </w:tr>
            <w:tr w14:paraId="1B080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5" w:type="pct"/>
                  <w:tcBorders>
                    <w:tl2br w:val="nil"/>
                    <w:tr2bl w:val="nil"/>
                  </w:tcBorders>
                  <w:noWrap w:val="0"/>
                  <w:vAlign w:val="center"/>
                </w:tcPr>
                <w:p w14:paraId="3092D3D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9</w:t>
                  </w:r>
                </w:p>
              </w:tc>
              <w:tc>
                <w:tcPr>
                  <w:tcW w:w="696" w:type="pct"/>
                  <w:vMerge w:val="continue"/>
                  <w:tcBorders>
                    <w:tl2br w:val="nil"/>
                    <w:tr2bl w:val="nil"/>
                  </w:tcBorders>
                  <w:noWrap w:val="0"/>
                  <w:vAlign w:val="center"/>
                </w:tcPr>
                <w:p w14:paraId="7FF7F1A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p>
              </w:tc>
              <w:tc>
                <w:tcPr>
                  <w:tcW w:w="3867" w:type="pct"/>
                  <w:tcBorders>
                    <w:tl2br w:val="nil"/>
                    <w:tr2bl w:val="nil"/>
                  </w:tcBorders>
                  <w:noWrap w:val="0"/>
                  <w:vAlign w:val="center"/>
                </w:tcPr>
                <w:p w14:paraId="47DDD3F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为主导产业及配套的上下游及延伸产业链项目的生产工艺、设备、污染治理技术等未达到清洁生产国内先进水平的、不符合环保相关要求的项目。</w:t>
                  </w:r>
                </w:p>
              </w:tc>
            </w:tr>
            <w:tr w14:paraId="217769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5" w:type="pct"/>
                  <w:tcBorders>
                    <w:tl2br w:val="nil"/>
                    <w:tr2bl w:val="nil"/>
                  </w:tcBorders>
                  <w:noWrap w:val="0"/>
                  <w:vAlign w:val="center"/>
                </w:tcPr>
                <w:p w14:paraId="66C39D1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10</w:t>
                  </w:r>
                </w:p>
              </w:tc>
              <w:tc>
                <w:tcPr>
                  <w:tcW w:w="696" w:type="pct"/>
                  <w:tcBorders>
                    <w:tl2br w:val="nil"/>
                    <w:tr2bl w:val="nil"/>
                  </w:tcBorders>
                  <w:noWrap w:val="0"/>
                  <w:vAlign w:val="center"/>
                </w:tcPr>
                <w:p w14:paraId="6B787B3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环保要求</w:t>
                  </w:r>
                </w:p>
              </w:tc>
              <w:tc>
                <w:tcPr>
                  <w:tcW w:w="3867" w:type="pct"/>
                  <w:tcBorders>
                    <w:tl2br w:val="nil"/>
                    <w:tr2bl w:val="nil"/>
                  </w:tcBorders>
                  <w:noWrap w:val="0"/>
                  <w:vAlign w:val="center"/>
                </w:tcPr>
                <w:p w14:paraId="47924A8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禁止引入尚需自行建设燃煤锅炉的企业入区，引进项目必须使用清洁能源或实施集中供热。</w:t>
                  </w:r>
                </w:p>
              </w:tc>
            </w:tr>
            <w:tr w14:paraId="4F04D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5" w:type="pct"/>
                  <w:tcBorders>
                    <w:tl2br w:val="nil"/>
                    <w:tr2bl w:val="nil"/>
                  </w:tcBorders>
                  <w:noWrap w:val="0"/>
                  <w:vAlign w:val="center"/>
                </w:tcPr>
                <w:p w14:paraId="357248B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11</w:t>
                  </w:r>
                </w:p>
              </w:tc>
              <w:tc>
                <w:tcPr>
                  <w:tcW w:w="696" w:type="pct"/>
                  <w:tcBorders>
                    <w:tl2br w:val="nil"/>
                    <w:tr2bl w:val="nil"/>
                  </w:tcBorders>
                  <w:noWrap w:val="0"/>
                  <w:vAlign w:val="center"/>
                </w:tcPr>
                <w:p w14:paraId="39DF493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清洁生产</w:t>
                  </w:r>
                </w:p>
              </w:tc>
              <w:tc>
                <w:tcPr>
                  <w:tcW w:w="3867" w:type="pct"/>
                  <w:tcBorders>
                    <w:tl2br w:val="nil"/>
                    <w:tr2bl w:val="nil"/>
                  </w:tcBorders>
                  <w:noWrap w:val="0"/>
                  <w:vAlign w:val="center"/>
                </w:tcPr>
                <w:p w14:paraId="13968D4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禁止引入清洁生产低于国内先进水平的项目</w:t>
                  </w:r>
                </w:p>
              </w:tc>
            </w:tr>
            <w:tr w14:paraId="7E3C7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00" w:type="pct"/>
                  <w:gridSpan w:val="3"/>
                  <w:tcBorders>
                    <w:tl2br w:val="nil"/>
                    <w:tr2bl w:val="nil"/>
                  </w:tcBorders>
                  <w:noWrap w:val="0"/>
                  <w:vAlign w:val="center"/>
                </w:tcPr>
                <w:p w14:paraId="1F16A23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注:相关指南更新时以最新版要求为准。</w:t>
                  </w:r>
                </w:p>
              </w:tc>
            </w:tr>
          </w:tbl>
          <w:p w14:paraId="68EFA4D6">
            <w:pPr>
              <w:pStyle w:val="62"/>
              <w:keepNext w:val="0"/>
              <w:keepLines w:val="0"/>
              <w:suppressLineNumbers w:val="0"/>
              <w:bidi w:val="0"/>
              <w:spacing w:before="0" w:beforeAutospacing="0" w:after="0" w:afterAutospacing="0"/>
              <w:ind w:left="0" w:right="0"/>
              <w:rPr>
                <w:rFonts w:hint="eastAsia"/>
                <w:color w:val="auto"/>
                <w:lang w:eastAsia="zh-CN"/>
              </w:rPr>
            </w:pPr>
            <w:r>
              <w:rPr>
                <w:rFonts w:hint="eastAsia"/>
                <w:color w:val="auto"/>
              </w:rPr>
              <w:t>本项目位于</w:t>
            </w:r>
            <w:r>
              <w:rPr>
                <w:rFonts w:hint="eastAsia" w:ascii="Times New Roman" w:hAnsi="Times New Roman" w:cs="Times New Roman"/>
                <w:color w:val="auto"/>
                <w:sz w:val="24"/>
                <w:lang w:val="en-US" w:eastAsia="zh-CN"/>
              </w:rPr>
              <w:t>淮南</w:t>
            </w:r>
            <w:r>
              <w:rPr>
                <w:rFonts w:hint="eastAsia" w:ascii="Times New Roman" w:hAnsi="Times New Roman" w:eastAsia="宋体" w:cs="Times New Roman"/>
                <w:color w:val="auto"/>
                <w:sz w:val="24"/>
                <w:lang w:val="en-US" w:eastAsia="zh-CN"/>
              </w:rPr>
              <w:t>市经开区华兴路东侧、庆兴北侧智慧显示产业园</w:t>
            </w:r>
            <w:r>
              <w:rPr>
                <w:rFonts w:hint="eastAsia" w:ascii="Times New Roman" w:hAnsi="Times New Roman" w:cs="Times New Roman"/>
                <w:color w:val="auto"/>
                <w:sz w:val="24"/>
                <w:lang w:val="en-US" w:eastAsia="zh-CN"/>
              </w:rPr>
              <w:t>5#</w:t>
            </w:r>
            <w:r>
              <w:rPr>
                <w:rFonts w:hint="eastAsia" w:ascii="Times New Roman" w:hAnsi="Times New Roman" w:eastAsia="宋体" w:cs="Times New Roman"/>
                <w:color w:val="auto"/>
                <w:sz w:val="24"/>
                <w:lang w:val="en-US" w:eastAsia="zh-CN"/>
              </w:rPr>
              <w:t>厂房</w:t>
            </w:r>
            <w:r>
              <w:rPr>
                <w:rFonts w:hint="eastAsia" w:ascii="Times New Roman" w:hAnsi="Times New Roman" w:cs="Times New Roman"/>
                <w:color w:val="auto"/>
                <w:sz w:val="24"/>
                <w:lang w:val="en-US" w:eastAsia="zh-CN"/>
              </w:rPr>
              <w:t>（西侧部分）</w:t>
            </w:r>
            <w:r>
              <w:rPr>
                <w:rFonts w:hint="eastAsia" w:cs="Times New Roman"/>
                <w:color w:val="auto"/>
                <w:sz w:val="24"/>
                <w:lang w:val="en-US" w:eastAsia="zh-CN"/>
              </w:rPr>
              <w:t>，在</w:t>
            </w:r>
            <w:r>
              <w:rPr>
                <w:rFonts w:hint="eastAsia"/>
                <w:color w:val="auto"/>
              </w:rPr>
              <w:t>淮南市经济技术开发区</w:t>
            </w:r>
            <w:r>
              <w:rPr>
                <w:rFonts w:hint="eastAsia"/>
                <w:color w:val="auto"/>
                <w:lang w:val="en-US" w:eastAsia="zh-CN"/>
              </w:rPr>
              <w:t>规划范围内。</w:t>
            </w:r>
            <w:r>
              <w:rPr>
                <w:rFonts w:hint="eastAsia"/>
                <w:color w:val="auto"/>
              </w:rPr>
              <w:t>对照</w:t>
            </w:r>
            <w:r>
              <w:rPr>
                <w:rFonts w:hint="eastAsia"/>
                <w:color w:val="auto"/>
                <w:lang w:eastAsia="zh-CN"/>
              </w:rPr>
              <w:t>上表</w:t>
            </w:r>
            <w:r>
              <w:rPr>
                <w:rFonts w:hint="eastAsia"/>
                <w:color w:val="auto"/>
              </w:rPr>
              <w:t>，本项目不属于园区规划环评生态环境准入清单内的禁止类和限制类。</w:t>
            </w:r>
            <w:r>
              <w:rPr>
                <w:rFonts w:hint="eastAsia"/>
                <w:color w:val="auto"/>
                <w:lang w:val="en-US" w:eastAsia="zh-CN"/>
              </w:rPr>
              <w:t>对照</w:t>
            </w:r>
            <w:r>
              <w:rPr>
                <w:rFonts w:hint="eastAsia"/>
                <w:color w:val="auto"/>
              </w:rPr>
              <w:t>《产业结构调整指导目录（20</w:t>
            </w:r>
            <w:r>
              <w:rPr>
                <w:rFonts w:hint="eastAsia"/>
                <w:color w:val="auto"/>
                <w:lang w:eastAsia="zh-CN"/>
              </w:rPr>
              <w:t>24</w:t>
            </w:r>
            <w:r>
              <w:rPr>
                <w:rFonts w:hint="eastAsia"/>
                <w:color w:val="auto"/>
              </w:rPr>
              <w:t>年本)》，不属于限</w:t>
            </w:r>
            <w:r>
              <w:rPr>
                <w:rFonts w:hint="default"/>
                <w:color w:val="auto"/>
              </w:rPr>
              <w:t>制类和淘汰类，</w:t>
            </w:r>
            <w:r>
              <w:rPr>
                <w:rFonts w:hint="eastAsia"/>
                <w:color w:val="auto"/>
                <w:lang w:val="en-US" w:eastAsia="zh-CN"/>
              </w:rPr>
              <w:t>可视</w:t>
            </w:r>
            <w:r>
              <w:rPr>
                <w:rFonts w:hint="default"/>
                <w:color w:val="auto"/>
              </w:rPr>
              <w:t>为允许建设项目。因此，本项目不属于园区规划环评生态环境准入清单内的禁止类和限制类，与园区主导产业不冲突，符合入园条件。</w:t>
            </w:r>
            <w:r>
              <w:rPr>
                <w:rFonts w:hint="eastAsia"/>
                <w:color w:val="auto"/>
                <w:lang w:eastAsia="zh-CN"/>
              </w:rPr>
              <w:t>对照</w:t>
            </w:r>
            <w:r>
              <w:rPr>
                <w:rFonts w:hint="default"/>
                <w:color w:val="auto"/>
                <w:lang w:eastAsia="zh-CN"/>
              </w:rPr>
              <w:t>《淮南市东部工业区总体规划（2008-2020）》</w:t>
            </w:r>
            <w:r>
              <w:rPr>
                <w:rFonts w:hint="eastAsia"/>
                <w:color w:val="auto"/>
                <w:lang w:eastAsia="zh-CN"/>
              </w:rPr>
              <w:t>土地利用规划图，项目用地性质为工业用地，符合总体规划要求。</w:t>
            </w:r>
          </w:p>
          <w:p w14:paraId="6847671B">
            <w:pPr>
              <w:pStyle w:val="62"/>
              <w:keepNext w:val="0"/>
              <w:keepLines w:val="0"/>
              <w:suppressLineNumbers w:val="0"/>
              <w:bidi w:val="0"/>
              <w:spacing w:before="0" w:beforeAutospacing="0" w:after="0" w:afterAutospacing="0"/>
              <w:ind w:left="0" w:leftChars="0" w:right="0" w:firstLine="0" w:firstLineChars="0"/>
              <w:rPr>
                <w:rFonts w:hint="default" w:ascii="Times New Roman" w:hAnsi="Times New Roman"/>
                <w:color w:val="auto"/>
              </w:rPr>
            </w:pPr>
            <w:r>
              <w:rPr>
                <w:rFonts w:hint="eastAsia"/>
                <w:b/>
                <w:bCs/>
                <w:color w:val="auto"/>
                <w:lang w:eastAsia="zh-CN"/>
              </w:rPr>
              <w:t>2</w:t>
            </w:r>
            <w:r>
              <w:rPr>
                <w:rFonts w:hint="default"/>
                <w:b/>
                <w:bCs/>
                <w:color w:val="auto"/>
              </w:rPr>
              <w:t>、与园区规划环评审查意见的相符性分析</w:t>
            </w:r>
          </w:p>
          <w:p w14:paraId="216D91EC">
            <w:pPr>
              <w:pStyle w:val="63"/>
              <w:keepNext w:val="0"/>
              <w:keepLines w:val="0"/>
              <w:suppressLineNumbers w:val="0"/>
              <w:bidi w:val="0"/>
              <w:spacing w:before="0" w:beforeAutospacing="0" w:after="0" w:afterAutospacing="0"/>
              <w:ind w:left="0" w:right="0"/>
              <w:rPr>
                <w:color w:val="auto"/>
                <w:lang w:eastAsia="zh-CN"/>
              </w:rPr>
            </w:pPr>
            <w:r>
              <w:rPr>
                <w:color w:val="auto"/>
                <w:lang w:eastAsia="zh-CN"/>
              </w:rPr>
              <w:t>表</w:t>
            </w:r>
            <w:r>
              <w:rPr>
                <w:rFonts w:hint="eastAsia"/>
                <w:color w:val="auto"/>
                <w:lang w:eastAsia="zh-CN"/>
              </w:rPr>
              <w:t>1</w:t>
            </w:r>
            <w:r>
              <w:rPr>
                <w:color w:val="auto"/>
                <w:lang w:eastAsia="zh-CN"/>
              </w:rPr>
              <w:t>-</w:t>
            </w:r>
            <w:r>
              <w:rPr>
                <w:rFonts w:hint="eastAsia"/>
                <w:color w:val="auto"/>
                <w:lang w:val="en-US" w:eastAsia="zh-CN"/>
              </w:rPr>
              <w:t>2</w:t>
            </w:r>
            <w:r>
              <w:rPr>
                <w:color w:val="auto"/>
                <w:lang w:eastAsia="zh-CN"/>
              </w:rPr>
              <w:t xml:space="preserve">  本项目与规划环评及其审查意见符合性分析</w:t>
            </w:r>
          </w:p>
          <w:tbl>
            <w:tblPr>
              <w:tblStyle w:val="52"/>
              <w:tblW w:w="4999"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1"/>
              <w:gridCol w:w="3796"/>
              <w:gridCol w:w="3052"/>
              <w:gridCol w:w="693"/>
            </w:tblGrid>
            <w:tr w14:paraId="39DFB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351" w:type="pct"/>
                  <w:tcBorders>
                    <w:tl2br w:val="nil"/>
                    <w:tr2bl w:val="nil"/>
                  </w:tcBorders>
                  <w:noWrap w:val="0"/>
                  <w:vAlign w:val="center"/>
                </w:tcPr>
                <w:p w14:paraId="338166B4">
                  <w:pPr>
                    <w:keepNext w:val="0"/>
                    <w:keepLines w:val="0"/>
                    <w:suppressLineNumbers w:val="0"/>
                    <w:tabs>
                      <w:tab w:val="center" w:pos="4153"/>
                      <w:tab w:val="right" w:pos="8306"/>
                    </w:tabs>
                    <w:spacing w:before="0" w:beforeAutospacing="0" w:after="0" w:afterAutospacing="0" w:line="276" w:lineRule="auto"/>
                    <w:ind w:left="0" w:right="0"/>
                    <w:jc w:val="center"/>
                    <w:rPr>
                      <w:rFonts w:hint="default" w:ascii="Times New Roman" w:hAnsi="Times New Roman"/>
                      <w:b/>
                      <w:color w:val="auto"/>
                      <w:sz w:val="21"/>
                      <w:szCs w:val="21"/>
                      <w:lang w:bidi="zh-CN"/>
                    </w:rPr>
                  </w:pPr>
                  <w:r>
                    <w:rPr>
                      <w:rFonts w:hint="default" w:ascii="Times New Roman" w:hAnsi="Times New Roman"/>
                      <w:b/>
                      <w:color w:val="auto"/>
                      <w:sz w:val="21"/>
                      <w:szCs w:val="21"/>
                      <w:lang w:bidi="zh-CN"/>
                    </w:rPr>
                    <w:t>序号</w:t>
                  </w:r>
                </w:p>
              </w:tc>
              <w:tc>
                <w:tcPr>
                  <w:tcW w:w="2339" w:type="pct"/>
                  <w:tcBorders>
                    <w:tl2br w:val="nil"/>
                    <w:tr2bl w:val="nil"/>
                  </w:tcBorders>
                  <w:noWrap w:val="0"/>
                  <w:vAlign w:val="center"/>
                </w:tcPr>
                <w:p w14:paraId="4E29E7C5">
                  <w:pPr>
                    <w:keepNext w:val="0"/>
                    <w:keepLines w:val="0"/>
                    <w:suppressLineNumbers w:val="0"/>
                    <w:tabs>
                      <w:tab w:val="center" w:pos="4153"/>
                      <w:tab w:val="right" w:pos="8306"/>
                    </w:tabs>
                    <w:spacing w:before="0" w:beforeAutospacing="0" w:after="0" w:afterAutospacing="0" w:line="276" w:lineRule="auto"/>
                    <w:ind w:left="0" w:right="0"/>
                    <w:jc w:val="center"/>
                    <w:rPr>
                      <w:rFonts w:hint="default" w:ascii="Times New Roman" w:hAnsi="Times New Roman"/>
                      <w:b/>
                      <w:color w:val="auto"/>
                      <w:sz w:val="21"/>
                      <w:szCs w:val="21"/>
                      <w:lang w:eastAsia="zh-CN" w:bidi="zh-CN"/>
                    </w:rPr>
                  </w:pPr>
                  <w:r>
                    <w:rPr>
                      <w:rFonts w:hint="default" w:ascii="Times New Roman" w:hAnsi="Times New Roman"/>
                      <w:b/>
                      <w:color w:val="auto"/>
                      <w:sz w:val="21"/>
                      <w:szCs w:val="21"/>
                      <w:lang w:eastAsia="zh-CN" w:bidi="zh-CN"/>
                    </w:rPr>
                    <w:t>规划及规划环评审查意见要求</w:t>
                  </w:r>
                </w:p>
              </w:tc>
              <w:tc>
                <w:tcPr>
                  <w:tcW w:w="1881" w:type="pct"/>
                  <w:tcBorders>
                    <w:tl2br w:val="nil"/>
                    <w:tr2bl w:val="nil"/>
                  </w:tcBorders>
                  <w:noWrap w:val="0"/>
                  <w:vAlign w:val="center"/>
                </w:tcPr>
                <w:p w14:paraId="31813FDF">
                  <w:pPr>
                    <w:keepNext w:val="0"/>
                    <w:keepLines w:val="0"/>
                    <w:suppressLineNumbers w:val="0"/>
                    <w:tabs>
                      <w:tab w:val="center" w:pos="4153"/>
                      <w:tab w:val="right" w:pos="8306"/>
                    </w:tabs>
                    <w:spacing w:before="0" w:beforeAutospacing="0" w:after="0" w:afterAutospacing="0" w:line="276" w:lineRule="auto"/>
                    <w:ind w:left="0" w:right="0"/>
                    <w:jc w:val="center"/>
                    <w:rPr>
                      <w:rFonts w:hint="default" w:ascii="Times New Roman" w:hAnsi="Times New Roman"/>
                      <w:b/>
                      <w:color w:val="auto"/>
                      <w:sz w:val="21"/>
                      <w:szCs w:val="21"/>
                      <w:lang w:bidi="zh-CN"/>
                    </w:rPr>
                  </w:pPr>
                  <w:r>
                    <w:rPr>
                      <w:rFonts w:hint="default" w:ascii="Times New Roman" w:hAnsi="Times New Roman"/>
                      <w:b/>
                      <w:color w:val="auto"/>
                      <w:sz w:val="21"/>
                      <w:szCs w:val="21"/>
                      <w:lang w:bidi="zh-CN"/>
                    </w:rPr>
                    <w:t>本项目相关内容</w:t>
                  </w:r>
                </w:p>
              </w:tc>
              <w:tc>
                <w:tcPr>
                  <w:tcW w:w="427" w:type="pct"/>
                  <w:tcBorders>
                    <w:tl2br w:val="nil"/>
                    <w:tr2bl w:val="nil"/>
                  </w:tcBorders>
                  <w:noWrap w:val="0"/>
                  <w:vAlign w:val="center"/>
                </w:tcPr>
                <w:p w14:paraId="63A45DD4">
                  <w:pPr>
                    <w:keepNext w:val="0"/>
                    <w:keepLines w:val="0"/>
                    <w:suppressLineNumbers w:val="0"/>
                    <w:tabs>
                      <w:tab w:val="center" w:pos="4153"/>
                      <w:tab w:val="right" w:pos="8306"/>
                    </w:tabs>
                    <w:spacing w:before="0" w:beforeAutospacing="0" w:after="0" w:afterAutospacing="0" w:line="276" w:lineRule="auto"/>
                    <w:ind w:left="0" w:right="0"/>
                    <w:jc w:val="center"/>
                    <w:rPr>
                      <w:rFonts w:hint="default" w:ascii="Times New Roman" w:hAnsi="Times New Roman"/>
                      <w:b/>
                      <w:color w:val="auto"/>
                      <w:sz w:val="21"/>
                      <w:szCs w:val="21"/>
                      <w:lang w:bidi="zh-CN"/>
                    </w:rPr>
                  </w:pPr>
                  <w:r>
                    <w:rPr>
                      <w:rFonts w:hint="default" w:ascii="Times New Roman" w:hAnsi="Times New Roman"/>
                      <w:b/>
                      <w:color w:val="auto"/>
                      <w:sz w:val="21"/>
                      <w:szCs w:val="21"/>
                      <w:lang w:bidi="zh-CN"/>
                    </w:rPr>
                    <w:t>符合性</w:t>
                  </w:r>
                </w:p>
              </w:tc>
            </w:tr>
            <w:tr w14:paraId="6046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351" w:type="pct"/>
                  <w:tcBorders>
                    <w:tl2br w:val="nil"/>
                    <w:tr2bl w:val="nil"/>
                  </w:tcBorders>
                  <w:noWrap w:val="0"/>
                  <w:vAlign w:val="center"/>
                </w:tcPr>
                <w:p w14:paraId="2E6B89E4">
                  <w:pPr>
                    <w:keepNext w:val="0"/>
                    <w:keepLines w:val="0"/>
                    <w:suppressLineNumbers w:val="0"/>
                    <w:tabs>
                      <w:tab w:val="center" w:pos="4153"/>
                      <w:tab w:val="right" w:pos="8306"/>
                    </w:tabs>
                    <w:spacing w:before="0" w:beforeAutospacing="0" w:after="0" w:afterAutospacing="0" w:line="276" w:lineRule="auto"/>
                    <w:ind w:left="0" w:right="0"/>
                    <w:jc w:val="center"/>
                    <w:rPr>
                      <w:rFonts w:hint="default" w:ascii="Times New Roman" w:hAnsi="Times New Roman"/>
                      <w:color w:val="auto"/>
                      <w:sz w:val="21"/>
                      <w:szCs w:val="21"/>
                      <w:lang w:bidi="zh-CN"/>
                    </w:rPr>
                  </w:pPr>
                  <w:r>
                    <w:rPr>
                      <w:rFonts w:hint="default" w:ascii="Times New Roman" w:hAnsi="Times New Roman"/>
                      <w:color w:val="auto"/>
                      <w:sz w:val="21"/>
                      <w:szCs w:val="21"/>
                      <w:lang w:bidi="zh-CN"/>
                    </w:rPr>
                    <w:t>1</w:t>
                  </w:r>
                </w:p>
              </w:tc>
              <w:tc>
                <w:tcPr>
                  <w:tcW w:w="2339" w:type="pct"/>
                  <w:tcBorders>
                    <w:tl2br w:val="nil"/>
                    <w:tr2bl w:val="nil"/>
                  </w:tcBorders>
                  <w:noWrap w:val="0"/>
                  <w:vAlign w:val="center"/>
                </w:tcPr>
                <w:p w14:paraId="6BD47F6B">
                  <w:pPr>
                    <w:keepNext w:val="0"/>
                    <w:keepLines w:val="0"/>
                    <w:suppressLineNumbers w:val="0"/>
                    <w:tabs>
                      <w:tab w:val="center" w:pos="4153"/>
                      <w:tab w:val="right" w:pos="8306"/>
                    </w:tabs>
                    <w:spacing w:before="0" w:beforeAutospacing="0" w:after="0" w:afterAutospacing="0" w:line="276" w:lineRule="auto"/>
                    <w:ind w:left="0" w:right="0"/>
                    <w:jc w:val="center"/>
                    <w:rPr>
                      <w:rFonts w:hint="default" w:ascii="Times New Roman" w:hAnsi="Times New Roman"/>
                      <w:color w:val="auto"/>
                      <w:sz w:val="21"/>
                      <w:szCs w:val="21"/>
                      <w:lang w:eastAsia="zh-CN" w:bidi="zh-CN"/>
                    </w:rPr>
                  </w:pPr>
                  <w:r>
                    <w:rPr>
                      <w:rFonts w:hint="default" w:ascii="Times New Roman" w:hAnsi="Times New Roman"/>
                      <w:color w:val="auto"/>
                      <w:sz w:val="21"/>
                      <w:szCs w:val="21"/>
                      <w:lang w:eastAsia="zh-CN"/>
                    </w:rPr>
                    <w:t>按照《报告书》提出的布局调整意见</w:t>
                  </w:r>
                  <w:r>
                    <w:rPr>
                      <w:rFonts w:hint="default" w:ascii="Times New Roman"/>
                      <w:color w:val="auto"/>
                      <w:sz w:val="21"/>
                      <w:szCs w:val="21"/>
                      <w:lang w:eastAsia="zh-CN"/>
                    </w:rPr>
                    <w:t>，</w:t>
                  </w:r>
                  <w:r>
                    <w:rPr>
                      <w:rFonts w:hint="default" w:ascii="Times New Roman" w:hAnsi="Times New Roman"/>
                      <w:color w:val="auto"/>
                      <w:sz w:val="21"/>
                      <w:szCs w:val="21"/>
                      <w:lang w:eastAsia="zh-CN"/>
                    </w:rPr>
                    <w:t>进一步完善东部工业区规划，优化用地布局，节约用地，提高土地利用率。</w:t>
                  </w:r>
                </w:p>
              </w:tc>
              <w:tc>
                <w:tcPr>
                  <w:tcW w:w="1881" w:type="pct"/>
                  <w:tcBorders>
                    <w:tl2br w:val="nil"/>
                    <w:tr2bl w:val="nil"/>
                  </w:tcBorders>
                  <w:noWrap w:val="0"/>
                  <w:vAlign w:val="center"/>
                </w:tcPr>
                <w:p w14:paraId="2C9F8D97">
                  <w:pPr>
                    <w:keepNext w:val="0"/>
                    <w:keepLines w:val="0"/>
                    <w:suppressLineNumbers w:val="0"/>
                    <w:tabs>
                      <w:tab w:val="center" w:pos="4153"/>
                      <w:tab w:val="right" w:pos="8306"/>
                    </w:tabs>
                    <w:spacing w:before="0" w:beforeAutospacing="0" w:after="0" w:afterAutospacing="0" w:line="276" w:lineRule="auto"/>
                    <w:ind w:left="0" w:right="0"/>
                    <w:jc w:val="center"/>
                    <w:rPr>
                      <w:rFonts w:hint="default" w:ascii="Times New Roman" w:hAnsi="Times New Roman"/>
                      <w:color w:val="auto"/>
                      <w:sz w:val="21"/>
                      <w:szCs w:val="21"/>
                      <w:lang w:eastAsia="zh-CN" w:bidi="zh-CN"/>
                    </w:rPr>
                  </w:pPr>
                  <w:r>
                    <w:rPr>
                      <w:rStyle w:val="103"/>
                      <w:rFonts w:hint="default"/>
                      <w:color w:val="auto"/>
                      <w:lang w:eastAsia="zh-CN"/>
                    </w:rPr>
                    <w:t>本项目为</w:t>
                  </w:r>
                  <w:r>
                    <w:rPr>
                      <w:rStyle w:val="103"/>
                      <w:rFonts w:hint="eastAsia"/>
                      <w:color w:val="auto"/>
                      <w:lang w:val="en-US" w:eastAsia="zh-CN"/>
                    </w:rPr>
                    <w:t>租赁淮南市经开区华兴路东侧、庆兴北侧智慧显示产业园5#厂房（西侧部分）</w:t>
                  </w:r>
                  <w:r>
                    <w:rPr>
                      <w:rStyle w:val="103"/>
                      <w:rFonts w:hint="default"/>
                      <w:color w:val="auto"/>
                      <w:lang w:eastAsia="zh-CN"/>
                    </w:rPr>
                    <w:t>，不新增用地，有利于提高土地利用率</w:t>
                  </w:r>
                  <w:r>
                    <w:rPr>
                      <w:rFonts w:hint="default" w:ascii="Times New Roman" w:hAnsi="Times New Roman"/>
                      <w:color w:val="auto"/>
                      <w:sz w:val="21"/>
                      <w:szCs w:val="21"/>
                      <w:lang w:eastAsia="zh-CN" w:bidi="zh-CN"/>
                    </w:rPr>
                    <w:t>。</w:t>
                  </w:r>
                </w:p>
              </w:tc>
              <w:tc>
                <w:tcPr>
                  <w:tcW w:w="427" w:type="pct"/>
                  <w:tcBorders>
                    <w:tl2br w:val="nil"/>
                    <w:tr2bl w:val="nil"/>
                  </w:tcBorders>
                  <w:noWrap w:val="0"/>
                  <w:vAlign w:val="center"/>
                </w:tcPr>
                <w:p w14:paraId="55B88CCB">
                  <w:pPr>
                    <w:keepNext w:val="0"/>
                    <w:keepLines w:val="0"/>
                    <w:suppressLineNumbers w:val="0"/>
                    <w:tabs>
                      <w:tab w:val="center" w:pos="4153"/>
                      <w:tab w:val="right" w:pos="8306"/>
                    </w:tabs>
                    <w:spacing w:before="0" w:beforeAutospacing="0" w:after="0" w:afterAutospacing="0" w:line="276" w:lineRule="auto"/>
                    <w:ind w:left="0" w:right="0"/>
                    <w:jc w:val="center"/>
                    <w:rPr>
                      <w:rFonts w:hint="default" w:ascii="Times New Roman" w:hAnsi="Times New Roman"/>
                      <w:color w:val="auto"/>
                      <w:sz w:val="21"/>
                      <w:szCs w:val="21"/>
                      <w:lang w:bidi="zh-CN"/>
                    </w:rPr>
                  </w:pPr>
                  <w:r>
                    <w:rPr>
                      <w:rFonts w:hint="default" w:ascii="Times New Roman" w:hAnsi="Times New Roman"/>
                      <w:color w:val="auto"/>
                      <w:sz w:val="21"/>
                      <w:szCs w:val="21"/>
                      <w:lang w:bidi="zh-CN"/>
                    </w:rPr>
                    <w:t>符合</w:t>
                  </w:r>
                </w:p>
              </w:tc>
            </w:tr>
            <w:tr w14:paraId="193EC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351" w:type="pct"/>
                  <w:tcBorders>
                    <w:tl2br w:val="nil"/>
                    <w:tr2bl w:val="nil"/>
                  </w:tcBorders>
                  <w:noWrap w:val="0"/>
                  <w:vAlign w:val="center"/>
                </w:tcPr>
                <w:p w14:paraId="4FA1F0F1">
                  <w:pPr>
                    <w:keepNext w:val="0"/>
                    <w:keepLines w:val="0"/>
                    <w:suppressLineNumbers w:val="0"/>
                    <w:spacing w:before="0" w:beforeAutospacing="0" w:after="0" w:afterAutospacing="0" w:line="276" w:lineRule="auto"/>
                    <w:ind w:left="0" w:right="0"/>
                    <w:jc w:val="center"/>
                    <w:rPr>
                      <w:rFonts w:hint="default" w:ascii="Times New Roman" w:hAnsi="Times New Roman"/>
                      <w:color w:val="auto"/>
                      <w:sz w:val="21"/>
                      <w:szCs w:val="21"/>
                      <w:lang w:eastAsia="zh-CN"/>
                    </w:rPr>
                  </w:pPr>
                  <w:r>
                    <w:rPr>
                      <w:rFonts w:hint="default" w:ascii="Times New Roman" w:hAnsi="Times New Roman"/>
                      <w:color w:val="auto"/>
                      <w:sz w:val="21"/>
                      <w:szCs w:val="21"/>
                      <w:lang w:eastAsia="zh-CN"/>
                    </w:rPr>
                    <w:t>2</w:t>
                  </w:r>
                </w:p>
              </w:tc>
              <w:tc>
                <w:tcPr>
                  <w:tcW w:w="2339" w:type="pct"/>
                  <w:tcBorders>
                    <w:tl2br w:val="nil"/>
                    <w:tr2bl w:val="nil"/>
                  </w:tcBorders>
                  <w:noWrap w:val="0"/>
                  <w:vAlign w:val="center"/>
                </w:tcPr>
                <w:p w14:paraId="38A27E3B">
                  <w:pPr>
                    <w:keepNext w:val="0"/>
                    <w:keepLines w:val="0"/>
                    <w:suppressLineNumbers w:val="0"/>
                    <w:spacing w:before="0" w:beforeAutospacing="0" w:after="0" w:afterAutospacing="0" w:line="276" w:lineRule="auto"/>
                    <w:ind w:left="0" w:right="0"/>
                    <w:jc w:val="center"/>
                    <w:rPr>
                      <w:rFonts w:hint="default" w:ascii="Times New Roman" w:hAnsi="Times New Roman"/>
                      <w:color w:val="auto"/>
                      <w:sz w:val="21"/>
                      <w:szCs w:val="21"/>
                      <w:lang w:eastAsia="zh-CN"/>
                    </w:rPr>
                  </w:pPr>
                  <w:r>
                    <w:rPr>
                      <w:rFonts w:hint="default" w:ascii="Times New Roman" w:hAnsi="Times New Roman"/>
                      <w:color w:val="auto"/>
                      <w:sz w:val="21"/>
                      <w:szCs w:val="21"/>
                      <w:lang w:eastAsia="zh-CN"/>
                    </w:rPr>
                    <w:t>排水采取雨污分流制。远期实现工业废水和生活污水分系统排放。生活污水纳入城市污水管网，进入淮南市第一污水处理厂。工业区污水处理厂和污水管网建成后，区内各企业污废水自行处理达到接管标准后进入区内污水处理厂，区内污水处理厂和污水管网未建成，各企业废水必须处理后达到《污水综合排放标准》（GB8978—1996）一级标准的要求。</w:t>
                  </w:r>
                </w:p>
              </w:tc>
              <w:tc>
                <w:tcPr>
                  <w:tcW w:w="1881" w:type="pct"/>
                  <w:tcBorders>
                    <w:tl2br w:val="nil"/>
                    <w:tr2bl w:val="nil"/>
                  </w:tcBorders>
                  <w:noWrap w:val="0"/>
                  <w:vAlign w:val="center"/>
                </w:tcPr>
                <w:p w14:paraId="4AFCC4C2">
                  <w:pPr>
                    <w:keepNext w:val="0"/>
                    <w:keepLines w:val="0"/>
                    <w:suppressLineNumbers w:val="0"/>
                    <w:tabs>
                      <w:tab w:val="center" w:pos="4153"/>
                      <w:tab w:val="right" w:pos="8306"/>
                    </w:tabs>
                    <w:spacing w:before="0" w:beforeAutospacing="0" w:after="0" w:afterAutospacing="0" w:line="276" w:lineRule="auto"/>
                    <w:ind w:left="0" w:right="0"/>
                    <w:jc w:val="center"/>
                    <w:rPr>
                      <w:rFonts w:hint="default" w:ascii="Times New Roman" w:hAnsi="Times New Roman"/>
                      <w:color w:val="auto"/>
                      <w:sz w:val="21"/>
                      <w:szCs w:val="21"/>
                      <w:lang w:eastAsia="zh-CN" w:bidi="zh-CN"/>
                    </w:rPr>
                  </w:pPr>
                  <w:r>
                    <w:rPr>
                      <w:rFonts w:hint="default" w:ascii="Times New Roman" w:hAnsi="Times New Roman"/>
                      <w:color w:val="auto"/>
                      <w:sz w:val="21"/>
                      <w:szCs w:val="21"/>
                      <w:lang w:eastAsia="zh-CN" w:bidi="zh-CN"/>
                    </w:rPr>
                    <w:t>本项目采取雨污分流制</w:t>
                  </w:r>
                  <w:r>
                    <w:rPr>
                      <w:rFonts w:hint="eastAsia" w:ascii="Times New Roman" w:hAnsi="Times New Roman"/>
                      <w:color w:val="auto"/>
                      <w:sz w:val="21"/>
                      <w:szCs w:val="21"/>
                      <w:lang w:eastAsia="zh-CN" w:bidi="zh-CN"/>
                    </w:rPr>
                    <w:t>；生活污水经厂区化粪池预处理后</w:t>
                  </w:r>
                  <w:r>
                    <w:rPr>
                      <w:rFonts w:hint="eastAsia" w:ascii="Times New Roman" w:hAnsi="Times New Roman"/>
                      <w:color w:val="auto"/>
                      <w:sz w:val="21"/>
                      <w:szCs w:val="21"/>
                      <w:lang w:val="en-US" w:eastAsia="zh-CN" w:bidi="zh-CN"/>
                    </w:rPr>
                    <w:t>能</w:t>
                  </w:r>
                  <w:r>
                    <w:rPr>
                      <w:rFonts w:hint="default" w:ascii="Times New Roman" w:hAnsi="Times New Roman"/>
                      <w:color w:val="auto"/>
                      <w:sz w:val="21"/>
                      <w:szCs w:val="21"/>
                      <w:lang w:eastAsia="zh-CN"/>
                    </w:rPr>
                    <w:t>达到</w:t>
                  </w:r>
                  <w:r>
                    <w:rPr>
                      <w:rFonts w:hint="default" w:ascii="Times New Roman" w:hAnsi="Times New Roman"/>
                      <w:color w:val="auto"/>
                      <w:sz w:val="21"/>
                      <w:szCs w:val="21"/>
                      <w:lang w:eastAsia="zh-CN" w:bidi="zh-CN"/>
                    </w:rPr>
                    <w:t>淮南经济技术开发区污水处理厂接管标准要求和</w:t>
                  </w:r>
                  <w:r>
                    <w:rPr>
                      <w:rFonts w:hint="default" w:ascii="Times New Roman" w:hAnsi="Times New Roman"/>
                      <w:bCs/>
                      <w:color w:val="auto"/>
                      <w:sz w:val="21"/>
                      <w:szCs w:val="21"/>
                      <w:lang w:eastAsia="zh-CN" w:bidi="zh-CN"/>
                    </w:rPr>
                    <w:t>《污水综合排放标准》（GB8978-1996）表4中三级标准</w:t>
                  </w:r>
                  <w:r>
                    <w:rPr>
                      <w:rFonts w:hint="default" w:ascii="Times New Roman" w:hAnsi="Times New Roman"/>
                      <w:color w:val="auto"/>
                      <w:sz w:val="21"/>
                      <w:szCs w:val="21"/>
                      <w:lang w:eastAsia="zh-CN" w:bidi="zh-CN"/>
                    </w:rPr>
                    <w:t>后</w:t>
                  </w:r>
                  <w:r>
                    <w:rPr>
                      <w:rFonts w:hint="eastAsia" w:ascii="Times New Roman" w:hAnsi="Times New Roman"/>
                      <w:color w:val="auto"/>
                      <w:sz w:val="21"/>
                      <w:szCs w:val="21"/>
                      <w:lang w:eastAsia="zh-CN" w:bidi="zh-CN"/>
                    </w:rPr>
                    <w:t>，</w:t>
                  </w:r>
                  <w:r>
                    <w:rPr>
                      <w:rFonts w:hint="default" w:ascii="Times New Roman" w:hAnsi="Times New Roman"/>
                      <w:color w:val="auto"/>
                      <w:sz w:val="21"/>
                      <w:szCs w:val="21"/>
                      <w:lang w:eastAsia="zh-CN" w:bidi="zh-CN"/>
                    </w:rPr>
                    <w:t>经公司污水总排口排入园区污水管网，最终进入淮南经济技术开发区污水处理厂处理。</w:t>
                  </w:r>
                </w:p>
              </w:tc>
              <w:tc>
                <w:tcPr>
                  <w:tcW w:w="427" w:type="pct"/>
                  <w:tcBorders>
                    <w:tl2br w:val="nil"/>
                    <w:tr2bl w:val="nil"/>
                  </w:tcBorders>
                  <w:noWrap w:val="0"/>
                  <w:vAlign w:val="center"/>
                </w:tcPr>
                <w:p w14:paraId="50252114">
                  <w:pPr>
                    <w:keepNext w:val="0"/>
                    <w:keepLines w:val="0"/>
                    <w:suppressLineNumbers w:val="0"/>
                    <w:tabs>
                      <w:tab w:val="center" w:pos="4153"/>
                      <w:tab w:val="right" w:pos="8306"/>
                    </w:tabs>
                    <w:spacing w:before="0" w:beforeAutospacing="0" w:after="0" w:afterAutospacing="0" w:line="276" w:lineRule="auto"/>
                    <w:ind w:left="0" w:right="0"/>
                    <w:jc w:val="center"/>
                    <w:rPr>
                      <w:rFonts w:hint="default" w:ascii="Times New Roman" w:hAnsi="Times New Roman"/>
                      <w:color w:val="auto"/>
                      <w:sz w:val="21"/>
                      <w:szCs w:val="21"/>
                      <w:lang w:bidi="zh-CN"/>
                    </w:rPr>
                  </w:pPr>
                  <w:r>
                    <w:rPr>
                      <w:rFonts w:hint="default" w:ascii="Times New Roman" w:hAnsi="Times New Roman"/>
                      <w:color w:val="auto"/>
                      <w:sz w:val="21"/>
                      <w:szCs w:val="21"/>
                      <w:lang w:bidi="zh-CN"/>
                    </w:rPr>
                    <w:t>符合</w:t>
                  </w:r>
                </w:p>
              </w:tc>
            </w:tr>
            <w:tr w14:paraId="292D7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351" w:type="pct"/>
                  <w:tcBorders>
                    <w:tl2br w:val="nil"/>
                    <w:tr2bl w:val="nil"/>
                  </w:tcBorders>
                  <w:noWrap w:val="0"/>
                  <w:vAlign w:val="center"/>
                </w:tcPr>
                <w:p w14:paraId="203D9382">
                  <w:pPr>
                    <w:keepNext w:val="0"/>
                    <w:keepLines w:val="0"/>
                    <w:suppressLineNumbers w:val="0"/>
                    <w:spacing w:before="0" w:beforeAutospacing="0" w:after="0" w:afterAutospacing="0" w:line="276" w:lineRule="auto"/>
                    <w:ind w:left="0" w:right="0"/>
                    <w:jc w:val="center"/>
                    <w:rPr>
                      <w:rFonts w:hint="default" w:ascii="Times New Roman" w:hAnsi="Times New Roman"/>
                      <w:color w:val="auto"/>
                      <w:sz w:val="21"/>
                      <w:szCs w:val="21"/>
                      <w:lang w:eastAsia="zh-CN"/>
                    </w:rPr>
                  </w:pPr>
                  <w:r>
                    <w:rPr>
                      <w:rFonts w:hint="default" w:ascii="Times New Roman" w:hAnsi="Times New Roman"/>
                      <w:color w:val="auto"/>
                      <w:sz w:val="21"/>
                      <w:szCs w:val="21"/>
                      <w:lang w:eastAsia="zh-CN"/>
                    </w:rPr>
                    <w:t>3</w:t>
                  </w:r>
                </w:p>
              </w:tc>
              <w:tc>
                <w:tcPr>
                  <w:tcW w:w="2339" w:type="pct"/>
                  <w:tcBorders>
                    <w:tl2br w:val="nil"/>
                    <w:tr2bl w:val="nil"/>
                  </w:tcBorders>
                  <w:noWrap w:val="0"/>
                  <w:vAlign w:val="center"/>
                </w:tcPr>
                <w:p w14:paraId="789BD248">
                  <w:pPr>
                    <w:keepNext w:val="0"/>
                    <w:keepLines w:val="0"/>
                    <w:suppressLineNumbers w:val="0"/>
                    <w:tabs>
                      <w:tab w:val="center" w:pos="4153"/>
                      <w:tab w:val="right" w:pos="8306"/>
                    </w:tabs>
                    <w:spacing w:before="0" w:beforeAutospacing="0" w:after="0" w:afterAutospacing="0" w:line="276" w:lineRule="auto"/>
                    <w:ind w:left="0" w:right="0"/>
                    <w:jc w:val="center"/>
                    <w:rPr>
                      <w:rFonts w:hint="default" w:ascii="Times New Roman" w:hAnsi="Times New Roman"/>
                      <w:color w:val="auto"/>
                      <w:sz w:val="21"/>
                      <w:szCs w:val="21"/>
                      <w:lang w:eastAsia="zh-CN" w:bidi="zh-CN"/>
                    </w:rPr>
                  </w:pPr>
                  <w:r>
                    <w:rPr>
                      <w:rFonts w:hint="default" w:ascii="Times New Roman" w:hAnsi="Times New Roman"/>
                      <w:color w:val="auto"/>
                      <w:sz w:val="21"/>
                      <w:szCs w:val="21"/>
                      <w:lang w:eastAsia="zh-CN"/>
                    </w:rPr>
                    <w:t>按照循环经济的要求，提高工业区固废的综合利用率，严禁企业随意弃置。生活垃圾由环卫部门统一清运。企业产生的危险固废的收集、贮存应满足《危险废物贮存污染控制标准》( GB18597—2001）的要求，并送有资质的危险废物处置单位处置，危险废物的转运应执行《危险废物转移联单管理办法》的有关规定。</w:t>
                  </w:r>
                </w:p>
              </w:tc>
              <w:tc>
                <w:tcPr>
                  <w:tcW w:w="1881" w:type="pct"/>
                  <w:tcBorders>
                    <w:tl2br w:val="nil"/>
                    <w:tr2bl w:val="nil"/>
                  </w:tcBorders>
                  <w:noWrap w:val="0"/>
                  <w:vAlign w:val="center"/>
                </w:tcPr>
                <w:p w14:paraId="2BB42DC6">
                  <w:pPr>
                    <w:keepNext w:val="0"/>
                    <w:keepLines w:val="0"/>
                    <w:suppressLineNumbers w:val="0"/>
                    <w:tabs>
                      <w:tab w:val="center" w:pos="4153"/>
                      <w:tab w:val="right" w:pos="8306"/>
                    </w:tabs>
                    <w:spacing w:before="0" w:beforeAutospacing="0" w:after="0" w:afterAutospacing="0" w:line="276" w:lineRule="auto"/>
                    <w:ind w:left="0" w:right="0"/>
                    <w:jc w:val="center"/>
                    <w:rPr>
                      <w:rFonts w:hint="default" w:ascii="Times New Roman" w:hAnsi="Times New Roman"/>
                      <w:color w:val="auto"/>
                      <w:sz w:val="21"/>
                      <w:szCs w:val="21"/>
                      <w:lang w:eastAsia="zh-CN" w:bidi="zh-CN"/>
                    </w:rPr>
                  </w:pPr>
                  <w:r>
                    <w:rPr>
                      <w:rFonts w:hint="default" w:ascii="Times New Roman" w:hAnsi="Times New Roman"/>
                      <w:color w:val="auto"/>
                      <w:sz w:val="21"/>
                      <w:szCs w:val="21"/>
                      <w:lang w:eastAsia="zh-CN" w:bidi="zh-CN"/>
                    </w:rPr>
                    <w:t>项目产生的</w:t>
                  </w:r>
                  <w:r>
                    <w:rPr>
                      <w:rFonts w:hint="eastAsia" w:ascii="Times New Roman" w:hAnsi="Times New Roman"/>
                      <w:color w:val="auto"/>
                      <w:sz w:val="21"/>
                      <w:szCs w:val="21"/>
                      <w:lang w:val="en-US" w:eastAsia="zh-CN"/>
                    </w:rPr>
                    <w:t>不合格品</w:t>
                  </w:r>
                  <w:r>
                    <w:rPr>
                      <w:rFonts w:hint="eastAsia" w:ascii="Times New Roman" w:hAnsi="宋体"/>
                      <w:iCs/>
                      <w:color w:val="auto"/>
                      <w:sz w:val="21"/>
                      <w:szCs w:val="21"/>
                      <w:lang w:eastAsia="zh-CN"/>
                    </w:rPr>
                    <w:t>暂存于一般工业固体废物暂存间，外售；</w:t>
                  </w:r>
                  <w:r>
                    <w:rPr>
                      <w:rFonts w:hint="default" w:ascii="Times New Roman" w:hAnsi="Times New Roman" w:eastAsia="Times New Roman" w:cs="Times New Roman"/>
                      <w:color w:val="auto"/>
                      <w:sz w:val="21"/>
                      <w:szCs w:val="21"/>
                      <w:lang w:val="en-US" w:eastAsia="zh-CN"/>
                    </w:rPr>
                    <w:t>产生的</w:t>
                  </w:r>
                  <w:r>
                    <w:rPr>
                      <w:rFonts w:hint="eastAsia" w:ascii="Times New Roman" w:hAnsi="Times New Roman" w:eastAsia="Times New Roman" w:cs="Times New Roman"/>
                      <w:color w:val="auto"/>
                      <w:sz w:val="21"/>
                      <w:szCs w:val="21"/>
                      <w:lang w:val="en-US" w:eastAsia="zh-CN"/>
                    </w:rPr>
                    <w:t>油污、油泥、废活性炭、废润滑油、废包装桶等</w:t>
                  </w:r>
                  <w:r>
                    <w:rPr>
                      <w:rFonts w:hint="default" w:ascii="Times New Roman" w:hAnsi="Times New Roman" w:eastAsia="Times New Roman" w:cs="Times New Roman"/>
                      <w:b w:val="0"/>
                      <w:bCs w:val="0"/>
                      <w:color w:val="auto"/>
                      <w:sz w:val="21"/>
                      <w:szCs w:val="21"/>
                    </w:rPr>
                    <w:t>集中收集</w:t>
                  </w:r>
                  <w:r>
                    <w:rPr>
                      <w:rFonts w:hint="default" w:ascii="Times New Roman" w:hAnsi="Times New Roman" w:eastAsia="Times New Roman" w:cs="Times New Roman"/>
                      <w:b w:val="0"/>
                      <w:bCs w:val="0"/>
                      <w:color w:val="auto"/>
                      <w:sz w:val="21"/>
                      <w:szCs w:val="21"/>
                      <w:lang w:val="en-US" w:eastAsia="zh-CN"/>
                    </w:rPr>
                    <w:t>后暂存</w:t>
                  </w:r>
                  <w:r>
                    <w:rPr>
                      <w:rFonts w:hint="default" w:ascii="Times New Roman" w:hAnsi="Times New Roman" w:eastAsia="Times New Roman" w:cs="Times New Roman"/>
                      <w:b w:val="0"/>
                      <w:bCs w:val="0"/>
                      <w:color w:val="auto"/>
                      <w:sz w:val="21"/>
                      <w:szCs w:val="21"/>
                    </w:rPr>
                    <w:t>于</w:t>
                  </w:r>
                  <w:r>
                    <w:rPr>
                      <w:rFonts w:hint="default" w:ascii="Times New Roman" w:hAnsi="Times New Roman" w:eastAsia="Times New Roman" w:cs="Times New Roman"/>
                      <w:b w:val="0"/>
                      <w:bCs w:val="0"/>
                      <w:color w:val="auto"/>
                      <w:sz w:val="21"/>
                      <w:szCs w:val="21"/>
                      <w:lang w:val="en-US" w:eastAsia="zh-CN"/>
                    </w:rPr>
                    <w:t>危废暂存间内</w:t>
                  </w:r>
                  <w:r>
                    <w:rPr>
                      <w:rFonts w:hint="default" w:ascii="Times New Roman" w:hAnsi="Times New Roman" w:eastAsia="Times New Roman" w:cs="Times New Roman"/>
                      <w:b w:val="0"/>
                      <w:bCs w:val="0"/>
                      <w:color w:val="auto"/>
                      <w:sz w:val="21"/>
                      <w:szCs w:val="21"/>
                      <w:lang w:eastAsia="zh-CN"/>
                    </w:rPr>
                    <w:t>，</w:t>
                  </w:r>
                  <w:r>
                    <w:rPr>
                      <w:rFonts w:hint="default" w:ascii="Times New Roman" w:hAnsi="Times New Roman" w:eastAsia="Times New Roman" w:cs="Times New Roman"/>
                      <w:b w:val="0"/>
                      <w:bCs w:val="0"/>
                      <w:color w:val="auto"/>
                      <w:sz w:val="21"/>
                      <w:szCs w:val="21"/>
                    </w:rPr>
                    <w:t>委托有资质单位处理</w:t>
                  </w:r>
                  <w:r>
                    <w:rPr>
                      <w:rFonts w:hint="eastAsia" w:ascii="Times New Roman" w:hAnsi="Times New Roman"/>
                      <w:color w:val="auto"/>
                      <w:sz w:val="21"/>
                      <w:szCs w:val="21"/>
                      <w:lang w:eastAsia="zh-CN" w:bidi="zh-CN"/>
                    </w:rPr>
                    <w:t>。</w:t>
                  </w:r>
                  <w:r>
                    <w:rPr>
                      <w:rFonts w:hint="default" w:ascii="Times New Roman" w:hAnsi="Times New Roman"/>
                      <w:color w:val="auto"/>
                      <w:sz w:val="21"/>
                      <w:szCs w:val="21"/>
                      <w:lang w:eastAsia="zh-CN" w:bidi="zh-CN"/>
                    </w:rPr>
                    <w:t>项目产生的生活垃圾由环卫部门统一清运，各类工业固废分类收集、合理处置。</w:t>
                  </w:r>
                </w:p>
              </w:tc>
              <w:tc>
                <w:tcPr>
                  <w:tcW w:w="427" w:type="pct"/>
                  <w:tcBorders>
                    <w:tl2br w:val="nil"/>
                    <w:tr2bl w:val="nil"/>
                  </w:tcBorders>
                  <w:noWrap w:val="0"/>
                  <w:vAlign w:val="center"/>
                </w:tcPr>
                <w:p w14:paraId="54173E17">
                  <w:pPr>
                    <w:keepNext w:val="0"/>
                    <w:keepLines w:val="0"/>
                    <w:suppressLineNumbers w:val="0"/>
                    <w:tabs>
                      <w:tab w:val="center" w:pos="4153"/>
                      <w:tab w:val="right" w:pos="8306"/>
                    </w:tabs>
                    <w:spacing w:before="0" w:beforeAutospacing="0" w:after="0" w:afterAutospacing="0" w:line="276" w:lineRule="auto"/>
                    <w:ind w:left="0" w:right="0"/>
                    <w:jc w:val="center"/>
                    <w:rPr>
                      <w:rFonts w:hint="default" w:ascii="Times New Roman" w:hAnsi="Times New Roman"/>
                      <w:color w:val="auto"/>
                      <w:sz w:val="21"/>
                      <w:szCs w:val="21"/>
                      <w:lang w:eastAsia="zh-CN" w:bidi="zh-CN"/>
                    </w:rPr>
                  </w:pPr>
                  <w:r>
                    <w:rPr>
                      <w:rFonts w:hint="default" w:ascii="Times New Roman" w:hAnsi="Times New Roman"/>
                      <w:color w:val="auto"/>
                      <w:sz w:val="21"/>
                      <w:szCs w:val="21"/>
                      <w:lang w:eastAsia="zh-CN" w:bidi="zh-CN"/>
                    </w:rPr>
                    <w:t>符合</w:t>
                  </w:r>
                </w:p>
              </w:tc>
            </w:tr>
          </w:tbl>
          <w:p w14:paraId="6129D1A2">
            <w:pPr>
              <w:pStyle w:val="62"/>
              <w:keepNext w:val="0"/>
              <w:keepLines w:val="0"/>
              <w:suppressLineNumbers w:val="0"/>
              <w:bidi w:val="0"/>
              <w:spacing w:before="0" w:beforeAutospacing="0" w:after="0" w:afterAutospacing="0"/>
              <w:ind w:left="0" w:leftChars="0" w:right="0" w:firstLine="0" w:firstLineChars="0"/>
              <w:rPr>
                <w:rFonts w:hint="default" w:ascii="Times New Roman" w:hAnsi="Times New Roman"/>
                <w:color w:val="auto"/>
              </w:rPr>
            </w:pPr>
            <w:r>
              <w:rPr>
                <w:rFonts w:hint="eastAsia"/>
                <w:b/>
                <w:bCs/>
                <w:color w:val="auto"/>
                <w:lang w:eastAsia="zh-CN"/>
              </w:rPr>
              <w:t>3</w:t>
            </w:r>
            <w:r>
              <w:rPr>
                <w:rFonts w:hint="default"/>
                <w:b/>
                <w:bCs/>
                <w:color w:val="auto"/>
              </w:rPr>
              <w:t>、与</w:t>
            </w:r>
            <w:r>
              <w:rPr>
                <w:rFonts w:hint="eastAsia"/>
                <w:b/>
                <w:bCs/>
                <w:color w:val="auto"/>
                <w:lang w:val="en-US" w:eastAsia="zh-CN"/>
              </w:rPr>
              <w:t>跟踪评价及</w:t>
            </w:r>
            <w:r>
              <w:rPr>
                <w:rFonts w:hint="default"/>
                <w:b/>
                <w:bCs/>
                <w:color w:val="auto"/>
              </w:rPr>
              <w:t>规划环评审查意见的相符性分析</w:t>
            </w:r>
          </w:p>
          <w:p w14:paraId="6AF35490">
            <w:pPr>
              <w:pStyle w:val="63"/>
              <w:keepNext w:val="0"/>
              <w:keepLines w:val="0"/>
              <w:suppressLineNumbers w:val="0"/>
              <w:bidi w:val="0"/>
              <w:spacing w:before="0" w:beforeAutospacing="0" w:after="0" w:afterAutospacing="0"/>
              <w:ind w:left="0" w:right="0"/>
              <w:rPr>
                <w:color w:val="auto"/>
                <w:lang w:eastAsia="zh-CN"/>
              </w:rPr>
            </w:pPr>
            <w:r>
              <w:rPr>
                <w:color w:val="auto"/>
                <w:lang w:eastAsia="zh-CN"/>
              </w:rPr>
              <w:t>表</w:t>
            </w:r>
            <w:r>
              <w:rPr>
                <w:rFonts w:hint="eastAsia"/>
                <w:color w:val="auto"/>
                <w:lang w:eastAsia="zh-CN"/>
              </w:rPr>
              <w:t>1-</w:t>
            </w:r>
            <w:r>
              <w:rPr>
                <w:rFonts w:hint="eastAsia"/>
                <w:color w:val="auto"/>
                <w:lang w:val="en-US" w:eastAsia="zh-CN"/>
              </w:rPr>
              <w:t>3</w:t>
            </w:r>
            <w:r>
              <w:rPr>
                <w:color w:val="auto"/>
                <w:lang w:eastAsia="zh-CN"/>
              </w:rPr>
              <w:t xml:space="preserve">  本项目与规划跟踪评价及审查意见符合性分析</w:t>
            </w:r>
          </w:p>
          <w:tbl>
            <w:tblPr>
              <w:tblStyle w:val="52"/>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2960"/>
              <w:gridCol w:w="3600"/>
              <w:gridCol w:w="877"/>
            </w:tblGrid>
            <w:tr w14:paraId="329C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6" w:type="pct"/>
                  <w:tcBorders>
                    <w:tl2br w:val="nil"/>
                    <w:tr2bl w:val="nil"/>
                  </w:tcBorders>
                  <w:shd w:val="clear" w:color="auto" w:fill="auto"/>
                  <w:noWrap w:val="0"/>
                  <w:vAlign w:val="center"/>
                </w:tcPr>
                <w:p w14:paraId="3DEC7B28">
                  <w:pPr>
                    <w:keepNext w:val="0"/>
                    <w:keepLines w:val="0"/>
                    <w:suppressLineNumbers w:val="0"/>
                    <w:spacing w:before="0" w:beforeAutospacing="0" w:after="0" w:afterAutospacing="0" w:line="240" w:lineRule="auto"/>
                    <w:ind w:left="0" w:right="0"/>
                    <w:jc w:val="center"/>
                    <w:rPr>
                      <w:rFonts w:hint="default" w:ascii="Times New Roman" w:hAnsi="Times New Roman"/>
                      <w:b/>
                      <w:color w:val="auto"/>
                      <w:sz w:val="21"/>
                      <w:szCs w:val="21"/>
                    </w:rPr>
                  </w:pPr>
                  <w:r>
                    <w:rPr>
                      <w:rFonts w:hint="default" w:ascii="Times New Roman"/>
                      <w:b/>
                      <w:color w:val="auto"/>
                      <w:sz w:val="21"/>
                      <w:szCs w:val="21"/>
                    </w:rPr>
                    <w:t>序号</w:t>
                  </w:r>
                </w:p>
              </w:tc>
              <w:tc>
                <w:tcPr>
                  <w:tcW w:w="1824" w:type="pct"/>
                  <w:tcBorders>
                    <w:tl2br w:val="nil"/>
                    <w:tr2bl w:val="nil"/>
                  </w:tcBorders>
                  <w:shd w:val="clear" w:color="auto" w:fill="auto"/>
                  <w:noWrap w:val="0"/>
                  <w:vAlign w:val="center"/>
                </w:tcPr>
                <w:p w14:paraId="4EF5C683">
                  <w:pPr>
                    <w:keepNext w:val="0"/>
                    <w:keepLines w:val="0"/>
                    <w:suppressLineNumbers w:val="0"/>
                    <w:spacing w:before="0" w:beforeAutospacing="0" w:after="0" w:afterAutospacing="0" w:line="240" w:lineRule="auto"/>
                    <w:ind w:left="0" w:right="0"/>
                    <w:jc w:val="center"/>
                    <w:rPr>
                      <w:rFonts w:hint="default" w:ascii="Times New Roman" w:hAnsi="Times New Roman"/>
                      <w:b/>
                      <w:color w:val="auto"/>
                      <w:sz w:val="21"/>
                      <w:szCs w:val="21"/>
                      <w:lang w:eastAsia="zh-CN"/>
                    </w:rPr>
                  </w:pPr>
                  <w:r>
                    <w:rPr>
                      <w:rFonts w:hint="default" w:ascii="Times New Roman"/>
                      <w:b/>
                      <w:color w:val="auto"/>
                      <w:sz w:val="21"/>
                      <w:szCs w:val="21"/>
                      <w:lang w:eastAsia="zh-CN"/>
                    </w:rPr>
                    <w:t>跟踪评价及规划环评审查意见</w:t>
                  </w:r>
                </w:p>
              </w:tc>
              <w:tc>
                <w:tcPr>
                  <w:tcW w:w="2218" w:type="pct"/>
                  <w:tcBorders>
                    <w:tl2br w:val="nil"/>
                    <w:tr2bl w:val="nil"/>
                  </w:tcBorders>
                  <w:shd w:val="clear" w:color="auto" w:fill="auto"/>
                  <w:noWrap w:val="0"/>
                  <w:vAlign w:val="center"/>
                </w:tcPr>
                <w:p w14:paraId="1AD41BEE">
                  <w:pPr>
                    <w:keepNext w:val="0"/>
                    <w:keepLines w:val="0"/>
                    <w:suppressLineNumbers w:val="0"/>
                    <w:spacing w:before="0" w:beforeAutospacing="0" w:after="0" w:afterAutospacing="0" w:line="240" w:lineRule="auto"/>
                    <w:ind w:left="0" w:right="0"/>
                    <w:jc w:val="center"/>
                    <w:rPr>
                      <w:rFonts w:hint="default" w:ascii="Times New Roman" w:hAnsi="Times New Roman"/>
                      <w:b/>
                      <w:color w:val="auto"/>
                      <w:sz w:val="21"/>
                      <w:szCs w:val="21"/>
                    </w:rPr>
                  </w:pPr>
                  <w:r>
                    <w:rPr>
                      <w:rFonts w:hint="default" w:ascii="Times New Roman"/>
                      <w:b/>
                      <w:color w:val="auto"/>
                      <w:sz w:val="21"/>
                      <w:szCs w:val="21"/>
                    </w:rPr>
                    <w:t>本项目情况</w:t>
                  </w:r>
                </w:p>
              </w:tc>
              <w:tc>
                <w:tcPr>
                  <w:tcW w:w="540" w:type="pct"/>
                  <w:tcBorders>
                    <w:tl2br w:val="nil"/>
                    <w:tr2bl w:val="nil"/>
                  </w:tcBorders>
                  <w:shd w:val="clear" w:color="auto" w:fill="auto"/>
                  <w:noWrap w:val="0"/>
                  <w:vAlign w:val="center"/>
                </w:tcPr>
                <w:p w14:paraId="4FDF4DC6">
                  <w:pPr>
                    <w:keepNext w:val="0"/>
                    <w:keepLines w:val="0"/>
                    <w:suppressLineNumbers w:val="0"/>
                    <w:spacing w:before="0" w:beforeAutospacing="0" w:after="0" w:afterAutospacing="0" w:line="240" w:lineRule="auto"/>
                    <w:ind w:left="0" w:right="0"/>
                    <w:jc w:val="center"/>
                    <w:rPr>
                      <w:rFonts w:hint="eastAsia" w:ascii="Times New Roman" w:hAnsi="Times New Roman" w:eastAsia="宋体"/>
                      <w:b/>
                      <w:color w:val="auto"/>
                      <w:sz w:val="21"/>
                      <w:szCs w:val="21"/>
                      <w:lang w:val="en-US" w:eastAsia="zh-CN"/>
                    </w:rPr>
                  </w:pPr>
                  <w:r>
                    <w:rPr>
                      <w:rFonts w:hint="default" w:ascii="Times New Roman"/>
                      <w:b/>
                      <w:color w:val="auto"/>
                      <w:sz w:val="21"/>
                      <w:szCs w:val="21"/>
                    </w:rPr>
                    <w:t>符合</w:t>
                  </w:r>
                  <w:r>
                    <w:rPr>
                      <w:rFonts w:hint="eastAsia" w:ascii="Times New Roman"/>
                      <w:b/>
                      <w:color w:val="auto"/>
                      <w:sz w:val="21"/>
                      <w:szCs w:val="21"/>
                      <w:lang w:val="en-US" w:eastAsia="zh-CN"/>
                    </w:rPr>
                    <w:t>性</w:t>
                  </w:r>
                </w:p>
              </w:tc>
            </w:tr>
            <w:tr w14:paraId="04EF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tcBorders>
                    <w:tl2br w:val="nil"/>
                    <w:tr2bl w:val="nil"/>
                  </w:tcBorders>
                  <w:shd w:val="clear" w:color="auto" w:fill="auto"/>
                  <w:noWrap w:val="0"/>
                  <w:vAlign w:val="center"/>
                </w:tcPr>
                <w:p w14:paraId="7298385C">
                  <w:pPr>
                    <w:keepNext w:val="0"/>
                    <w:keepLines w:val="0"/>
                    <w:suppressLineNumbers w:val="0"/>
                    <w:spacing w:before="0" w:beforeAutospacing="0" w:after="0" w:afterAutospacing="0" w:line="276" w:lineRule="auto"/>
                    <w:ind w:left="0" w:right="0"/>
                    <w:jc w:val="center"/>
                    <w:rPr>
                      <w:rFonts w:hint="default" w:ascii="Times New Roman" w:hAnsi="Times New Roman"/>
                      <w:color w:val="auto"/>
                      <w:sz w:val="21"/>
                      <w:szCs w:val="21"/>
                    </w:rPr>
                  </w:pPr>
                  <w:r>
                    <w:rPr>
                      <w:rFonts w:hint="default" w:ascii="Times New Roman" w:hAnsi="Times New Roman"/>
                      <w:color w:val="auto"/>
                      <w:sz w:val="21"/>
                      <w:szCs w:val="21"/>
                    </w:rPr>
                    <w:t>1</w:t>
                  </w:r>
                </w:p>
              </w:tc>
              <w:tc>
                <w:tcPr>
                  <w:tcW w:w="1824" w:type="pct"/>
                  <w:tcBorders>
                    <w:tl2br w:val="nil"/>
                    <w:tr2bl w:val="nil"/>
                  </w:tcBorders>
                  <w:shd w:val="clear" w:color="auto" w:fill="auto"/>
                  <w:noWrap w:val="0"/>
                  <w:vAlign w:val="center"/>
                </w:tcPr>
                <w:p w14:paraId="5CA4A7E4">
                  <w:pPr>
                    <w:keepNext w:val="0"/>
                    <w:keepLines w:val="0"/>
                    <w:suppressLineNumbers w:val="0"/>
                    <w:spacing w:before="0" w:beforeAutospacing="0" w:after="0" w:afterAutospacing="0" w:line="276" w:lineRule="auto"/>
                    <w:ind w:left="0" w:right="0"/>
                    <w:jc w:val="center"/>
                    <w:rPr>
                      <w:rFonts w:hint="default" w:ascii="Times New Roman" w:hAnsi="Times New Roman"/>
                      <w:color w:val="auto"/>
                      <w:sz w:val="21"/>
                      <w:szCs w:val="21"/>
                      <w:lang w:eastAsia="zh-CN"/>
                    </w:rPr>
                  </w:pPr>
                  <w:r>
                    <w:rPr>
                      <w:rFonts w:hint="default" w:ascii="Times New Roman"/>
                      <w:color w:val="auto"/>
                      <w:sz w:val="21"/>
                      <w:szCs w:val="21"/>
                      <w:lang w:eastAsia="zh-CN"/>
                    </w:rPr>
                    <w:t>完善环境基础设施建设。加快中水回用规划实施，做好管网等配套措施建设，提高中水回用率，完善雨污管网分流改造；现有燃煤工业炉窑不得扩大规模，并实施安徽省大气特别排放限值达标改造。</w:t>
                  </w:r>
                </w:p>
              </w:tc>
              <w:tc>
                <w:tcPr>
                  <w:tcW w:w="2218" w:type="pct"/>
                  <w:tcBorders>
                    <w:tl2br w:val="nil"/>
                    <w:tr2bl w:val="nil"/>
                  </w:tcBorders>
                  <w:shd w:val="clear" w:color="auto" w:fill="auto"/>
                  <w:noWrap w:val="0"/>
                  <w:vAlign w:val="center"/>
                </w:tcPr>
                <w:p w14:paraId="62AB27A7">
                  <w:pPr>
                    <w:keepNext w:val="0"/>
                    <w:keepLines w:val="0"/>
                    <w:suppressLineNumbers w:val="0"/>
                    <w:spacing w:before="0" w:beforeAutospacing="0" w:after="0" w:afterAutospacing="0" w:line="276" w:lineRule="auto"/>
                    <w:ind w:left="0" w:right="0"/>
                    <w:jc w:val="center"/>
                    <w:rPr>
                      <w:rFonts w:hint="default" w:ascii="Times New Roman" w:hAnsi="Times New Roman"/>
                      <w:color w:val="auto"/>
                      <w:sz w:val="21"/>
                      <w:szCs w:val="21"/>
                      <w:lang w:val="en-US" w:eastAsia="zh-CN"/>
                    </w:rPr>
                  </w:pPr>
                  <w:r>
                    <w:rPr>
                      <w:rFonts w:hint="default" w:ascii="Times New Roman"/>
                      <w:color w:val="auto"/>
                      <w:sz w:val="21"/>
                      <w:szCs w:val="21"/>
                      <w:lang w:eastAsia="zh-CN"/>
                    </w:rPr>
                    <w:t>本项目生活污水经</w:t>
                  </w:r>
                  <w:r>
                    <w:rPr>
                      <w:rFonts w:hint="eastAsia" w:ascii="Times New Roman" w:hAnsi="Times New Roman"/>
                      <w:color w:val="auto"/>
                      <w:sz w:val="21"/>
                      <w:szCs w:val="21"/>
                      <w:lang w:eastAsia="zh-CN"/>
                    </w:rPr>
                    <w:t>化粪池</w:t>
                  </w:r>
                  <w:r>
                    <w:rPr>
                      <w:rFonts w:hint="default" w:ascii="Times New Roman"/>
                      <w:color w:val="auto"/>
                      <w:sz w:val="21"/>
                      <w:szCs w:val="21"/>
                      <w:lang w:eastAsia="zh-CN"/>
                    </w:rPr>
                    <w:t>处理。淮南经济技术开发区污水处理厂已建成，生活污水经</w:t>
                  </w:r>
                  <w:r>
                    <w:rPr>
                      <w:rFonts w:hint="eastAsia" w:ascii="Times New Roman" w:hAnsi="Times New Roman"/>
                      <w:color w:val="auto"/>
                      <w:sz w:val="21"/>
                      <w:szCs w:val="21"/>
                      <w:lang w:eastAsia="zh-CN"/>
                    </w:rPr>
                    <w:t>化粪池</w:t>
                  </w:r>
                  <w:r>
                    <w:rPr>
                      <w:rFonts w:hint="default" w:ascii="Times New Roman"/>
                      <w:color w:val="auto"/>
                      <w:sz w:val="21"/>
                      <w:szCs w:val="21"/>
                      <w:lang w:eastAsia="zh-CN"/>
                    </w:rPr>
                    <w:t>处理满足其接管限值后排入园区污水管网，接管至淮南经济技术开发区污水处理厂处理达标排放。</w:t>
                  </w:r>
                  <w:r>
                    <w:rPr>
                      <w:rFonts w:hint="eastAsia" w:ascii="Times New Roman"/>
                      <w:color w:val="auto"/>
                      <w:sz w:val="21"/>
                      <w:szCs w:val="21"/>
                      <w:lang w:val="en-US" w:eastAsia="zh-CN"/>
                    </w:rPr>
                    <w:t>项目工业各类炉窑使用的使用的能源是电能/天然气。</w:t>
                  </w:r>
                </w:p>
              </w:tc>
              <w:tc>
                <w:tcPr>
                  <w:tcW w:w="540" w:type="pct"/>
                  <w:tcBorders>
                    <w:tl2br w:val="nil"/>
                    <w:tr2bl w:val="nil"/>
                  </w:tcBorders>
                  <w:shd w:val="clear" w:color="auto" w:fill="auto"/>
                  <w:noWrap w:val="0"/>
                  <w:vAlign w:val="center"/>
                </w:tcPr>
                <w:p w14:paraId="02B0BBE6">
                  <w:pPr>
                    <w:keepNext w:val="0"/>
                    <w:keepLines w:val="0"/>
                    <w:suppressLineNumbers w:val="0"/>
                    <w:spacing w:before="0" w:beforeAutospacing="0" w:after="0" w:afterAutospacing="0" w:line="276" w:lineRule="auto"/>
                    <w:ind w:left="0" w:right="0"/>
                    <w:jc w:val="center"/>
                    <w:rPr>
                      <w:rFonts w:hint="default" w:ascii="Times New Roman" w:hAnsi="Times New Roman"/>
                      <w:color w:val="auto"/>
                      <w:sz w:val="21"/>
                      <w:szCs w:val="21"/>
                    </w:rPr>
                  </w:pPr>
                  <w:r>
                    <w:rPr>
                      <w:rFonts w:hint="default" w:ascii="Times New Roman"/>
                      <w:color w:val="auto"/>
                      <w:sz w:val="21"/>
                      <w:szCs w:val="21"/>
                    </w:rPr>
                    <w:t>符合</w:t>
                  </w:r>
                </w:p>
              </w:tc>
            </w:tr>
            <w:tr w14:paraId="4B338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tcBorders>
                    <w:tl2br w:val="nil"/>
                    <w:tr2bl w:val="nil"/>
                  </w:tcBorders>
                  <w:shd w:val="clear" w:color="auto" w:fill="auto"/>
                  <w:noWrap w:val="0"/>
                  <w:vAlign w:val="center"/>
                </w:tcPr>
                <w:p w14:paraId="3C91D855">
                  <w:pPr>
                    <w:keepNext w:val="0"/>
                    <w:keepLines w:val="0"/>
                    <w:suppressLineNumbers w:val="0"/>
                    <w:spacing w:before="0" w:beforeAutospacing="0" w:after="0" w:afterAutospacing="0" w:line="276" w:lineRule="auto"/>
                    <w:ind w:left="0" w:right="0"/>
                    <w:jc w:val="center"/>
                    <w:rPr>
                      <w:rFonts w:hint="default" w:ascii="Times New Roman" w:hAnsi="Times New Roman"/>
                      <w:color w:val="auto"/>
                      <w:sz w:val="21"/>
                      <w:szCs w:val="21"/>
                    </w:rPr>
                  </w:pPr>
                  <w:r>
                    <w:rPr>
                      <w:rFonts w:hint="default" w:ascii="Times New Roman" w:hAnsi="Times New Roman"/>
                      <w:color w:val="auto"/>
                      <w:sz w:val="21"/>
                      <w:szCs w:val="21"/>
                    </w:rPr>
                    <w:t>2</w:t>
                  </w:r>
                </w:p>
              </w:tc>
              <w:tc>
                <w:tcPr>
                  <w:tcW w:w="1824" w:type="pct"/>
                  <w:tcBorders>
                    <w:tl2br w:val="nil"/>
                    <w:tr2bl w:val="nil"/>
                  </w:tcBorders>
                  <w:shd w:val="clear" w:color="auto" w:fill="auto"/>
                  <w:noWrap w:val="0"/>
                  <w:vAlign w:val="center"/>
                </w:tcPr>
                <w:p w14:paraId="6245FA2F">
                  <w:pPr>
                    <w:keepNext w:val="0"/>
                    <w:keepLines w:val="0"/>
                    <w:suppressLineNumbers w:val="0"/>
                    <w:spacing w:before="0" w:beforeAutospacing="0" w:after="0" w:afterAutospacing="0" w:line="276" w:lineRule="auto"/>
                    <w:ind w:left="0" w:right="0"/>
                    <w:jc w:val="center"/>
                    <w:rPr>
                      <w:rFonts w:hint="default" w:ascii="Times New Roman" w:hAnsi="Times New Roman"/>
                      <w:color w:val="auto"/>
                      <w:sz w:val="21"/>
                      <w:szCs w:val="21"/>
                      <w:lang w:eastAsia="zh-CN"/>
                    </w:rPr>
                  </w:pPr>
                  <w:r>
                    <w:rPr>
                      <w:rFonts w:hint="default" w:ascii="Times New Roman"/>
                      <w:color w:val="auto"/>
                      <w:sz w:val="21"/>
                      <w:szCs w:val="21"/>
                      <w:lang w:eastAsia="zh-CN"/>
                    </w:rPr>
                    <w:t>强化开发区环境管理。督促相关企业完成整改要求。组织区内企业开展环境风险自查，排查环境风险隐患﹐落实应急预案。结合区域评估相关要求，制订并落实区域环境质量跟踪监测计划。</w:t>
                  </w:r>
                </w:p>
              </w:tc>
              <w:tc>
                <w:tcPr>
                  <w:tcW w:w="2218" w:type="pct"/>
                  <w:tcBorders>
                    <w:tl2br w:val="nil"/>
                    <w:tr2bl w:val="nil"/>
                  </w:tcBorders>
                  <w:shd w:val="clear" w:color="auto" w:fill="auto"/>
                  <w:noWrap w:val="0"/>
                  <w:vAlign w:val="center"/>
                </w:tcPr>
                <w:p w14:paraId="1075E082">
                  <w:pPr>
                    <w:keepNext w:val="0"/>
                    <w:keepLines w:val="0"/>
                    <w:suppressLineNumbers w:val="0"/>
                    <w:spacing w:before="0" w:beforeAutospacing="0" w:after="0" w:afterAutospacing="0" w:line="276" w:lineRule="auto"/>
                    <w:ind w:left="0" w:right="0"/>
                    <w:jc w:val="center"/>
                    <w:rPr>
                      <w:rFonts w:hint="default" w:ascii="Times New Roman" w:hAnsi="Times New Roman"/>
                      <w:color w:val="auto"/>
                      <w:sz w:val="21"/>
                      <w:szCs w:val="21"/>
                      <w:lang w:eastAsia="zh-CN"/>
                    </w:rPr>
                  </w:pPr>
                  <w:r>
                    <w:rPr>
                      <w:rFonts w:hint="default" w:ascii="Times New Roman"/>
                      <w:color w:val="auto"/>
                      <w:sz w:val="21"/>
                      <w:szCs w:val="21"/>
                      <w:lang w:eastAsia="zh-CN"/>
                    </w:rPr>
                    <w:t>本项目后期运营</w:t>
                  </w:r>
                  <w:r>
                    <w:rPr>
                      <w:rFonts w:hint="eastAsia" w:ascii="Times New Roman"/>
                      <w:color w:val="auto"/>
                      <w:sz w:val="21"/>
                      <w:szCs w:val="21"/>
                      <w:lang w:val="en-US" w:eastAsia="zh-CN"/>
                    </w:rPr>
                    <w:t>中</w:t>
                  </w:r>
                  <w:r>
                    <w:rPr>
                      <w:rFonts w:hint="default" w:ascii="Times New Roman"/>
                      <w:color w:val="auto"/>
                      <w:sz w:val="21"/>
                      <w:szCs w:val="21"/>
                      <w:lang w:eastAsia="zh-CN"/>
                    </w:rPr>
                    <w:t>，企业应加强环境管理，定期开展环境风险自查；项目按照相关要求开展自行监测。</w:t>
                  </w:r>
                </w:p>
              </w:tc>
              <w:tc>
                <w:tcPr>
                  <w:tcW w:w="540" w:type="pct"/>
                  <w:tcBorders>
                    <w:tl2br w:val="nil"/>
                    <w:tr2bl w:val="nil"/>
                  </w:tcBorders>
                  <w:shd w:val="clear" w:color="auto" w:fill="auto"/>
                  <w:noWrap w:val="0"/>
                  <w:vAlign w:val="center"/>
                </w:tcPr>
                <w:p w14:paraId="406415BF">
                  <w:pPr>
                    <w:keepNext w:val="0"/>
                    <w:keepLines w:val="0"/>
                    <w:suppressLineNumbers w:val="0"/>
                    <w:spacing w:before="0" w:beforeAutospacing="0" w:after="0" w:afterAutospacing="0" w:line="276" w:lineRule="auto"/>
                    <w:ind w:left="0" w:right="0"/>
                    <w:jc w:val="center"/>
                    <w:rPr>
                      <w:rFonts w:hint="default" w:ascii="Times New Roman" w:hAnsi="Times New Roman"/>
                      <w:color w:val="auto"/>
                      <w:sz w:val="21"/>
                      <w:szCs w:val="21"/>
                      <w:lang w:eastAsia="zh-CN"/>
                    </w:rPr>
                  </w:pPr>
                  <w:r>
                    <w:rPr>
                      <w:rFonts w:hint="default" w:ascii="Times New Roman"/>
                      <w:color w:val="auto"/>
                      <w:sz w:val="21"/>
                      <w:szCs w:val="21"/>
                      <w:lang w:eastAsia="zh-CN"/>
                    </w:rPr>
                    <w:t>符合</w:t>
                  </w:r>
                </w:p>
              </w:tc>
            </w:tr>
          </w:tbl>
          <w:p w14:paraId="03FE374D">
            <w:pPr>
              <w:pStyle w:val="62"/>
              <w:keepNext w:val="0"/>
              <w:keepLines w:val="0"/>
              <w:suppressLineNumbers w:val="0"/>
              <w:bidi w:val="0"/>
              <w:spacing w:before="0" w:beforeAutospacing="0" w:after="0" w:afterAutospacing="0"/>
              <w:ind w:left="0" w:leftChars="0" w:right="0" w:rightChars="0" w:firstLine="480" w:firstLineChars="200"/>
              <w:rPr>
                <w:rFonts w:hint="default" w:ascii="Times New Roman" w:hAnsi="Times New Roman" w:eastAsia="宋体" w:cs="Times New Roman"/>
                <w:b w:val="0"/>
                <w:bCs w:val="0"/>
                <w:color w:val="0000FF"/>
                <w:szCs w:val="24"/>
                <w:lang w:val="en-US" w:eastAsia="zh-CN"/>
              </w:rPr>
            </w:pPr>
            <w:r>
              <w:rPr>
                <w:rFonts w:hint="default" w:ascii="Times New Roman" w:hAnsi="Times New Roman"/>
                <w:color w:val="auto"/>
                <w:sz w:val="24"/>
                <w:szCs w:val="24"/>
                <w:lang w:eastAsia="zh-CN"/>
              </w:rPr>
              <w:t>由上表可知，本项目建设符合淮南市东部工业区总体规划（2008-2020）环境影响报告书及其审批意见、</w:t>
            </w:r>
            <w:r>
              <w:rPr>
                <w:rFonts w:hint="default" w:ascii="Times New Roman"/>
                <w:color w:val="auto"/>
                <w:sz w:val="24"/>
                <w:szCs w:val="24"/>
                <w:lang w:eastAsia="zh-CN"/>
              </w:rPr>
              <w:t>《淮南经济技术开发区总体发展规划环境影响跟踪评价报告书》及审查意见</w:t>
            </w:r>
            <w:r>
              <w:rPr>
                <w:rFonts w:hint="default" w:ascii="Times New Roman" w:hAnsi="Times New Roman"/>
                <w:color w:val="auto"/>
                <w:sz w:val="24"/>
                <w:szCs w:val="24"/>
                <w:lang w:eastAsia="zh-CN"/>
              </w:rPr>
              <w:t>中相关要求。</w:t>
            </w:r>
          </w:p>
        </w:tc>
      </w:tr>
      <w:tr w14:paraId="1F905F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2" w:type="dxa"/>
            <w:noWrap w:val="0"/>
            <w:vAlign w:val="center"/>
          </w:tcPr>
          <w:p w14:paraId="48AC9102">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ascii="Times New Roman" w:hAnsi="Times New Roman" w:eastAsia="宋体" w:cs="Times New Roman"/>
                <w:b/>
                <w:color w:val="0000FF"/>
                <w:kern w:val="0"/>
                <w:sz w:val="24"/>
              </w:rPr>
            </w:pPr>
          </w:p>
          <w:p w14:paraId="3240DF5E">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color w:val="0000FF"/>
                <w:kern w:val="0"/>
                <w:sz w:val="24"/>
              </w:rPr>
            </w:pPr>
          </w:p>
          <w:p w14:paraId="298A65C2">
            <w:pPr>
              <w:keepNext w:val="0"/>
              <w:keepLines w:val="0"/>
              <w:suppressLineNumbers w:val="0"/>
              <w:autoSpaceDE w:val="0"/>
              <w:autoSpaceDN w:val="0"/>
              <w:adjustRightInd w:val="0"/>
              <w:snapToGrid w:val="0"/>
              <w:spacing w:before="0" w:beforeAutospacing="0" w:after="0" w:afterAutospacing="0" w:line="400" w:lineRule="exact"/>
              <w:ind w:left="0" w:right="0"/>
              <w:jc w:val="both"/>
              <w:rPr>
                <w:rFonts w:hint="default" w:ascii="Times New Roman" w:hAnsi="Times New Roman" w:eastAsia="宋体" w:cs="Times New Roman"/>
                <w:b/>
                <w:color w:val="0000FF"/>
                <w:kern w:val="0"/>
                <w:sz w:val="24"/>
              </w:rPr>
            </w:pPr>
          </w:p>
          <w:p w14:paraId="739BBB9E">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auto"/>
                <w:kern w:val="0"/>
                <w:sz w:val="24"/>
              </w:rPr>
            </w:pPr>
          </w:p>
          <w:p w14:paraId="595B2C09">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auto"/>
                <w:kern w:val="0"/>
                <w:sz w:val="24"/>
              </w:rPr>
            </w:pPr>
            <w:r>
              <w:rPr>
                <w:rFonts w:hint="default" w:ascii="Times New Roman" w:hAnsi="Times New Roman" w:eastAsia="宋体" w:cs="Times New Roman"/>
                <w:b w:val="0"/>
                <w:bCs/>
                <w:color w:val="auto"/>
                <w:kern w:val="0"/>
                <w:sz w:val="24"/>
              </w:rPr>
              <w:t>其他符合性分析</w:t>
            </w:r>
          </w:p>
          <w:p w14:paraId="452F5E45">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 w:val="0"/>
                <w:bCs/>
                <w:color w:val="0000FF"/>
                <w:kern w:val="0"/>
                <w:sz w:val="24"/>
              </w:rPr>
            </w:pPr>
          </w:p>
          <w:p w14:paraId="09AAB236">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 w:val="0"/>
                <w:bCs/>
                <w:color w:val="0000FF"/>
                <w:kern w:val="0"/>
                <w:sz w:val="24"/>
              </w:rPr>
            </w:pPr>
          </w:p>
          <w:p w14:paraId="163BE8BF">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 w:val="0"/>
                <w:bCs/>
                <w:color w:val="0000FF"/>
                <w:kern w:val="0"/>
                <w:sz w:val="24"/>
              </w:rPr>
            </w:pPr>
          </w:p>
          <w:p w14:paraId="4E39F7BF">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 w:val="0"/>
                <w:bCs/>
                <w:color w:val="0000FF"/>
                <w:kern w:val="0"/>
                <w:sz w:val="24"/>
              </w:rPr>
            </w:pPr>
          </w:p>
          <w:p w14:paraId="65F0C9B0">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 w:val="0"/>
                <w:bCs/>
                <w:color w:val="0000FF"/>
                <w:kern w:val="0"/>
                <w:sz w:val="24"/>
              </w:rPr>
            </w:pPr>
          </w:p>
          <w:p w14:paraId="1E53F221">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 w:val="0"/>
                <w:bCs/>
                <w:color w:val="0000FF"/>
                <w:kern w:val="0"/>
                <w:sz w:val="24"/>
              </w:rPr>
            </w:pPr>
          </w:p>
          <w:p w14:paraId="17591AB0">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 w:val="0"/>
                <w:bCs/>
                <w:color w:val="0000FF"/>
                <w:kern w:val="0"/>
                <w:sz w:val="24"/>
              </w:rPr>
            </w:pPr>
          </w:p>
          <w:p w14:paraId="0B94DFBF">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60FD93A8">
            <w:pPr>
              <w:keepNext w:val="0"/>
              <w:keepLines w:val="0"/>
              <w:suppressLineNumbers w:val="0"/>
              <w:autoSpaceDE w:val="0"/>
              <w:autoSpaceDN w:val="0"/>
              <w:adjustRightInd w:val="0"/>
              <w:snapToGrid w:val="0"/>
              <w:spacing w:before="0" w:beforeAutospacing="0" w:after="0" w:afterAutospacing="0" w:line="400" w:lineRule="exact"/>
              <w:ind w:left="0" w:right="0"/>
              <w:jc w:val="both"/>
              <w:rPr>
                <w:rFonts w:hint="default" w:ascii="Times New Roman" w:hAnsi="Times New Roman" w:eastAsia="宋体" w:cs="Times New Roman"/>
                <w:b w:val="0"/>
                <w:bCs/>
                <w:color w:val="0000FF"/>
                <w:kern w:val="0"/>
                <w:sz w:val="24"/>
              </w:rPr>
            </w:pPr>
          </w:p>
          <w:p w14:paraId="1C265269">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2C5C841E">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6AF6120C">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02102B59">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2AED4C6F">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212F0E3B">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46FB63F1">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452B730F">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2E105E53">
            <w:pPr>
              <w:keepNext w:val="0"/>
              <w:keepLines w:val="0"/>
              <w:suppressLineNumbers w:val="0"/>
              <w:autoSpaceDE w:val="0"/>
              <w:autoSpaceDN w:val="0"/>
              <w:adjustRightInd w:val="0"/>
              <w:snapToGrid w:val="0"/>
              <w:spacing w:before="0" w:beforeAutospacing="0" w:after="0" w:afterAutospacing="0" w:line="400" w:lineRule="exact"/>
              <w:ind w:left="0" w:right="0"/>
              <w:jc w:val="both"/>
              <w:rPr>
                <w:rFonts w:hint="default" w:ascii="Times New Roman" w:hAnsi="Times New Roman" w:eastAsia="宋体" w:cs="Times New Roman"/>
                <w:b w:val="0"/>
                <w:bCs/>
                <w:color w:val="0000FF"/>
                <w:kern w:val="0"/>
                <w:sz w:val="24"/>
              </w:rPr>
            </w:pPr>
          </w:p>
          <w:p w14:paraId="5D1B5C9E">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3433FD8B">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2094A9D6">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auto"/>
                <w:kern w:val="0"/>
                <w:sz w:val="24"/>
              </w:rPr>
            </w:pPr>
            <w:r>
              <w:rPr>
                <w:rFonts w:hint="default" w:ascii="Times New Roman" w:hAnsi="Times New Roman" w:eastAsia="宋体" w:cs="Times New Roman"/>
                <w:b w:val="0"/>
                <w:bCs/>
                <w:color w:val="auto"/>
                <w:kern w:val="0"/>
                <w:sz w:val="24"/>
              </w:rPr>
              <w:t>其他符合性分析</w:t>
            </w:r>
          </w:p>
          <w:p w14:paraId="0E7296FF">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66467E0D">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6A909664">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2860453A">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 w:val="0"/>
                <w:bCs/>
                <w:color w:val="0000FF"/>
                <w:kern w:val="0"/>
                <w:sz w:val="24"/>
              </w:rPr>
            </w:pPr>
          </w:p>
          <w:p w14:paraId="6BD11F19">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 w:val="0"/>
                <w:bCs/>
                <w:color w:val="0000FF"/>
                <w:kern w:val="0"/>
                <w:sz w:val="24"/>
              </w:rPr>
            </w:pPr>
          </w:p>
          <w:p w14:paraId="318D7C2E">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 w:val="0"/>
                <w:bCs/>
                <w:color w:val="0000FF"/>
                <w:kern w:val="0"/>
                <w:sz w:val="24"/>
              </w:rPr>
            </w:pPr>
          </w:p>
          <w:p w14:paraId="559B7422">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 w:val="0"/>
                <w:bCs/>
                <w:color w:val="0000FF"/>
                <w:kern w:val="0"/>
                <w:sz w:val="24"/>
              </w:rPr>
            </w:pPr>
          </w:p>
          <w:p w14:paraId="1CC5035F">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Cs/>
                <w:color w:val="0000FF"/>
                <w:kern w:val="0"/>
                <w:sz w:val="24"/>
              </w:rPr>
            </w:pPr>
          </w:p>
          <w:p w14:paraId="416FE4D1">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2B422BCC">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0462267F">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53E380A0">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17841239">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5E12DF69">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7E683DF1">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74153616">
            <w:pPr>
              <w:pStyle w:val="2"/>
              <w:keepNext w:val="0"/>
              <w:keepLines w:val="0"/>
              <w:suppressLineNumbers w:val="0"/>
              <w:spacing w:beforeAutospacing="0" w:afterAutospacing="0"/>
              <w:ind w:left="0"/>
              <w:rPr>
                <w:rFonts w:hint="default" w:ascii="Times New Roman" w:hAnsi="Times New Roman" w:eastAsia="宋体" w:cs="Times New Roman"/>
                <w:bCs/>
                <w:color w:val="0000FF"/>
              </w:rPr>
            </w:pPr>
          </w:p>
          <w:p w14:paraId="0047660C">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72CBC9A9">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458CA743">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26035120">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5A3BE200">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4F228C4B">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5FA74482">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24937B2A">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783DF0B9">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7F2EDBF9">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7612A45C">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5305E2F5">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58083B5C">
            <w:pPr>
              <w:keepNext w:val="0"/>
              <w:keepLines w:val="0"/>
              <w:suppressLineNumbers w:val="0"/>
              <w:autoSpaceDE w:val="0"/>
              <w:autoSpaceDN w:val="0"/>
              <w:adjustRightInd w:val="0"/>
              <w:snapToGrid w:val="0"/>
              <w:spacing w:before="0" w:beforeAutospacing="0" w:after="0" w:afterAutospacing="0" w:line="400" w:lineRule="exact"/>
              <w:ind w:left="0" w:right="0"/>
              <w:jc w:val="both"/>
              <w:rPr>
                <w:rFonts w:hint="default" w:ascii="Times New Roman" w:hAnsi="Times New Roman" w:eastAsia="宋体" w:cs="Times New Roman"/>
                <w:b w:val="0"/>
                <w:bCs/>
                <w:color w:val="0000FF"/>
                <w:kern w:val="0"/>
                <w:sz w:val="24"/>
              </w:rPr>
            </w:pPr>
          </w:p>
          <w:p w14:paraId="240A0CC2">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72562EB1">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5A5283DD">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auto"/>
                <w:kern w:val="0"/>
                <w:sz w:val="24"/>
              </w:rPr>
            </w:pPr>
            <w:r>
              <w:rPr>
                <w:rFonts w:hint="default" w:ascii="Times New Roman" w:hAnsi="Times New Roman" w:eastAsia="宋体" w:cs="Times New Roman"/>
                <w:b w:val="0"/>
                <w:bCs/>
                <w:color w:val="auto"/>
                <w:kern w:val="0"/>
                <w:sz w:val="24"/>
              </w:rPr>
              <w:t>其他符合性分析</w:t>
            </w:r>
          </w:p>
          <w:p w14:paraId="26E413C8">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03877108">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5F31195A">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0D29DCEA">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 w:val="0"/>
                <w:bCs/>
                <w:color w:val="0000FF"/>
                <w:kern w:val="0"/>
                <w:sz w:val="24"/>
              </w:rPr>
            </w:pPr>
          </w:p>
          <w:p w14:paraId="0E959020">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 w:val="0"/>
                <w:bCs/>
                <w:color w:val="0000FF"/>
                <w:kern w:val="0"/>
                <w:sz w:val="24"/>
              </w:rPr>
            </w:pPr>
          </w:p>
          <w:p w14:paraId="7D0B1868">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 w:val="0"/>
                <w:bCs/>
                <w:color w:val="0000FF"/>
                <w:kern w:val="0"/>
                <w:sz w:val="24"/>
              </w:rPr>
            </w:pPr>
          </w:p>
          <w:p w14:paraId="41F0B335">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 w:val="0"/>
                <w:bCs/>
                <w:color w:val="0000FF"/>
                <w:kern w:val="0"/>
                <w:sz w:val="24"/>
              </w:rPr>
            </w:pPr>
          </w:p>
          <w:p w14:paraId="3168BDEB">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Cs/>
                <w:color w:val="0000FF"/>
                <w:kern w:val="0"/>
                <w:sz w:val="24"/>
              </w:rPr>
            </w:pPr>
          </w:p>
          <w:p w14:paraId="492C546B">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601EA9E4">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3B699054">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4F87679D">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1BD2C1B2">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7D57A704">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3B5E926E">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4500C793">
            <w:pPr>
              <w:pStyle w:val="2"/>
              <w:keepNext w:val="0"/>
              <w:keepLines w:val="0"/>
              <w:suppressLineNumbers w:val="0"/>
              <w:spacing w:beforeAutospacing="0" w:afterAutospacing="0"/>
              <w:ind w:left="0"/>
              <w:rPr>
                <w:rFonts w:hint="default" w:ascii="Times New Roman" w:hAnsi="Times New Roman" w:eastAsia="宋体" w:cs="Times New Roman"/>
                <w:bCs/>
                <w:color w:val="0000FF"/>
              </w:rPr>
            </w:pPr>
          </w:p>
          <w:p w14:paraId="732A846A">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21E654FD">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00E1CB4E">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4D65007F">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694AC33B">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7F89C6A3">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6FDBC8FA">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54B3BEFE">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0BA82858">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78BE2B52">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4244E868">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23874607">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4468E732">
            <w:pPr>
              <w:keepNext w:val="0"/>
              <w:keepLines w:val="0"/>
              <w:suppressLineNumbers w:val="0"/>
              <w:autoSpaceDE w:val="0"/>
              <w:autoSpaceDN w:val="0"/>
              <w:adjustRightInd w:val="0"/>
              <w:snapToGrid w:val="0"/>
              <w:spacing w:before="0" w:beforeAutospacing="0" w:after="0" w:afterAutospacing="0" w:line="400" w:lineRule="exact"/>
              <w:ind w:left="0" w:right="0"/>
              <w:jc w:val="both"/>
              <w:rPr>
                <w:rFonts w:hint="default" w:ascii="Times New Roman" w:hAnsi="Times New Roman" w:eastAsia="宋体" w:cs="Times New Roman"/>
                <w:b w:val="0"/>
                <w:bCs/>
                <w:color w:val="0000FF"/>
                <w:kern w:val="0"/>
                <w:sz w:val="24"/>
              </w:rPr>
            </w:pPr>
          </w:p>
          <w:p w14:paraId="0672C04F">
            <w:pPr>
              <w:keepNext w:val="0"/>
              <w:keepLines w:val="0"/>
              <w:suppressLineNumbers w:val="0"/>
              <w:autoSpaceDE w:val="0"/>
              <w:autoSpaceDN w:val="0"/>
              <w:adjustRightInd w:val="0"/>
              <w:snapToGrid w:val="0"/>
              <w:spacing w:before="0" w:beforeAutospacing="0" w:after="0" w:afterAutospacing="0" w:line="400" w:lineRule="exact"/>
              <w:ind w:left="0" w:right="0"/>
              <w:jc w:val="both"/>
              <w:rPr>
                <w:rFonts w:hint="default" w:ascii="Times New Roman" w:hAnsi="Times New Roman" w:eastAsia="宋体" w:cs="Times New Roman"/>
                <w:b w:val="0"/>
                <w:bCs/>
                <w:color w:val="0000FF"/>
                <w:kern w:val="0"/>
                <w:sz w:val="24"/>
              </w:rPr>
            </w:pPr>
          </w:p>
          <w:p w14:paraId="5A2CFE67">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auto"/>
                <w:kern w:val="0"/>
                <w:sz w:val="24"/>
              </w:rPr>
            </w:pPr>
            <w:r>
              <w:rPr>
                <w:rFonts w:hint="default" w:ascii="Times New Roman" w:hAnsi="Times New Roman" w:eastAsia="宋体" w:cs="Times New Roman"/>
                <w:b w:val="0"/>
                <w:bCs/>
                <w:color w:val="auto"/>
                <w:kern w:val="0"/>
                <w:sz w:val="24"/>
              </w:rPr>
              <w:t>其他符合性分析</w:t>
            </w:r>
          </w:p>
          <w:p w14:paraId="05EABB99">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0ECC9216">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07D26630">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0E3F7F70">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 w:val="0"/>
                <w:bCs/>
                <w:color w:val="0000FF"/>
                <w:kern w:val="0"/>
                <w:sz w:val="24"/>
              </w:rPr>
            </w:pPr>
          </w:p>
          <w:p w14:paraId="66B619AD">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 w:val="0"/>
                <w:bCs/>
                <w:color w:val="0000FF"/>
                <w:kern w:val="0"/>
                <w:sz w:val="24"/>
              </w:rPr>
            </w:pPr>
          </w:p>
          <w:p w14:paraId="32A66ABA">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 w:val="0"/>
                <w:bCs/>
                <w:color w:val="0000FF"/>
                <w:kern w:val="0"/>
                <w:sz w:val="24"/>
              </w:rPr>
            </w:pPr>
          </w:p>
          <w:p w14:paraId="63A95968">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 w:val="0"/>
                <w:bCs/>
                <w:color w:val="0000FF"/>
                <w:kern w:val="0"/>
                <w:sz w:val="24"/>
              </w:rPr>
            </w:pPr>
          </w:p>
          <w:p w14:paraId="27D8C904">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Cs/>
                <w:color w:val="0000FF"/>
                <w:kern w:val="0"/>
                <w:sz w:val="24"/>
              </w:rPr>
            </w:pPr>
          </w:p>
          <w:p w14:paraId="55B7AEB6">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32FF5015">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4DC709B7">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164B4795">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1F142018">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587FAD5B">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7C08FABB">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23695658">
            <w:pPr>
              <w:pStyle w:val="2"/>
              <w:keepNext w:val="0"/>
              <w:keepLines w:val="0"/>
              <w:suppressLineNumbers w:val="0"/>
              <w:spacing w:beforeAutospacing="0" w:afterAutospacing="0"/>
              <w:ind w:left="0"/>
              <w:rPr>
                <w:rFonts w:hint="default" w:ascii="Times New Roman" w:hAnsi="Times New Roman" w:eastAsia="宋体" w:cs="Times New Roman"/>
                <w:bCs/>
                <w:color w:val="0000FF"/>
              </w:rPr>
            </w:pPr>
          </w:p>
          <w:p w14:paraId="1E1B0DE6">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1AD0FBD5">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5993B3F7">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07EF5EAB">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5F4885B4">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3D22DA3A">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0BB09D4A">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3EAD76D0">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3ECA11CA">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51152C8A">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5CA85458">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6D230EAC">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4603D70A">
            <w:pPr>
              <w:keepNext w:val="0"/>
              <w:keepLines w:val="0"/>
              <w:suppressLineNumbers w:val="0"/>
              <w:autoSpaceDE w:val="0"/>
              <w:autoSpaceDN w:val="0"/>
              <w:adjustRightInd w:val="0"/>
              <w:snapToGrid w:val="0"/>
              <w:spacing w:before="0" w:beforeAutospacing="0" w:after="0" w:afterAutospacing="0" w:line="400" w:lineRule="exact"/>
              <w:ind w:left="0" w:right="0"/>
              <w:jc w:val="both"/>
              <w:rPr>
                <w:rFonts w:hint="default" w:ascii="Times New Roman" w:hAnsi="Times New Roman" w:eastAsia="宋体" w:cs="Times New Roman"/>
                <w:b w:val="0"/>
                <w:bCs/>
                <w:color w:val="0000FF"/>
                <w:kern w:val="0"/>
                <w:sz w:val="24"/>
              </w:rPr>
            </w:pPr>
          </w:p>
          <w:p w14:paraId="17BE0101">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1D8B7C5C">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3DAA52B5">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auto"/>
                <w:kern w:val="0"/>
                <w:sz w:val="24"/>
              </w:rPr>
            </w:pPr>
            <w:r>
              <w:rPr>
                <w:rFonts w:hint="default" w:ascii="Times New Roman" w:hAnsi="Times New Roman" w:eastAsia="宋体" w:cs="Times New Roman"/>
                <w:b w:val="0"/>
                <w:bCs/>
                <w:color w:val="auto"/>
                <w:kern w:val="0"/>
                <w:sz w:val="24"/>
              </w:rPr>
              <w:t>其他符合性分析</w:t>
            </w:r>
          </w:p>
          <w:p w14:paraId="151D6108">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7664A471">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1DE532B4">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color w:val="0000FF"/>
                <w:kern w:val="0"/>
                <w:sz w:val="24"/>
              </w:rPr>
            </w:pPr>
          </w:p>
          <w:p w14:paraId="21D7105E">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 w:val="0"/>
                <w:bCs/>
                <w:color w:val="0000FF"/>
                <w:kern w:val="0"/>
                <w:sz w:val="24"/>
              </w:rPr>
            </w:pPr>
          </w:p>
          <w:p w14:paraId="2228EECC">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 w:val="0"/>
                <w:bCs/>
                <w:color w:val="0000FF"/>
                <w:kern w:val="0"/>
                <w:sz w:val="24"/>
              </w:rPr>
            </w:pPr>
          </w:p>
          <w:p w14:paraId="3083345E">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 w:val="0"/>
                <w:bCs/>
                <w:color w:val="0000FF"/>
                <w:kern w:val="0"/>
                <w:sz w:val="24"/>
              </w:rPr>
            </w:pPr>
          </w:p>
          <w:p w14:paraId="31059D68">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 w:val="0"/>
                <w:bCs/>
                <w:color w:val="0000FF"/>
                <w:kern w:val="0"/>
                <w:sz w:val="24"/>
              </w:rPr>
            </w:pPr>
          </w:p>
          <w:p w14:paraId="37886325">
            <w:pPr>
              <w:keepNext w:val="0"/>
              <w:keepLines w:val="0"/>
              <w:suppressLineNumbers w:val="0"/>
              <w:autoSpaceDE w:val="0"/>
              <w:autoSpaceDN w:val="0"/>
              <w:adjustRightInd w:val="0"/>
              <w:snapToGrid w:val="0"/>
              <w:spacing w:before="0" w:beforeAutospacing="0" w:after="0" w:afterAutospacing="0" w:line="360" w:lineRule="exact"/>
              <w:ind w:left="0" w:right="0"/>
              <w:jc w:val="center"/>
              <w:rPr>
                <w:rFonts w:hint="default" w:ascii="Times New Roman" w:hAnsi="Times New Roman" w:eastAsia="宋体" w:cs="Times New Roman"/>
                <w:bCs/>
                <w:color w:val="0000FF"/>
                <w:kern w:val="0"/>
                <w:sz w:val="24"/>
              </w:rPr>
            </w:pPr>
          </w:p>
          <w:p w14:paraId="1E5A7550">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5F4956E6">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40B1EA68">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3FA8FE79">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6B9293A6">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43B0F223">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7FDDFBC4">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Cs/>
                <w:color w:val="0000FF"/>
                <w:kern w:val="0"/>
                <w:sz w:val="24"/>
              </w:rPr>
            </w:pPr>
          </w:p>
          <w:p w14:paraId="0B334989">
            <w:pPr>
              <w:pStyle w:val="2"/>
              <w:keepNext w:val="0"/>
              <w:keepLines w:val="0"/>
              <w:suppressLineNumbers w:val="0"/>
              <w:spacing w:beforeAutospacing="0" w:afterAutospacing="0"/>
              <w:ind w:left="0"/>
              <w:rPr>
                <w:rFonts w:hint="default" w:ascii="Times New Roman" w:hAnsi="Times New Roman" w:eastAsia="宋体" w:cs="Times New Roman"/>
                <w:bCs/>
                <w:color w:val="0000FF"/>
              </w:rPr>
            </w:pPr>
          </w:p>
        </w:tc>
        <w:tc>
          <w:tcPr>
            <w:tcW w:w="8339" w:type="dxa"/>
            <w:gridSpan w:val="4"/>
            <w:noWrap w:val="0"/>
            <w:vAlign w:val="center"/>
          </w:tcPr>
          <w:p w14:paraId="68A713CA">
            <w:pPr>
              <w:pStyle w:val="18"/>
              <w:keepNext w:val="0"/>
              <w:keepLines w:val="0"/>
              <w:suppressLineNumbers w:val="0"/>
              <w:spacing w:before="0" w:beforeAutospacing="0" w:after="0" w:afterAutospacing="0" w:line="440" w:lineRule="atLeast"/>
              <w:ind w:left="0" w:right="0"/>
              <w:rPr>
                <w:rFonts w:hint="default" w:ascii="Times New Roman" w:hAnsi="Times New Roman" w:eastAsia="宋体" w:cs="Times New Roman"/>
                <w:b/>
                <w:color w:val="auto"/>
                <w:lang w:val="en-US" w:eastAsia="zh-CN"/>
              </w:rPr>
            </w:pPr>
            <w:r>
              <w:rPr>
                <w:rFonts w:hint="default" w:ascii="Times New Roman" w:hAnsi="Times New Roman" w:eastAsia="宋体" w:cs="Times New Roman"/>
                <w:b/>
                <w:color w:val="auto"/>
                <w:lang w:val="en-US" w:eastAsia="zh-CN"/>
              </w:rPr>
              <w:t>1、</w:t>
            </w:r>
            <w:r>
              <w:rPr>
                <w:rFonts w:hint="default" w:ascii="Times New Roman" w:hAnsi="Times New Roman" w:eastAsia="宋体" w:cs="Times New Roman"/>
                <w:b/>
                <w:bCs/>
                <w:color w:val="auto"/>
                <w:sz w:val="24"/>
              </w:rPr>
              <w:t>产业政策分析</w:t>
            </w:r>
          </w:p>
          <w:p w14:paraId="18CA2E49">
            <w:pPr>
              <w:pStyle w:val="62"/>
              <w:keepNext w:val="0"/>
              <w:keepLines w:val="0"/>
              <w:suppressLineNumbers w:val="0"/>
              <w:bidi w:val="0"/>
              <w:spacing w:before="0" w:beforeAutospacing="0" w:after="0" w:afterAutospacing="0"/>
              <w:ind w:left="0" w:right="0"/>
              <w:rPr>
                <w:rFonts w:hint="eastAsia"/>
                <w:color w:val="auto"/>
                <w:sz w:val="24"/>
                <w:szCs w:val="24"/>
                <w:lang w:eastAsia="zh-CN"/>
              </w:rPr>
            </w:pPr>
            <w:r>
              <w:rPr>
                <w:rFonts w:hint="eastAsia"/>
                <w:color w:val="auto"/>
                <w:lang w:val="en-US" w:eastAsia="zh-CN"/>
              </w:rPr>
              <w:t>本项目主要为汽车金属零配件来料进行热处理，属于</w:t>
            </w:r>
            <w:r>
              <w:rPr>
                <w:rFonts w:hint="default" w:ascii="Times New Roman" w:hAnsi="Times New Roman" w:eastAsia="宋体" w:cs="Times New Roman"/>
                <w:color w:val="auto"/>
                <w:sz w:val="24"/>
                <w:szCs w:val="24"/>
                <w:lang w:val="en-US" w:eastAsia="zh-CN"/>
              </w:rPr>
              <w:t>C</w:t>
            </w:r>
            <w:r>
              <w:rPr>
                <w:rFonts w:hint="eastAsia" w:ascii="Times New Roman" w:hAnsi="Times New Roman" w:cs="Times New Roman"/>
                <w:color w:val="auto"/>
                <w:sz w:val="24"/>
                <w:szCs w:val="24"/>
                <w:lang w:val="en-US" w:eastAsia="zh-CN"/>
              </w:rPr>
              <w:t>3360金属表面处理及热处理加工。</w:t>
            </w:r>
            <w:r>
              <w:rPr>
                <w:rFonts w:hint="eastAsia"/>
                <w:color w:val="auto"/>
                <w:sz w:val="24"/>
                <w:szCs w:val="24"/>
                <w:lang w:val="en-US" w:eastAsia="zh-CN"/>
              </w:rPr>
              <w:t>对照</w:t>
            </w:r>
            <w:r>
              <w:rPr>
                <w:rFonts w:hint="default"/>
                <w:color w:val="auto"/>
                <w:sz w:val="24"/>
                <w:szCs w:val="24"/>
              </w:rPr>
              <w:t>《产业结构调整指导目录（20</w:t>
            </w:r>
            <w:r>
              <w:rPr>
                <w:rFonts w:hint="eastAsia"/>
                <w:color w:val="auto"/>
                <w:sz w:val="24"/>
                <w:szCs w:val="24"/>
                <w:lang w:val="en-US" w:eastAsia="zh-CN"/>
              </w:rPr>
              <w:t>24</w:t>
            </w:r>
            <w:r>
              <w:rPr>
                <w:rFonts w:hint="default"/>
                <w:color w:val="auto"/>
                <w:sz w:val="24"/>
                <w:szCs w:val="24"/>
              </w:rPr>
              <w:t>本）》，项目设备和产品不属于其中的鼓励类、限制类和淘汰类，</w:t>
            </w:r>
            <w:r>
              <w:rPr>
                <w:rFonts w:hint="eastAsia"/>
                <w:color w:val="auto"/>
                <w:sz w:val="24"/>
                <w:szCs w:val="24"/>
                <w:lang w:val="en-US" w:eastAsia="zh-CN"/>
              </w:rPr>
              <w:t>可视为</w:t>
            </w:r>
            <w:r>
              <w:rPr>
                <w:rFonts w:hint="default"/>
                <w:color w:val="auto"/>
                <w:sz w:val="24"/>
                <w:szCs w:val="24"/>
              </w:rPr>
              <w:t>允许类；对照《市场准入负面清单（202</w:t>
            </w:r>
            <w:r>
              <w:rPr>
                <w:rFonts w:hint="eastAsia"/>
                <w:color w:val="auto"/>
                <w:sz w:val="24"/>
                <w:szCs w:val="24"/>
                <w:lang w:val="en-US" w:eastAsia="zh-CN"/>
              </w:rPr>
              <w:t>5</w:t>
            </w:r>
            <w:r>
              <w:rPr>
                <w:rFonts w:hint="default"/>
                <w:color w:val="auto"/>
                <w:sz w:val="24"/>
                <w:szCs w:val="24"/>
              </w:rPr>
              <w:t>年版）》，</w:t>
            </w:r>
            <w:r>
              <w:rPr>
                <w:rFonts w:hint="eastAsia"/>
                <w:color w:val="auto"/>
                <w:sz w:val="24"/>
                <w:szCs w:val="24"/>
              </w:rPr>
              <w:t>本项目不属于其中负面清单管理的企业投资项目，按照“非禁即入”的原则，可视为允许投资类</w:t>
            </w:r>
            <w:r>
              <w:rPr>
                <w:rFonts w:hint="eastAsia"/>
                <w:color w:val="auto"/>
                <w:sz w:val="24"/>
                <w:szCs w:val="24"/>
                <w:lang w:eastAsia="zh-CN"/>
              </w:rPr>
              <w:t>。</w:t>
            </w:r>
          </w:p>
          <w:p w14:paraId="1A3DC5DE">
            <w:pPr>
              <w:pStyle w:val="62"/>
              <w:keepNext w:val="0"/>
              <w:keepLines w:val="0"/>
              <w:suppressLineNumbers w:val="0"/>
              <w:bidi w:val="0"/>
              <w:spacing w:before="0" w:beforeAutospacing="0" w:after="0" w:afterAutospacing="0"/>
              <w:ind w:left="0" w:right="0"/>
              <w:rPr>
                <w:rFonts w:hint="default"/>
                <w:color w:val="auto"/>
              </w:rPr>
            </w:pPr>
            <w:r>
              <w:rPr>
                <w:rFonts w:hint="default" w:ascii="Times New Roman" w:hAnsi="Times New Roman" w:eastAsia="Times New Roman" w:cs="Times New Roman"/>
                <w:bCs/>
                <w:color w:val="auto"/>
                <w:sz w:val="24"/>
                <w:szCs w:val="24"/>
              </w:rPr>
              <w:t>对照《关于印发安徽省</w:t>
            </w:r>
            <w:r>
              <w:rPr>
                <w:rFonts w:hint="eastAsia" w:ascii="宋体" w:hAnsi="宋体" w:eastAsia="宋体" w:cs="宋体"/>
                <w:bCs/>
                <w:color w:val="auto"/>
                <w:sz w:val="24"/>
                <w:szCs w:val="24"/>
              </w:rPr>
              <w:t>“两高”</w:t>
            </w:r>
            <w:r>
              <w:rPr>
                <w:rFonts w:hint="default" w:ascii="Times New Roman" w:hAnsi="Times New Roman" w:eastAsia="Times New Roman" w:cs="Times New Roman"/>
                <w:bCs/>
                <w:color w:val="auto"/>
                <w:sz w:val="24"/>
                <w:szCs w:val="24"/>
              </w:rPr>
              <w:t>项目管理目录（试行）的通知》（皖节能</w:t>
            </w:r>
            <w:r>
              <w:rPr>
                <w:rFonts w:hint="eastAsia" w:ascii="Times New Roman" w:hAnsi="Times New Roman" w:eastAsia="宋体" w:cs="Times New Roman"/>
                <w:bCs/>
                <w:color w:val="auto"/>
                <w:sz w:val="24"/>
                <w:szCs w:val="24"/>
                <w:lang w:eastAsia="zh-CN"/>
              </w:rPr>
              <w:t>〔2022〕2号</w:t>
            </w:r>
            <w:r>
              <w:rPr>
                <w:rFonts w:hint="default" w:ascii="Times New Roman" w:hAnsi="Times New Roman" w:eastAsia="Times New Roman" w:cs="Times New Roman"/>
                <w:bCs/>
                <w:color w:val="auto"/>
                <w:sz w:val="24"/>
                <w:szCs w:val="24"/>
              </w:rPr>
              <w:t>），本项目不属于</w:t>
            </w:r>
            <w:r>
              <w:rPr>
                <w:rFonts w:hint="eastAsia" w:ascii="宋体" w:hAnsi="宋体" w:eastAsia="宋体" w:cs="宋体"/>
                <w:bCs/>
                <w:color w:val="auto"/>
                <w:sz w:val="24"/>
                <w:szCs w:val="24"/>
              </w:rPr>
              <w:t>“两高”</w:t>
            </w:r>
            <w:r>
              <w:rPr>
                <w:rFonts w:hint="default" w:ascii="Times New Roman" w:hAnsi="Times New Roman" w:eastAsia="Times New Roman" w:cs="Times New Roman"/>
                <w:bCs/>
                <w:color w:val="auto"/>
                <w:sz w:val="24"/>
                <w:szCs w:val="24"/>
              </w:rPr>
              <w:t>项目</w:t>
            </w:r>
            <w:r>
              <w:rPr>
                <w:rFonts w:hint="eastAsia" w:ascii="Times New Roman" w:hAnsi="Times New Roman" w:eastAsia="宋体" w:cs="Times New Roman"/>
                <w:bCs/>
                <w:color w:val="auto"/>
                <w:sz w:val="24"/>
                <w:szCs w:val="24"/>
                <w:lang w:eastAsia="zh-CN"/>
              </w:rPr>
              <w:t>；</w:t>
            </w:r>
            <w:r>
              <w:rPr>
                <w:rFonts w:hint="eastAsia" w:ascii="Times New Roman" w:hAnsi="Times New Roman" w:eastAsia="宋体" w:cs="Times New Roman"/>
                <w:bCs/>
                <w:color w:val="auto"/>
                <w:sz w:val="24"/>
                <w:szCs w:val="24"/>
                <w:lang w:val="en-US" w:eastAsia="zh-CN"/>
              </w:rPr>
              <w:t>且</w:t>
            </w:r>
            <w:r>
              <w:rPr>
                <w:rFonts w:hint="default"/>
                <w:color w:val="auto"/>
              </w:rPr>
              <w:t>该项目已经于202</w:t>
            </w:r>
            <w:r>
              <w:rPr>
                <w:rFonts w:hint="eastAsia"/>
                <w:color w:val="auto"/>
                <w:lang w:val="en-US" w:eastAsia="zh-CN"/>
              </w:rPr>
              <w:t>6</w:t>
            </w:r>
            <w:r>
              <w:rPr>
                <w:rFonts w:hint="default"/>
                <w:color w:val="auto"/>
              </w:rPr>
              <w:t>年</w:t>
            </w:r>
            <w:r>
              <w:rPr>
                <w:rFonts w:hint="eastAsia"/>
                <w:color w:val="auto"/>
                <w:lang w:val="en-US" w:eastAsia="zh-CN"/>
              </w:rPr>
              <w:t>2</w:t>
            </w:r>
            <w:r>
              <w:rPr>
                <w:rFonts w:hint="default"/>
                <w:color w:val="auto"/>
              </w:rPr>
              <w:t>月</w:t>
            </w:r>
            <w:r>
              <w:rPr>
                <w:rFonts w:hint="eastAsia"/>
                <w:color w:val="auto"/>
                <w:lang w:val="en-US" w:eastAsia="zh-CN"/>
              </w:rPr>
              <w:t>5</w:t>
            </w:r>
            <w:r>
              <w:rPr>
                <w:rFonts w:hint="default"/>
                <w:color w:val="auto"/>
              </w:rPr>
              <w:t>日获得了</w:t>
            </w:r>
            <w:r>
              <w:rPr>
                <w:rFonts w:hint="eastAsia"/>
                <w:color w:val="auto"/>
                <w:lang w:val="en-US" w:eastAsia="zh-CN"/>
              </w:rPr>
              <w:t>淮南经开区经济发展局</w:t>
            </w:r>
            <w:r>
              <w:rPr>
                <w:rFonts w:hint="default"/>
                <w:color w:val="auto"/>
              </w:rPr>
              <w:t>备案表</w:t>
            </w:r>
            <w:r>
              <w:rPr>
                <w:rFonts w:hint="eastAsia"/>
                <w:color w:val="auto"/>
                <w:lang w:eastAsia="zh-CN"/>
              </w:rPr>
              <w:t>（</w:t>
            </w:r>
            <w:r>
              <w:rPr>
                <w:rFonts w:hint="default"/>
                <w:color w:val="auto"/>
              </w:rPr>
              <w:t>项目代码：</w:t>
            </w:r>
            <w:r>
              <w:rPr>
                <w:rFonts w:hint="eastAsia"/>
                <w:color w:val="auto"/>
                <w:lang w:val="en-US" w:eastAsia="zh-CN"/>
              </w:rPr>
              <w:t>2602-340461-04-01-608021</w:t>
            </w:r>
            <w:r>
              <w:rPr>
                <w:rFonts w:hint="eastAsia"/>
                <w:color w:val="auto"/>
                <w:lang w:eastAsia="zh-CN"/>
              </w:rPr>
              <w:t>）</w:t>
            </w:r>
            <w:r>
              <w:rPr>
                <w:rFonts w:hint="default"/>
                <w:color w:val="auto"/>
              </w:rPr>
              <w:t>。</w:t>
            </w:r>
          </w:p>
          <w:p w14:paraId="3E996021">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b/>
                <w:color w:val="auto"/>
                <w:lang w:val="en-US" w:eastAsia="zh-CN"/>
              </w:rPr>
            </w:pPr>
            <w:r>
              <w:rPr>
                <w:rFonts w:hint="default"/>
                <w:color w:val="auto"/>
              </w:rPr>
              <w:t>综上，</w:t>
            </w:r>
            <w:r>
              <w:rPr>
                <w:rFonts w:hint="eastAsia"/>
                <w:color w:val="auto"/>
                <w:lang w:eastAsia="zh-CN"/>
              </w:rPr>
              <w:t>本</w:t>
            </w:r>
            <w:r>
              <w:rPr>
                <w:rFonts w:hint="default"/>
                <w:color w:val="auto"/>
              </w:rPr>
              <w:t>项目建设符合国家及地方的产业政策。</w:t>
            </w:r>
          </w:p>
          <w:p w14:paraId="16933829">
            <w:pPr>
              <w:pStyle w:val="18"/>
              <w:keepNext w:val="0"/>
              <w:keepLines w:val="0"/>
              <w:suppressLineNumbers w:val="0"/>
              <w:spacing w:before="0" w:beforeAutospacing="0" w:after="0" w:afterAutospacing="0" w:line="440" w:lineRule="atLeast"/>
              <w:ind w:left="0" w:right="0"/>
              <w:rPr>
                <w:rFonts w:hint="default" w:ascii="Times New Roman" w:hAnsi="Times New Roman" w:eastAsia="宋体" w:cs="Times New Roman"/>
                <w:b/>
                <w:color w:val="auto"/>
                <w:szCs w:val="24"/>
              </w:rPr>
            </w:pPr>
            <w:r>
              <w:rPr>
                <w:rFonts w:hint="eastAsia" w:ascii="Times New Roman" w:hAnsi="Times New Roman" w:cs="Times New Roman"/>
                <w:b/>
                <w:color w:val="auto"/>
                <w:szCs w:val="24"/>
                <w:lang w:val="en-US" w:eastAsia="zh-CN"/>
              </w:rPr>
              <w:t>2、</w:t>
            </w:r>
            <w:r>
              <w:rPr>
                <w:rFonts w:hint="default" w:ascii="Times New Roman" w:hAnsi="Times New Roman" w:eastAsia="宋体" w:cs="Times New Roman"/>
                <w:b/>
                <w:color w:val="auto"/>
                <w:szCs w:val="24"/>
                <w:lang w:val="en-US" w:eastAsia="zh-CN"/>
              </w:rPr>
              <w:t>项目</w:t>
            </w:r>
            <w:r>
              <w:rPr>
                <w:rFonts w:hint="default" w:ascii="Times New Roman" w:hAnsi="Times New Roman" w:eastAsia="宋体" w:cs="Times New Roman"/>
                <w:b/>
                <w:color w:val="auto"/>
                <w:szCs w:val="24"/>
              </w:rPr>
              <w:t>选址</w:t>
            </w:r>
            <w:r>
              <w:rPr>
                <w:rFonts w:hint="default" w:ascii="Times New Roman" w:hAnsi="Times New Roman" w:eastAsia="宋体" w:cs="Times New Roman"/>
                <w:b/>
                <w:color w:val="auto"/>
                <w:szCs w:val="24"/>
                <w:lang w:val="en-US" w:eastAsia="zh-CN"/>
              </w:rPr>
              <w:t>合理</w:t>
            </w:r>
            <w:r>
              <w:rPr>
                <w:rFonts w:hint="default" w:ascii="Times New Roman" w:hAnsi="Times New Roman" w:eastAsia="宋体" w:cs="Times New Roman"/>
                <w:b/>
                <w:color w:val="auto"/>
                <w:szCs w:val="24"/>
              </w:rPr>
              <w:t>性分析</w:t>
            </w:r>
          </w:p>
          <w:p w14:paraId="6B9C4F2A">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①</w:t>
            </w:r>
            <w:r>
              <w:rPr>
                <w:rFonts w:hint="eastAsia" w:cs="Times New Roman"/>
                <w:b/>
                <w:bCs/>
                <w:color w:val="auto"/>
                <w:sz w:val="24"/>
                <w:szCs w:val="24"/>
                <w:highlight w:val="none"/>
                <w:lang w:val="en-US" w:eastAsia="zh-CN"/>
              </w:rPr>
              <w:t>选址合理性分析</w:t>
            </w:r>
          </w:p>
          <w:p w14:paraId="5D9EF698">
            <w:pPr>
              <w:pStyle w:val="62"/>
              <w:keepNext w:val="0"/>
              <w:keepLines w:val="0"/>
              <w:suppressLineNumbers w:val="0"/>
              <w:bidi w:val="0"/>
              <w:spacing w:before="0" w:beforeAutospacing="0" w:after="0" w:afterAutospacing="0"/>
              <w:ind w:left="0" w:right="0"/>
              <w:rPr>
                <w:rFonts w:hint="eastAsia" w:ascii="Times New Roman" w:hAnsi="Times New Roman" w:eastAsia="宋体" w:cs="Times New Roman"/>
                <w:color w:val="FF0000"/>
                <w:lang w:val="en-US" w:eastAsia="zh-CN"/>
              </w:rPr>
            </w:pPr>
            <w:r>
              <w:rPr>
                <w:rFonts w:hint="default"/>
                <w:color w:val="auto"/>
              </w:rPr>
              <w:t>项目建设地点位于</w:t>
            </w:r>
            <w:r>
              <w:rPr>
                <w:rFonts w:hint="eastAsia" w:ascii="Times New Roman" w:hAnsi="Times New Roman" w:cs="Times New Roman"/>
                <w:color w:val="auto"/>
                <w:sz w:val="24"/>
                <w:lang w:val="en-US" w:eastAsia="zh-CN"/>
              </w:rPr>
              <w:t>淮南</w:t>
            </w:r>
            <w:r>
              <w:rPr>
                <w:rFonts w:hint="eastAsia" w:ascii="Times New Roman" w:hAnsi="Times New Roman" w:eastAsia="宋体" w:cs="Times New Roman"/>
                <w:color w:val="auto"/>
                <w:sz w:val="24"/>
                <w:lang w:val="en-US" w:eastAsia="zh-CN"/>
              </w:rPr>
              <w:t>市经开区华兴路东侧、庆兴北侧智慧显示产业园</w:t>
            </w:r>
            <w:r>
              <w:rPr>
                <w:rFonts w:hint="eastAsia" w:ascii="Times New Roman" w:hAnsi="Times New Roman" w:cs="Times New Roman"/>
                <w:color w:val="auto"/>
                <w:sz w:val="24"/>
                <w:lang w:val="en-US" w:eastAsia="zh-CN"/>
              </w:rPr>
              <w:t>5#</w:t>
            </w:r>
            <w:r>
              <w:rPr>
                <w:rFonts w:hint="eastAsia" w:ascii="Times New Roman" w:hAnsi="Times New Roman" w:eastAsia="宋体" w:cs="Times New Roman"/>
                <w:color w:val="auto"/>
                <w:sz w:val="24"/>
                <w:lang w:val="en-US" w:eastAsia="zh-CN"/>
              </w:rPr>
              <w:t>厂房</w:t>
            </w:r>
            <w:r>
              <w:rPr>
                <w:rFonts w:hint="eastAsia" w:ascii="Times New Roman" w:hAnsi="Times New Roman" w:cs="Times New Roman"/>
                <w:color w:val="auto"/>
                <w:sz w:val="24"/>
                <w:lang w:val="en-US" w:eastAsia="zh-CN"/>
              </w:rPr>
              <w:t>（西侧部分）</w:t>
            </w:r>
            <w:r>
              <w:rPr>
                <w:rFonts w:hint="default"/>
                <w:color w:val="auto"/>
              </w:rPr>
              <w:t>，用地属工业用地，符合</w:t>
            </w:r>
            <w:r>
              <w:rPr>
                <w:rFonts w:hint="eastAsia" w:ascii="Times New Roman" w:hAnsi="Times New Roman" w:cs="Times New Roman"/>
                <w:color w:val="auto"/>
                <w:sz w:val="24"/>
                <w:lang w:val="en-US" w:eastAsia="zh-CN"/>
              </w:rPr>
              <w:t>淮南</w:t>
            </w:r>
            <w:r>
              <w:rPr>
                <w:rFonts w:hint="eastAsia" w:ascii="Times New Roman" w:hAnsi="Times New Roman" w:eastAsia="宋体" w:cs="Times New Roman"/>
                <w:color w:val="auto"/>
                <w:sz w:val="24"/>
                <w:lang w:val="en-US" w:eastAsia="zh-CN"/>
              </w:rPr>
              <w:t>市经开区</w:t>
            </w:r>
            <w:r>
              <w:rPr>
                <w:rFonts w:hint="default"/>
                <w:color w:val="auto"/>
              </w:rPr>
              <w:t>用地规划</w:t>
            </w:r>
            <w:r>
              <w:rPr>
                <w:rFonts w:hint="eastAsia"/>
                <w:color w:val="auto"/>
                <w:lang w:eastAsia="zh-CN"/>
              </w:rPr>
              <w:t>；</w:t>
            </w:r>
            <w:r>
              <w:rPr>
                <w:rFonts w:hint="default" w:ascii="Times New Roman" w:hAnsi="Times New Roman" w:eastAsia="宋体" w:cs="Times New Roman"/>
                <w:color w:val="auto"/>
                <w:lang w:val="en-US" w:eastAsia="zh-CN"/>
              </w:rPr>
              <w:t>所在地理位置条件较好，交通便利，区域水、电、通讯等基础配套设施齐全</w:t>
            </w:r>
            <w:r>
              <w:rPr>
                <w:rFonts w:hint="eastAsia" w:ascii="Times New Roman" w:hAnsi="Times New Roman" w:eastAsia="宋体" w:cs="Times New Roman"/>
                <w:color w:val="auto"/>
                <w:lang w:val="en-US" w:eastAsia="zh-CN"/>
              </w:rPr>
              <w:t>，能切实满足自身需求；</w:t>
            </w:r>
            <w:r>
              <w:rPr>
                <w:rFonts w:hint="default" w:ascii="Times New Roman" w:hAnsi="Times New Roman" w:eastAsia="宋体" w:cs="Times New Roman"/>
                <w:color w:val="auto"/>
                <w:lang w:val="en-US" w:eastAsia="zh-CN"/>
              </w:rPr>
              <w:t>评价区域内无需特殊保护的濒危动植物，厂址区域无国家级、省级和市级重点文物保护单位，无外环境制约因素</w:t>
            </w:r>
            <w:r>
              <w:rPr>
                <w:rFonts w:hint="eastAsia" w:ascii="Times New Roman" w:hAnsi="Times New Roman" w:eastAsia="宋体" w:cs="Times New Roman"/>
                <w:color w:val="auto"/>
                <w:lang w:val="en-US" w:eastAsia="zh-CN"/>
              </w:rPr>
              <w:t>。因此，本项目选址合理。</w:t>
            </w:r>
          </w:p>
          <w:p w14:paraId="45F086C2">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②与周边环境相容性分析</w:t>
            </w:r>
          </w:p>
          <w:p w14:paraId="10E8A248">
            <w:pPr>
              <w:pStyle w:val="62"/>
              <w:keepNext w:val="0"/>
              <w:keepLines w:val="0"/>
              <w:suppressLineNumbers w:val="0"/>
              <w:bidi w:val="0"/>
              <w:spacing w:before="0" w:beforeAutospacing="0" w:after="0" w:afterAutospacing="0"/>
              <w:ind w:left="0" w:right="0"/>
              <w:rPr>
                <w:rFonts w:hint="default"/>
                <w:color w:val="0000FF"/>
                <w:lang w:val="zh-CN" w:eastAsia="zh-CN"/>
              </w:rPr>
            </w:pPr>
            <w:r>
              <w:rPr>
                <w:rFonts w:hint="eastAsia"/>
                <w:color w:val="auto"/>
                <w:lang w:val="en-US" w:eastAsia="zh-CN"/>
              </w:rPr>
              <w:t>根据现场踏勘，项目东、北侧为中</w:t>
            </w:r>
            <w:r>
              <w:rPr>
                <w:rFonts w:hint="eastAsia" w:ascii="Times New Roman" w:hAnsi="Times New Roman" w:eastAsia="宋体" w:cs="Times New Roman"/>
                <w:color w:val="auto"/>
                <w:sz w:val="24"/>
                <w:lang w:val="en-US" w:eastAsia="zh-CN"/>
              </w:rPr>
              <w:t>智慧显示产业园厂房</w:t>
            </w:r>
            <w:r>
              <w:rPr>
                <w:rFonts w:hint="eastAsia"/>
                <w:color w:val="auto"/>
                <w:lang w:val="en-US" w:eastAsia="zh-CN"/>
              </w:rPr>
              <w:t>，南侧47米为庆兴北路，西侧为</w:t>
            </w:r>
            <w:r>
              <w:rPr>
                <w:rFonts w:hint="eastAsia" w:ascii="Times New Roman" w:hAnsi="Times New Roman" w:eastAsia="宋体" w:cs="Times New Roman"/>
                <w:color w:val="auto"/>
                <w:sz w:val="24"/>
                <w:lang w:val="en-US" w:eastAsia="zh-CN"/>
              </w:rPr>
              <w:t>智慧显示产业园办公</w:t>
            </w:r>
            <w:r>
              <w:rPr>
                <w:rFonts w:hint="eastAsia"/>
                <w:color w:val="auto"/>
                <w:lang w:eastAsia="zh-CN"/>
              </w:rPr>
              <w:t>。</w:t>
            </w:r>
            <w:r>
              <w:rPr>
                <w:rFonts w:hint="default"/>
                <w:color w:val="auto"/>
              </w:rPr>
              <w:t>项目地理位置详见附图1</w:t>
            </w:r>
            <w:r>
              <w:rPr>
                <w:rFonts w:hint="default"/>
                <w:color w:val="auto"/>
                <w:lang w:eastAsia="zh-CN"/>
              </w:rPr>
              <w:t>，</w:t>
            </w:r>
            <w:r>
              <w:rPr>
                <w:rFonts w:hint="default"/>
                <w:color w:val="auto"/>
              </w:rPr>
              <w:t>项目</w:t>
            </w:r>
            <w:r>
              <w:rPr>
                <w:rFonts w:hint="default"/>
                <w:color w:val="auto"/>
                <w:lang w:val="en-US" w:eastAsia="zh-CN"/>
              </w:rPr>
              <w:t>西至关系</w:t>
            </w:r>
            <w:r>
              <w:rPr>
                <w:rFonts w:hint="default"/>
                <w:color w:val="auto"/>
              </w:rPr>
              <w:t>见附图</w:t>
            </w:r>
            <w:r>
              <w:rPr>
                <w:rFonts w:hint="default"/>
                <w:color w:val="auto"/>
                <w:lang w:val="en-US" w:eastAsia="zh-CN"/>
              </w:rPr>
              <w:t>2</w:t>
            </w:r>
            <w:r>
              <w:rPr>
                <w:rFonts w:hint="default"/>
                <w:color w:val="auto"/>
              </w:rPr>
              <w:t>，</w:t>
            </w:r>
            <w:r>
              <w:rPr>
                <w:rFonts w:hint="default"/>
                <w:color w:val="auto"/>
                <w:lang w:val="en-US" w:eastAsia="zh-CN"/>
              </w:rPr>
              <w:t>环境保护目标分布</w:t>
            </w:r>
            <w:r>
              <w:rPr>
                <w:rFonts w:hint="default"/>
                <w:color w:val="auto"/>
              </w:rPr>
              <w:t>见附图4</w:t>
            </w:r>
            <w:r>
              <w:rPr>
                <w:rFonts w:hint="default"/>
                <w:color w:val="auto"/>
                <w:lang w:eastAsia="zh-CN"/>
              </w:rPr>
              <w:t>。</w:t>
            </w:r>
            <w:r>
              <w:rPr>
                <w:rFonts w:hint="eastAsia"/>
                <w:color w:val="auto"/>
                <w:kern w:val="0"/>
                <w:sz w:val="24"/>
                <w:szCs w:val="24"/>
              </w:rPr>
              <w:t>项目周边均为工业企业，周边企业</w:t>
            </w:r>
            <w:r>
              <w:rPr>
                <w:rFonts w:hint="eastAsia"/>
                <w:color w:val="auto"/>
                <w:kern w:val="0"/>
                <w:sz w:val="24"/>
                <w:szCs w:val="24"/>
                <w:lang w:val="en-US" w:eastAsia="zh-CN"/>
              </w:rPr>
              <w:t>在</w:t>
            </w:r>
            <w:r>
              <w:rPr>
                <w:rFonts w:hint="eastAsia"/>
                <w:color w:val="auto"/>
                <w:kern w:val="0"/>
                <w:sz w:val="24"/>
                <w:szCs w:val="24"/>
              </w:rPr>
              <w:t>生产过程中产生的污染物通过采取合理有效的污染防治措施后，各污染物均能达标排放，对本项目</w:t>
            </w:r>
            <w:r>
              <w:rPr>
                <w:rFonts w:hint="eastAsia"/>
                <w:color w:val="auto"/>
                <w:kern w:val="0"/>
                <w:sz w:val="24"/>
                <w:szCs w:val="24"/>
                <w:lang w:val="en-US" w:eastAsia="zh-CN"/>
              </w:rPr>
              <w:t>的</w:t>
            </w:r>
            <w:r>
              <w:rPr>
                <w:rFonts w:hint="eastAsia"/>
                <w:color w:val="auto"/>
                <w:kern w:val="0"/>
                <w:sz w:val="24"/>
                <w:szCs w:val="24"/>
              </w:rPr>
              <w:t>建设影响较小</w:t>
            </w:r>
            <w:r>
              <w:rPr>
                <w:rFonts w:hint="eastAsia"/>
                <w:color w:val="auto"/>
                <w:kern w:val="0"/>
                <w:sz w:val="24"/>
                <w:szCs w:val="24"/>
                <w:lang w:eastAsia="zh-CN"/>
              </w:rPr>
              <w:t>，</w:t>
            </w:r>
            <w:r>
              <w:rPr>
                <w:rFonts w:hint="eastAsia"/>
                <w:color w:val="auto"/>
                <w:kern w:val="0"/>
                <w:sz w:val="24"/>
                <w:szCs w:val="24"/>
                <w:lang w:val="en-US" w:eastAsia="zh-CN"/>
              </w:rPr>
              <w:t>基本不会制约本项目建设</w:t>
            </w:r>
            <w:r>
              <w:rPr>
                <w:rFonts w:hint="eastAsia"/>
                <w:color w:val="auto"/>
                <w:kern w:val="0"/>
                <w:sz w:val="24"/>
                <w:szCs w:val="24"/>
              </w:rPr>
              <w:t>。</w:t>
            </w:r>
          </w:p>
          <w:p w14:paraId="2871DB0B">
            <w:pPr>
              <w:pStyle w:val="62"/>
              <w:keepNext w:val="0"/>
              <w:keepLines w:val="0"/>
              <w:suppressLineNumbers w:val="0"/>
              <w:bidi w:val="0"/>
              <w:spacing w:before="0" w:beforeAutospacing="0" w:after="0" w:afterAutospacing="0"/>
              <w:ind w:left="0" w:right="0"/>
              <w:rPr>
                <w:rFonts w:hint="default" w:ascii="Times New Roman" w:hAnsi="Times New Roman" w:cs="Times New Roman"/>
                <w:color w:val="auto"/>
                <w:sz w:val="24"/>
                <w:szCs w:val="24"/>
                <w:shd w:val="clear" w:color="auto" w:fill="auto"/>
                <w:lang w:val="en-US" w:eastAsia="zh-CN"/>
              </w:rPr>
            </w:pPr>
            <w:r>
              <w:rPr>
                <w:rFonts w:hint="default" w:ascii="Times New Roman" w:hAnsi="Times New Roman" w:cs="Times New Roman"/>
                <w:color w:val="auto"/>
                <w:sz w:val="24"/>
                <w:szCs w:val="24"/>
                <w:shd w:val="clear" w:color="auto" w:fill="auto"/>
                <w:lang w:val="en-US" w:eastAsia="zh-CN"/>
              </w:rPr>
              <w:t>根据环境影响分析，项目主要</w:t>
            </w:r>
            <w:r>
              <w:rPr>
                <w:rFonts w:hint="eastAsia" w:ascii="Times New Roman" w:hAnsi="Times New Roman" w:cs="Times New Roman"/>
                <w:color w:val="auto"/>
                <w:sz w:val="24"/>
                <w:szCs w:val="24"/>
                <w:shd w:val="clear" w:color="auto" w:fill="auto"/>
                <w:lang w:val="en-US" w:eastAsia="zh-CN"/>
              </w:rPr>
              <w:t>为</w:t>
            </w:r>
            <w:r>
              <w:rPr>
                <w:rFonts w:hint="eastAsia" w:ascii="Times New Roman" w:hAnsi="Times New Roman" w:cs="Times New Roman"/>
                <w:color w:val="auto"/>
                <w:sz w:val="24"/>
                <w:szCs w:val="24"/>
                <w:lang w:val="en-US" w:eastAsia="zh-CN"/>
              </w:rPr>
              <w:t>箱式渗碳</w:t>
            </w:r>
            <w:r>
              <w:rPr>
                <w:rFonts w:hint="eastAsia" w:cs="Times New Roman"/>
                <w:color w:val="auto"/>
                <w:sz w:val="24"/>
                <w:szCs w:val="24"/>
                <w:shd w:val="clear" w:color="auto" w:fill="auto"/>
                <w:lang w:val="en-US" w:eastAsia="zh-CN"/>
              </w:rPr>
              <w:t>、</w:t>
            </w:r>
            <w:r>
              <w:rPr>
                <w:rFonts w:hint="eastAsia" w:ascii="Times New Roman" w:hAnsi="Times New Roman" w:cs="Times New Roman"/>
                <w:color w:val="auto"/>
                <w:sz w:val="24"/>
                <w:szCs w:val="24"/>
                <w:lang w:val="en-US" w:eastAsia="zh-CN"/>
              </w:rPr>
              <w:t>淬火回火、天然气燃烧</w:t>
            </w:r>
            <w:r>
              <w:rPr>
                <w:rFonts w:hint="default" w:ascii="Times New Roman" w:hAnsi="Times New Roman" w:cs="Times New Roman"/>
                <w:color w:val="auto"/>
                <w:sz w:val="24"/>
                <w:szCs w:val="24"/>
                <w:shd w:val="clear" w:color="auto" w:fill="auto"/>
                <w:lang w:val="en-US" w:eastAsia="zh-CN"/>
              </w:rPr>
              <w:t>废气，在采取本次评价提出的治理措施后，排放满足国家相关标准；项目废水排入</w:t>
            </w:r>
            <w:r>
              <w:rPr>
                <w:rFonts w:hint="default" w:ascii="Times New Roman" w:hAnsi="Times New Roman"/>
                <w:color w:val="auto"/>
                <w:sz w:val="24"/>
                <w:szCs w:val="24"/>
                <w:lang w:eastAsia="zh-CN"/>
              </w:rPr>
              <w:t>淮南经济技术开发区工业污水处理厂</w:t>
            </w:r>
            <w:r>
              <w:rPr>
                <w:rFonts w:hint="default" w:ascii="Times New Roman" w:hAnsi="Times New Roman" w:cs="Times New Roman"/>
                <w:color w:val="auto"/>
                <w:sz w:val="24"/>
                <w:szCs w:val="24"/>
                <w:shd w:val="clear" w:color="auto" w:fill="auto"/>
                <w:lang w:val="en-US" w:eastAsia="zh-CN"/>
              </w:rPr>
              <w:t>处理，可以做到达标排放；在采取减震、隔声等措施后，厂界噪声满足国家相关标准；固废得到有效处置和综合利用。</w:t>
            </w:r>
            <w:r>
              <w:rPr>
                <w:rFonts w:hint="eastAsia"/>
                <w:color w:val="auto"/>
                <w:kern w:val="0"/>
                <w:sz w:val="24"/>
                <w:szCs w:val="24"/>
              </w:rPr>
              <w:t>故项目建设对周边环境影响较小</w:t>
            </w:r>
            <w:r>
              <w:rPr>
                <w:rFonts w:hint="eastAsia"/>
                <w:color w:val="auto"/>
                <w:kern w:val="0"/>
                <w:sz w:val="24"/>
                <w:szCs w:val="24"/>
                <w:lang w:eastAsia="zh-CN"/>
              </w:rPr>
              <w:t>，</w:t>
            </w:r>
            <w:r>
              <w:rPr>
                <w:rFonts w:hint="eastAsia"/>
                <w:color w:val="auto"/>
                <w:kern w:val="0"/>
                <w:sz w:val="24"/>
                <w:szCs w:val="24"/>
                <w:lang w:val="en-US" w:eastAsia="zh-CN"/>
              </w:rPr>
              <w:t>对周边环境不存在制约影响</w:t>
            </w:r>
            <w:r>
              <w:rPr>
                <w:rFonts w:hint="eastAsia"/>
                <w:color w:val="auto"/>
                <w:kern w:val="0"/>
                <w:sz w:val="24"/>
                <w:szCs w:val="24"/>
              </w:rPr>
              <w:t>。</w:t>
            </w:r>
          </w:p>
          <w:p w14:paraId="0EC33D9E">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lang w:val="en-US" w:eastAsia="zh-CN"/>
              </w:rPr>
            </w:pPr>
            <w:r>
              <w:rPr>
                <w:rFonts w:hint="default" w:ascii="Times New Roman" w:hAnsi="Times New Roman" w:cs="Times New Roman"/>
                <w:color w:val="auto"/>
                <w:sz w:val="24"/>
                <w:szCs w:val="24"/>
                <w:shd w:val="clear" w:color="auto" w:fill="auto"/>
                <w:lang w:val="en-US" w:eastAsia="zh-CN"/>
              </w:rPr>
              <w:t>项目所在区域环境质量较好，项目运营期对区域环境总体影响较小，与环境相容性较好。</w:t>
            </w:r>
          </w:p>
          <w:p w14:paraId="2761F8F6">
            <w:pPr>
              <w:pStyle w:val="5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firstLine="0" w:firstLineChars="0"/>
              <w:textAlignment w:val="auto"/>
              <w:rPr>
                <w:rFonts w:hint="eastAsia" w:ascii="Times New Roman" w:hAnsi="Times New Roman"/>
                <w:b/>
                <w:bCs/>
                <w:color w:val="auto"/>
                <w:sz w:val="24"/>
                <w:szCs w:val="24"/>
              </w:rPr>
            </w:pPr>
            <w:r>
              <w:rPr>
                <w:rFonts w:hint="eastAsia" w:ascii="Times New Roman" w:hAnsi="Times New Roman" w:cs="Times New Roman"/>
                <w:b/>
                <w:color w:val="auto"/>
                <w:sz w:val="24"/>
                <w:lang w:val="en-US" w:eastAsia="zh-CN"/>
              </w:rPr>
              <w:t>3</w:t>
            </w:r>
            <w:r>
              <w:rPr>
                <w:rFonts w:hint="default" w:ascii="Times New Roman" w:hAnsi="Times New Roman" w:eastAsia="宋体" w:cs="Times New Roman"/>
                <w:b/>
                <w:color w:val="auto"/>
                <w:sz w:val="24"/>
                <w:lang w:val="en-US" w:eastAsia="zh-CN"/>
              </w:rPr>
              <w:t>、</w:t>
            </w:r>
            <w:r>
              <w:rPr>
                <w:rFonts w:hint="eastAsia" w:ascii="Times New Roman" w:hAnsi="Times New Roman"/>
                <w:b/>
                <w:bCs/>
                <w:color w:val="auto"/>
                <w:sz w:val="24"/>
                <w:szCs w:val="24"/>
              </w:rPr>
              <w:t>与《关于印发&lt;淮南市</w:t>
            </w:r>
            <w:r>
              <w:rPr>
                <w:rFonts w:hint="eastAsia" w:ascii="宋体" w:hAnsi="宋体" w:eastAsia="宋体" w:cs="宋体"/>
                <w:b/>
                <w:bCs/>
                <w:color w:val="auto"/>
                <w:sz w:val="24"/>
                <w:szCs w:val="24"/>
                <w:lang w:val="en-US" w:eastAsia="zh-CN"/>
              </w:rPr>
              <w:t>“十四五”大气污染防治规划&gt;的通知</w:t>
            </w:r>
            <w:r>
              <w:rPr>
                <w:rFonts w:hint="eastAsia" w:ascii="Times New Roman" w:hAnsi="Times New Roman"/>
                <w:b/>
                <w:bCs/>
                <w:color w:val="auto"/>
                <w:sz w:val="24"/>
                <w:szCs w:val="24"/>
              </w:rPr>
              <w:t>》（淮环委办〔2022〕</w:t>
            </w:r>
            <w:r>
              <w:rPr>
                <w:rFonts w:hint="eastAsia" w:ascii="Times New Roman" w:hAnsi="Times New Roman"/>
                <w:b/>
                <w:bCs/>
                <w:color w:val="auto"/>
                <w:sz w:val="24"/>
                <w:szCs w:val="24"/>
                <w:lang w:val="en-US" w:eastAsia="zh-CN"/>
              </w:rPr>
              <w:t>4</w:t>
            </w:r>
            <w:r>
              <w:rPr>
                <w:rFonts w:hint="eastAsia" w:ascii="Times New Roman" w:hAnsi="Times New Roman"/>
                <w:b/>
                <w:bCs/>
                <w:color w:val="auto"/>
                <w:sz w:val="24"/>
                <w:szCs w:val="24"/>
              </w:rPr>
              <w:t>9号）符合性分析</w:t>
            </w:r>
          </w:p>
          <w:p w14:paraId="7131D915">
            <w:pPr>
              <w:pStyle w:val="63"/>
              <w:keepNext w:val="0"/>
              <w:keepLines w:val="0"/>
              <w:suppressLineNumbers w:val="0"/>
              <w:bidi w:val="0"/>
              <w:spacing w:before="0" w:beforeAutospacing="0" w:after="0" w:afterAutospacing="0"/>
              <w:ind w:left="0" w:right="0"/>
              <w:rPr>
                <w:rFonts w:hint="eastAsia"/>
                <w:b/>
                <w:bCs/>
                <w:color w:val="auto"/>
                <w:szCs w:val="21"/>
              </w:rPr>
            </w:pPr>
            <w:r>
              <w:rPr>
                <w:rFonts w:hint="eastAsia"/>
                <w:color w:val="auto"/>
              </w:rPr>
              <w:t>表1-</w:t>
            </w:r>
            <w:r>
              <w:rPr>
                <w:rFonts w:hint="eastAsia"/>
                <w:color w:val="auto"/>
                <w:lang w:val="en-US" w:eastAsia="zh-CN"/>
              </w:rPr>
              <w:t>4</w:t>
            </w:r>
            <w:r>
              <w:rPr>
                <w:rFonts w:hint="eastAsia"/>
                <w:color w:val="auto"/>
              </w:rPr>
              <w:t xml:space="preserve"> 与淮环委办〔2022〕</w:t>
            </w:r>
            <w:r>
              <w:rPr>
                <w:rFonts w:hint="eastAsia"/>
                <w:color w:val="auto"/>
                <w:lang w:val="en-US" w:eastAsia="zh-CN"/>
              </w:rPr>
              <w:t>4</w:t>
            </w:r>
            <w:r>
              <w:rPr>
                <w:rFonts w:hint="eastAsia"/>
                <w:color w:val="auto"/>
              </w:rPr>
              <w:t>9号符合性分析</w:t>
            </w:r>
          </w:p>
          <w:tbl>
            <w:tblPr>
              <w:tblStyle w:val="53"/>
              <w:tblW w:w="4996" w:type="pct"/>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4510"/>
              <w:gridCol w:w="2142"/>
              <w:gridCol w:w="834"/>
            </w:tblGrid>
            <w:tr w14:paraId="12F8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83" w:type="pct"/>
                  <w:tcBorders>
                    <w:tl2br w:val="nil"/>
                    <w:tr2bl w:val="nil"/>
                  </w:tcBorders>
                  <w:noWrap w:val="0"/>
                  <w:vAlign w:val="center"/>
                </w:tcPr>
                <w:p w14:paraId="54BB05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序号</w:t>
                  </w:r>
                </w:p>
              </w:tc>
              <w:tc>
                <w:tcPr>
                  <w:tcW w:w="2781" w:type="pct"/>
                  <w:tcBorders>
                    <w:tl2br w:val="nil"/>
                    <w:tr2bl w:val="nil"/>
                  </w:tcBorders>
                  <w:noWrap w:val="0"/>
                  <w:vAlign w:val="center"/>
                </w:tcPr>
                <w:p w14:paraId="67BB71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文件相关内容</w:t>
                  </w:r>
                </w:p>
              </w:tc>
              <w:tc>
                <w:tcPr>
                  <w:tcW w:w="1321" w:type="pct"/>
                  <w:tcBorders>
                    <w:tl2br w:val="nil"/>
                    <w:tr2bl w:val="nil"/>
                  </w:tcBorders>
                  <w:noWrap w:val="0"/>
                  <w:vAlign w:val="center"/>
                </w:tcPr>
                <w:p w14:paraId="34953E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本项目建设情况</w:t>
                  </w:r>
                </w:p>
              </w:tc>
              <w:tc>
                <w:tcPr>
                  <w:tcW w:w="514" w:type="pct"/>
                  <w:tcBorders>
                    <w:tl2br w:val="nil"/>
                    <w:tr2bl w:val="nil"/>
                  </w:tcBorders>
                  <w:noWrap w:val="0"/>
                  <w:vAlign w:val="center"/>
                </w:tcPr>
                <w:p w14:paraId="33DFCD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相符性</w:t>
                  </w:r>
                </w:p>
              </w:tc>
            </w:tr>
            <w:tr w14:paraId="3AA3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83" w:type="pct"/>
                  <w:tcBorders>
                    <w:tl2br w:val="nil"/>
                    <w:tr2bl w:val="nil"/>
                  </w:tcBorders>
                  <w:noWrap w:val="0"/>
                  <w:vAlign w:val="center"/>
                </w:tcPr>
                <w:p w14:paraId="1A30F1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1</w:t>
                  </w:r>
                </w:p>
              </w:tc>
              <w:tc>
                <w:tcPr>
                  <w:tcW w:w="2781" w:type="pct"/>
                  <w:tcBorders>
                    <w:tl2br w:val="nil"/>
                    <w:tr2bl w:val="nil"/>
                  </w:tcBorders>
                  <w:noWrap w:val="0"/>
                  <w:vAlign w:val="center"/>
                </w:tcPr>
                <w:p w14:paraId="45EAF4E6">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b w:val="0"/>
                      <w:bCs w:val="0"/>
                      <w:i w:val="0"/>
                      <w:iCs w:val="0"/>
                      <w:color w:val="auto"/>
                      <w:kern w:val="0"/>
                      <w:sz w:val="21"/>
                      <w:szCs w:val="21"/>
                      <w:u w:val="none"/>
                      <w:lang w:val="en-US" w:eastAsia="zh-CN" w:bidi="ar"/>
                    </w:rPr>
                  </w:pPr>
                  <w:r>
                    <w:rPr>
                      <w:rFonts w:hint="default" w:ascii="宋体" w:hAnsi="宋体" w:eastAsia="宋体" w:cs="宋体"/>
                      <w:b w:val="0"/>
                      <w:bCs w:val="0"/>
                      <w:i w:val="0"/>
                      <w:iCs w:val="0"/>
                      <w:color w:val="auto"/>
                      <w:kern w:val="0"/>
                      <w:sz w:val="21"/>
                      <w:szCs w:val="21"/>
                      <w:u w:val="none"/>
                      <w:lang w:val="en-US" w:eastAsia="zh-CN" w:bidi="ar"/>
                    </w:rPr>
                    <w:t>6</w:t>
                  </w:r>
                  <w:r>
                    <w:rPr>
                      <w:rFonts w:hint="eastAsia" w:ascii="宋体" w:hAnsi="宋体" w:eastAsia="宋体" w:cs="宋体"/>
                      <w:b w:val="0"/>
                      <w:bCs w:val="0"/>
                      <w:i w:val="0"/>
                      <w:iCs w:val="0"/>
                      <w:color w:val="auto"/>
                      <w:kern w:val="0"/>
                      <w:sz w:val="21"/>
                      <w:szCs w:val="21"/>
                      <w:u w:val="none"/>
                      <w:lang w:val="en-US" w:eastAsia="zh-CN" w:bidi="ar"/>
                    </w:rPr>
                    <w:t>、深化工业炉窑和工业锅炉污染治理</w:t>
                  </w:r>
                </w:p>
                <w:p w14:paraId="399AE48B">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b w:val="0"/>
                      <w:bCs w:val="0"/>
                      <w:i w:val="0"/>
                      <w:iCs w:val="0"/>
                      <w:color w:val="auto"/>
                      <w:kern w:val="0"/>
                      <w:sz w:val="21"/>
                      <w:szCs w:val="21"/>
                      <w:u w:val="none"/>
                      <w:lang w:val="en-US" w:eastAsia="zh-CN" w:bidi="ar"/>
                    </w:rPr>
                  </w:pPr>
                  <w:r>
                    <w:rPr>
                      <w:rFonts w:hint="default" w:ascii="宋体" w:hAnsi="宋体" w:eastAsia="宋体" w:cs="宋体"/>
                      <w:b w:val="0"/>
                      <w:bCs w:val="0"/>
                      <w:i w:val="0"/>
                      <w:iCs w:val="0"/>
                      <w:color w:val="auto"/>
                      <w:kern w:val="0"/>
                      <w:sz w:val="21"/>
                      <w:szCs w:val="21"/>
                      <w:u w:val="none"/>
                      <w:lang w:val="en-US" w:eastAsia="zh-CN" w:bidi="ar"/>
                    </w:rPr>
                    <w:t>开展工业炉窑整治专项行动。按照“提标改造一批、淘汰取缔一批、清洁能源替代一批、搬迁入园一批”的原则，推进工业炉窑结构升级和污染减排。对以煤、渣油、重油等为燃料的加热炉、热处理炉、干燥炉（窑）等，加快使用清洁能源以及利用工厂余热、热电厂供热等进行替代，到2025年基本完成以煤为燃料的工业炉窑清洁燃料替代改造。深入推进工业炉窑污染深度治理，严格执行大气污染物特别排放限值，清理整治无法稳定达标排放的工业炉窑锅炉。全面提升锅炉烟气排放标准。全市燃气锅炉氮氧化物浓度不高于50毫克/立方米；柴油锅炉污染物排放达到或优于燃气锅炉特别排放限值要求。</w:t>
                  </w:r>
                </w:p>
              </w:tc>
              <w:tc>
                <w:tcPr>
                  <w:tcW w:w="1321" w:type="pct"/>
                  <w:tcBorders>
                    <w:tl2br w:val="nil"/>
                    <w:tr2bl w:val="nil"/>
                  </w:tcBorders>
                  <w:noWrap w:val="0"/>
                  <w:vAlign w:val="center"/>
                </w:tcPr>
                <w:p w14:paraId="5BF45FB1">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本项目</w:t>
                  </w:r>
                  <w:r>
                    <w:rPr>
                      <w:rFonts w:hint="eastAsia" w:ascii="宋体" w:hAnsi="宋体" w:cs="宋体"/>
                      <w:b w:val="0"/>
                      <w:bCs w:val="0"/>
                      <w:i w:val="0"/>
                      <w:iCs w:val="0"/>
                      <w:color w:val="auto"/>
                      <w:kern w:val="0"/>
                      <w:sz w:val="21"/>
                      <w:szCs w:val="21"/>
                      <w:u w:val="none"/>
                      <w:lang w:val="en-US" w:eastAsia="zh-CN" w:bidi="ar"/>
                    </w:rPr>
                    <w:t>各类热处理</w:t>
                  </w:r>
                  <w:r>
                    <w:rPr>
                      <w:rFonts w:hint="eastAsia" w:ascii="宋体" w:hAnsi="宋体" w:eastAsia="宋体" w:cs="宋体"/>
                      <w:b w:val="0"/>
                      <w:bCs w:val="0"/>
                      <w:i w:val="0"/>
                      <w:iCs w:val="0"/>
                      <w:color w:val="auto"/>
                      <w:kern w:val="0"/>
                      <w:sz w:val="21"/>
                      <w:szCs w:val="21"/>
                      <w:u w:val="none"/>
                      <w:lang w:val="en-US" w:eastAsia="zh-CN" w:bidi="ar"/>
                    </w:rPr>
                    <w:t>炉子使用能源为电能/天然气，不使用煤、燃油。燃气燃烧产生的氮氧化物排放浓度按限值（</w:t>
                  </w:r>
                  <w:r>
                    <w:rPr>
                      <w:rFonts w:hint="default" w:ascii="宋体" w:hAnsi="宋体" w:eastAsia="宋体" w:cs="宋体"/>
                      <w:b w:val="0"/>
                      <w:bCs w:val="0"/>
                      <w:i w:val="0"/>
                      <w:iCs w:val="0"/>
                      <w:color w:val="auto"/>
                      <w:kern w:val="0"/>
                      <w:sz w:val="21"/>
                      <w:szCs w:val="21"/>
                      <w:u w:val="none"/>
                      <w:lang w:val="en-US" w:eastAsia="zh-CN" w:bidi="ar"/>
                    </w:rPr>
                    <w:t>50毫克/立方米</w:t>
                  </w:r>
                  <w:r>
                    <w:rPr>
                      <w:rFonts w:hint="eastAsia" w:ascii="宋体" w:hAnsi="宋体" w:eastAsia="宋体" w:cs="宋体"/>
                      <w:b w:val="0"/>
                      <w:bCs w:val="0"/>
                      <w:i w:val="0"/>
                      <w:iCs w:val="0"/>
                      <w:color w:val="auto"/>
                      <w:kern w:val="0"/>
                      <w:sz w:val="21"/>
                      <w:szCs w:val="21"/>
                      <w:u w:val="none"/>
                      <w:lang w:val="en-US" w:eastAsia="zh-CN" w:bidi="ar"/>
                    </w:rPr>
                    <w:t>）执行。</w:t>
                  </w:r>
                </w:p>
              </w:tc>
              <w:tc>
                <w:tcPr>
                  <w:tcW w:w="514" w:type="pct"/>
                  <w:tcBorders>
                    <w:tl2br w:val="nil"/>
                    <w:tr2bl w:val="nil"/>
                  </w:tcBorders>
                  <w:noWrap w:val="0"/>
                  <w:vAlign w:val="center"/>
                </w:tcPr>
                <w:p w14:paraId="046C8085">
                  <w:pPr>
                    <w:pStyle w:val="6"/>
                    <w:suppressLineNumbers w:val="0"/>
                    <w:tabs>
                      <w:tab w:val="left" w:pos="864"/>
                    </w:tabs>
                    <w:spacing w:beforeAutospacing="0" w:afterAutospacing="0" w:line="240" w:lineRule="auto"/>
                    <w:ind w:left="0" w:right="0"/>
                    <w:jc w:val="center"/>
                    <w:outlineLvl w:val="3"/>
                    <w:rPr>
                      <w:rFonts w:hint="eastAsia" w:ascii="宋体" w:hAnsi="宋体" w:eastAsia="宋体" w:cs="宋体"/>
                      <w:b w:val="0"/>
                      <w:bCs/>
                      <w:color w:val="auto"/>
                      <w:sz w:val="21"/>
                      <w:szCs w:val="21"/>
                    </w:rPr>
                  </w:pPr>
                  <w:r>
                    <w:rPr>
                      <w:rFonts w:hint="eastAsia" w:ascii="宋体" w:hAnsi="宋体" w:eastAsia="宋体" w:cs="宋体"/>
                      <w:b w:val="0"/>
                      <w:bCs w:val="0"/>
                      <w:i w:val="0"/>
                      <w:iCs w:val="0"/>
                      <w:color w:val="auto"/>
                      <w:kern w:val="0"/>
                      <w:sz w:val="21"/>
                      <w:szCs w:val="21"/>
                      <w:u w:val="none"/>
                      <w:lang w:val="en-US" w:eastAsia="zh-CN" w:bidi="ar"/>
                    </w:rPr>
                    <w:t>符合</w:t>
                  </w:r>
                </w:p>
              </w:tc>
            </w:tr>
            <w:tr w14:paraId="4797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trPr>
              <w:tc>
                <w:tcPr>
                  <w:tcW w:w="383" w:type="pct"/>
                  <w:tcBorders>
                    <w:tl2br w:val="nil"/>
                    <w:tr2bl w:val="nil"/>
                  </w:tcBorders>
                  <w:noWrap w:val="0"/>
                  <w:vAlign w:val="center"/>
                </w:tcPr>
                <w:p w14:paraId="26BAAF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2</w:t>
                  </w:r>
                </w:p>
              </w:tc>
              <w:tc>
                <w:tcPr>
                  <w:tcW w:w="2781" w:type="pct"/>
                  <w:tcBorders>
                    <w:tl2br w:val="nil"/>
                    <w:tr2bl w:val="nil"/>
                  </w:tcBorders>
                  <w:noWrap w:val="0"/>
                  <w:vAlign w:val="center"/>
                </w:tcPr>
                <w:p w14:paraId="264E288B">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7、全面推行VOCs全过程综合整治</w:t>
                  </w:r>
                </w:p>
                <w:p w14:paraId="63BE2BDC">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大力推进源头替代。严格落实国家和地方产品</w:t>
                  </w:r>
                  <w:r>
                    <w:rPr>
                      <w:rFonts w:hint="default" w:ascii="宋体" w:hAnsi="宋体" w:eastAsia="宋体" w:cs="宋体"/>
                      <w:b w:val="0"/>
                      <w:bCs w:val="0"/>
                      <w:i w:val="0"/>
                      <w:iCs w:val="0"/>
                      <w:color w:val="auto"/>
                      <w:kern w:val="0"/>
                      <w:sz w:val="21"/>
                      <w:szCs w:val="21"/>
                      <w:u w:val="none"/>
                      <w:lang w:val="en-US" w:eastAsia="zh-CN" w:bidi="ar"/>
                    </w:rPr>
                    <w:t>VOCs含量限值标准，推进家具制造、汽车制造、印刷和记录媒介、橡胶和塑料制品等行业低VOCs含量原辅材料替代。建设适宜高效的治污设施。全面提升治理设施“三率”，2022年底前，各地完成现有VOCs废气收集率、治理设施同步运行率和去除率的排查，对达不到要求的VOCs收集、治理设施进行更换或升级改造，确保稳定达标排放；对治理难度大、单一治理工艺难以稳定达标的，要采用多种技术的组合工艺，鼓励采用“除尘、活性炭、燃烧或除尘、沸石转轮浓缩、燃烧”等技术或组合技术，提高VOCs污染物去除效率。完成有机废气排放系统旁路摸底排查，取消非必要的旁路。加强运行维护管理，确保治污设施达标运行。到2025年，化工、工业涂装、包装印刷行业综合去除效率均达到80%以上。</w:t>
                  </w:r>
                </w:p>
              </w:tc>
              <w:tc>
                <w:tcPr>
                  <w:tcW w:w="1321" w:type="pct"/>
                  <w:tcBorders>
                    <w:tl2br w:val="nil"/>
                    <w:tr2bl w:val="nil"/>
                  </w:tcBorders>
                  <w:noWrap w:val="0"/>
                  <w:vAlign w:val="center"/>
                </w:tcPr>
                <w:p w14:paraId="54012573">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本项目淬火油物质稳定，符合低VOCs含量原料要求。</w:t>
                  </w:r>
                </w:p>
                <w:p w14:paraId="36DCB3D2">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本项目</w:t>
                  </w:r>
                  <w:r>
                    <w:rPr>
                      <w:rFonts w:hint="default" w:ascii="Times New Roman" w:hAnsi="Times New Roman" w:cs="Times New Roman"/>
                      <w:color w:val="auto"/>
                      <w:lang w:val="en-US" w:eastAsia="zh-CN"/>
                    </w:rPr>
                    <w:t>箱式渗碳、淬火回火废气经废气间接冷却装置+静电吸附油雾净化装置+</w:t>
                  </w:r>
                  <w:r>
                    <w:rPr>
                      <w:rFonts w:hint="eastAsia" w:ascii="Times New Roman" w:hAnsi="Times New Roman" w:cs="Times New Roman"/>
                      <w:color w:val="auto"/>
                      <w:lang w:val="en-US" w:eastAsia="zh-CN"/>
                    </w:rPr>
                    <w:t>三级干式过滤器+</w:t>
                  </w:r>
                  <w:r>
                    <w:rPr>
                      <w:rFonts w:hint="default" w:ascii="Times New Roman" w:hAnsi="Times New Roman" w:cs="Times New Roman"/>
                      <w:color w:val="auto"/>
                      <w:lang w:val="en-US" w:eastAsia="zh-CN"/>
                    </w:rPr>
                    <w:t>二级活性炭吸附装置</w:t>
                  </w:r>
                  <w:r>
                    <w:rPr>
                      <w:rFonts w:hint="default" w:ascii="Times New Roman" w:hAnsi="Times New Roman" w:cs="Times New Roman"/>
                      <w:color w:val="auto"/>
                    </w:rPr>
                    <w:t>处理</w:t>
                  </w:r>
                  <w:r>
                    <w:rPr>
                      <w:rFonts w:hint="default" w:ascii="Times New Roman" w:hAnsi="Times New Roman" w:cs="Times New Roman"/>
                      <w:color w:val="auto"/>
                      <w:lang w:val="en-US" w:eastAsia="zh-CN"/>
                    </w:rPr>
                    <w:t>后由</w:t>
                  </w:r>
                  <w:r>
                    <w:rPr>
                      <w:rFonts w:hint="default" w:ascii="Times New Roman" w:hAnsi="Times New Roman" w:cs="Times New Roman"/>
                      <w:color w:val="auto"/>
                    </w:rPr>
                    <w:t>1根15m高排气筒排放（编号DA00</w:t>
                  </w:r>
                  <w:r>
                    <w:rPr>
                      <w:rFonts w:hint="default" w:ascii="Times New Roman" w:hAnsi="Times New Roman" w:cs="Times New Roman"/>
                      <w:color w:val="auto"/>
                      <w:lang w:val="en-US" w:eastAsia="zh-CN"/>
                    </w:rPr>
                    <w:t>1</w:t>
                  </w:r>
                  <w:r>
                    <w:rPr>
                      <w:rFonts w:hint="default" w:ascii="Times New Roman" w:hAnsi="Times New Roman" w:cs="Times New Roman"/>
                      <w:color w:val="auto"/>
                    </w:rPr>
                    <w:t>）</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对</w:t>
                  </w:r>
                  <w:r>
                    <w:rPr>
                      <w:rFonts w:hint="default" w:ascii="Times New Roman" w:hAnsi="Times New Roman" w:eastAsia="宋体" w:cs="Times New Roman"/>
                      <w:b w:val="0"/>
                      <w:bCs w:val="0"/>
                      <w:i w:val="0"/>
                      <w:iCs w:val="0"/>
                      <w:color w:val="auto"/>
                      <w:kern w:val="0"/>
                      <w:sz w:val="21"/>
                      <w:szCs w:val="21"/>
                      <w:u w:val="none"/>
                      <w:lang w:val="en-US" w:eastAsia="zh-CN" w:bidi="ar"/>
                    </w:rPr>
                    <w:t>VOCs处理效率达90%</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天然气采用FGR低氮燃烧器燃烧，燃烧有组织废气经1根15m高排气筒排放（DA002）</w:t>
                  </w:r>
                </w:p>
              </w:tc>
              <w:tc>
                <w:tcPr>
                  <w:tcW w:w="514" w:type="pct"/>
                  <w:tcBorders>
                    <w:tl2br w:val="nil"/>
                    <w:tr2bl w:val="nil"/>
                  </w:tcBorders>
                  <w:noWrap w:val="0"/>
                  <w:vAlign w:val="center"/>
                </w:tcPr>
                <w:p w14:paraId="68ABDAC2">
                  <w:pPr>
                    <w:pStyle w:val="6"/>
                    <w:suppressLineNumbers w:val="0"/>
                    <w:tabs>
                      <w:tab w:val="left" w:pos="864"/>
                    </w:tabs>
                    <w:spacing w:beforeAutospacing="0" w:afterAutospacing="0" w:line="240" w:lineRule="auto"/>
                    <w:ind w:left="0" w:right="0"/>
                    <w:jc w:val="center"/>
                    <w:outlineLvl w:val="3"/>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符合</w:t>
                  </w:r>
                </w:p>
              </w:tc>
            </w:tr>
          </w:tbl>
          <w:p w14:paraId="20D6D09C">
            <w:pPr>
              <w:pStyle w:val="5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firstLine="0" w:firstLineChars="0"/>
              <w:textAlignment w:val="auto"/>
              <w:rPr>
                <w:rFonts w:hint="eastAsia" w:ascii="Times New Roman" w:hAnsi="Times New Roman"/>
                <w:b/>
                <w:bCs/>
                <w:color w:val="auto"/>
                <w:sz w:val="24"/>
                <w:szCs w:val="24"/>
              </w:rPr>
            </w:pPr>
            <w:r>
              <w:rPr>
                <w:rFonts w:hint="eastAsia" w:ascii="Times New Roman" w:hAnsi="Times New Roman"/>
                <w:b/>
                <w:bCs/>
                <w:color w:val="auto"/>
                <w:sz w:val="24"/>
                <w:szCs w:val="24"/>
                <w:lang w:val="en-US" w:eastAsia="zh-CN"/>
              </w:rPr>
              <w:t>4、</w:t>
            </w:r>
            <w:r>
              <w:rPr>
                <w:rFonts w:hint="eastAsia" w:ascii="Times New Roman" w:hAnsi="Times New Roman"/>
                <w:b/>
                <w:bCs/>
                <w:color w:val="auto"/>
                <w:sz w:val="24"/>
                <w:szCs w:val="24"/>
              </w:rPr>
              <w:t>与《关于印发&lt;淮南市2022年大气污染防治工作要点&gt;的通知》（淮环委办〔2022〕19号）符合性分析</w:t>
            </w:r>
          </w:p>
          <w:p w14:paraId="37C0F68F">
            <w:pPr>
              <w:pStyle w:val="63"/>
              <w:keepNext w:val="0"/>
              <w:keepLines w:val="0"/>
              <w:suppressLineNumbers w:val="0"/>
              <w:bidi w:val="0"/>
              <w:spacing w:before="0" w:beforeAutospacing="0" w:after="0" w:afterAutospacing="0"/>
              <w:ind w:left="0" w:right="0"/>
              <w:rPr>
                <w:rFonts w:hint="eastAsia"/>
                <w:color w:val="auto"/>
              </w:rPr>
            </w:pPr>
            <w:r>
              <w:rPr>
                <w:rFonts w:hint="eastAsia"/>
                <w:color w:val="auto"/>
              </w:rPr>
              <w:t>表1-</w:t>
            </w:r>
            <w:r>
              <w:rPr>
                <w:rFonts w:hint="eastAsia"/>
                <w:color w:val="auto"/>
                <w:lang w:val="en-US" w:eastAsia="zh-CN"/>
              </w:rPr>
              <w:t xml:space="preserve">5 </w:t>
            </w:r>
            <w:r>
              <w:rPr>
                <w:rFonts w:hint="eastAsia"/>
                <w:color w:val="auto"/>
              </w:rPr>
              <w:t xml:space="preserve"> 与淮环委办〔2022〕19号符合性分析</w:t>
            </w:r>
          </w:p>
          <w:tbl>
            <w:tblPr>
              <w:tblStyle w:val="53"/>
              <w:tblW w:w="4996" w:type="pct"/>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4680"/>
              <w:gridCol w:w="1910"/>
              <w:gridCol w:w="846"/>
            </w:tblGrid>
            <w:tr w14:paraId="32BE7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413" w:type="pct"/>
                  <w:tcBorders>
                    <w:tl2br w:val="nil"/>
                    <w:tr2bl w:val="nil"/>
                  </w:tcBorders>
                  <w:noWrap w:val="0"/>
                  <w:vAlign w:val="center"/>
                </w:tcPr>
                <w:p w14:paraId="75CFDA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序号</w:t>
                  </w:r>
                </w:p>
              </w:tc>
              <w:tc>
                <w:tcPr>
                  <w:tcW w:w="2886" w:type="pct"/>
                  <w:tcBorders>
                    <w:tl2br w:val="nil"/>
                    <w:tr2bl w:val="nil"/>
                  </w:tcBorders>
                  <w:noWrap w:val="0"/>
                  <w:vAlign w:val="center"/>
                </w:tcPr>
                <w:p w14:paraId="36B1C2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文件相关内容</w:t>
                  </w:r>
                </w:p>
              </w:tc>
              <w:tc>
                <w:tcPr>
                  <w:tcW w:w="1177" w:type="pct"/>
                  <w:tcBorders>
                    <w:tl2br w:val="nil"/>
                    <w:tr2bl w:val="nil"/>
                  </w:tcBorders>
                  <w:noWrap w:val="0"/>
                  <w:vAlign w:val="center"/>
                </w:tcPr>
                <w:p w14:paraId="5E20CD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本项目建设情况</w:t>
                  </w:r>
                </w:p>
              </w:tc>
              <w:tc>
                <w:tcPr>
                  <w:tcW w:w="521" w:type="pct"/>
                  <w:tcBorders>
                    <w:tl2br w:val="nil"/>
                    <w:tr2bl w:val="nil"/>
                  </w:tcBorders>
                  <w:noWrap w:val="0"/>
                  <w:vAlign w:val="center"/>
                </w:tcPr>
                <w:p w14:paraId="0C2B7C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相符性</w:t>
                  </w:r>
                </w:p>
              </w:tc>
            </w:tr>
            <w:tr w14:paraId="0188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413" w:type="pct"/>
                  <w:tcBorders>
                    <w:tl2br w:val="nil"/>
                    <w:tr2bl w:val="nil"/>
                  </w:tcBorders>
                  <w:noWrap w:val="0"/>
                  <w:vAlign w:val="center"/>
                </w:tcPr>
                <w:p w14:paraId="5426F7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1</w:t>
                  </w:r>
                </w:p>
              </w:tc>
              <w:tc>
                <w:tcPr>
                  <w:tcW w:w="2886" w:type="pct"/>
                  <w:tcBorders>
                    <w:tl2br w:val="nil"/>
                    <w:tr2bl w:val="nil"/>
                  </w:tcBorders>
                  <w:noWrap w:val="0"/>
                  <w:vAlign w:val="center"/>
                </w:tcPr>
                <w:p w14:paraId="0CBDF0DA">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深度实施清洁能源替代。鼓励砖瓦炉窑外投燃料使用天然气、液化石油气等清洁能源。禁燃区内“散煤”动态清零，禁燃区外积极发展生物质、农村沼气等多种清洁能源。加快推动建筑节能、推进电力和天然气的基础设施建设。实施可再生能源替代行动，加快建设新型能源供应系统，因地制宜开发风电与光伏发电，鼓励建设风能、太阳能、生物质能等新能源项目。</w:t>
                  </w:r>
                </w:p>
              </w:tc>
              <w:tc>
                <w:tcPr>
                  <w:tcW w:w="1177" w:type="pct"/>
                  <w:tcBorders>
                    <w:tl2br w:val="nil"/>
                    <w:tr2bl w:val="nil"/>
                  </w:tcBorders>
                  <w:noWrap w:val="0"/>
                  <w:vAlign w:val="center"/>
                </w:tcPr>
                <w:p w14:paraId="6F6D098D">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本项目炉窑燃料为天然气/电能，不使用煤、燃油。</w:t>
                  </w:r>
                </w:p>
              </w:tc>
              <w:tc>
                <w:tcPr>
                  <w:tcW w:w="521" w:type="pct"/>
                  <w:tcBorders>
                    <w:tl2br w:val="nil"/>
                    <w:tr2bl w:val="nil"/>
                  </w:tcBorders>
                  <w:noWrap w:val="0"/>
                  <w:vAlign w:val="center"/>
                </w:tcPr>
                <w:p w14:paraId="1D87CDC1">
                  <w:pPr>
                    <w:pStyle w:val="6"/>
                    <w:suppressLineNumbers w:val="0"/>
                    <w:tabs>
                      <w:tab w:val="left" w:pos="864"/>
                    </w:tabs>
                    <w:spacing w:beforeAutospacing="0" w:afterAutospacing="0" w:line="240" w:lineRule="auto"/>
                    <w:ind w:left="0" w:right="0"/>
                    <w:jc w:val="center"/>
                    <w:outlineLvl w:val="3"/>
                    <w:rPr>
                      <w:rFonts w:hint="eastAsia" w:ascii="宋体" w:hAnsi="宋体" w:eastAsia="宋体" w:cs="宋体"/>
                      <w:b w:val="0"/>
                      <w:bCs/>
                      <w:color w:val="auto"/>
                      <w:sz w:val="21"/>
                      <w:szCs w:val="21"/>
                    </w:rPr>
                  </w:pPr>
                  <w:r>
                    <w:rPr>
                      <w:rFonts w:hint="eastAsia" w:ascii="宋体" w:hAnsi="宋体" w:eastAsia="宋体" w:cs="宋体"/>
                      <w:b w:val="0"/>
                      <w:bCs w:val="0"/>
                      <w:i w:val="0"/>
                      <w:iCs w:val="0"/>
                      <w:color w:val="auto"/>
                      <w:kern w:val="0"/>
                      <w:sz w:val="21"/>
                      <w:szCs w:val="21"/>
                      <w:u w:val="none"/>
                      <w:lang w:val="en-US" w:eastAsia="zh-CN" w:bidi="ar"/>
                    </w:rPr>
                    <w:t>符合</w:t>
                  </w:r>
                </w:p>
              </w:tc>
            </w:tr>
            <w:tr w14:paraId="59CA0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413" w:type="pct"/>
                  <w:tcBorders>
                    <w:tl2br w:val="nil"/>
                    <w:tr2bl w:val="nil"/>
                  </w:tcBorders>
                  <w:noWrap w:val="0"/>
                  <w:vAlign w:val="center"/>
                </w:tcPr>
                <w:p w14:paraId="093A92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2</w:t>
                  </w:r>
                </w:p>
              </w:tc>
              <w:tc>
                <w:tcPr>
                  <w:tcW w:w="2886" w:type="pct"/>
                  <w:tcBorders>
                    <w:tl2br w:val="nil"/>
                    <w:tr2bl w:val="nil"/>
                  </w:tcBorders>
                  <w:noWrap w:val="0"/>
                  <w:vAlign w:val="center"/>
                </w:tcPr>
                <w:p w14:paraId="5FDFB244">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加快产业结构转型升级。开展“两高”项目排查，实施清单管理、分类处置、动态监控，对不符合规定的新申项目坚决停批停建，科学稳妥推进符合要求的拟建项目。依法依规淘汰落后产能和化解过剩产能，严禁新增钢铁、焦化、水泥熟料、平板玻璃、电解铝、氧化铝、煤化工产能。</w:t>
                  </w:r>
                </w:p>
              </w:tc>
              <w:tc>
                <w:tcPr>
                  <w:tcW w:w="1177" w:type="pct"/>
                  <w:tcBorders>
                    <w:tl2br w:val="nil"/>
                    <w:tr2bl w:val="nil"/>
                  </w:tcBorders>
                  <w:noWrap w:val="0"/>
                  <w:vAlign w:val="center"/>
                </w:tcPr>
                <w:p w14:paraId="526C84B3">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本项目不属于“两高”项目。</w:t>
                  </w:r>
                </w:p>
              </w:tc>
              <w:tc>
                <w:tcPr>
                  <w:tcW w:w="521" w:type="pct"/>
                  <w:tcBorders>
                    <w:tl2br w:val="nil"/>
                    <w:tr2bl w:val="nil"/>
                  </w:tcBorders>
                  <w:noWrap w:val="0"/>
                  <w:vAlign w:val="center"/>
                </w:tcPr>
                <w:p w14:paraId="72F034E9">
                  <w:pPr>
                    <w:pStyle w:val="6"/>
                    <w:suppressLineNumbers w:val="0"/>
                    <w:tabs>
                      <w:tab w:val="left" w:pos="864"/>
                    </w:tabs>
                    <w:spacing w:beforeAutospacing="0" w:afterAutospacing="0" w:line="240" w:lineRule="auto"/>
                    <w:ind w:left="0" w:right="0"/>
                    <w:jc w:val="center"/>
                    <w:outlineLvl w:val="3"/>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符合</w:t>
                  </w:r>
                </w:p>
              </w:tc>
            </w:tr>
            <w:tr w14:paraId="0E92A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413" w:type="pct"/>
                  <w:tcBorders>
                    <w:tl2br w:val="nil"/>
                    <w:tr2bl w:val="nil"/>
                  </w:tcBorders>
                  <w:noWrap w:val="0"/>
                  <w:vAlign w:val="center"/>
                </w:tcPr>
                <w:p w14:paraId="6C5027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3</w:t>
                  </w:r>
                </w:p>
              </w:tc>
              <w:tc>
                <w:tcPr>
                  <w:tcW w:w="2886" w:type="pct"/>
                  <w:tcBorders>
                    <w:tl2br w:val="nil"/>
                    <w:tr2bl w:val="nil"/>
                  </w:tcBorders>
                  <w:noWrap w:val="0"/>
                  <w:vAlign w:val="center"/>
                </w:tcPr>
                <w:p w14:paraId="5AC2A62D">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实施挥发性有机物治理专项行动。</w:t>
                  </w:r>
                </w:p>
                <w:p w14:paraId="657C2F63">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加强统筹谋划。完成化工、涂装、医药、包装印刷、家具制造、木材加工、油品储运销等重点行业VOCs废气收集率、去除率和治理设施同步运行率的排查，建立、完善涉VOCs企业管理台账。VOCs年排放量1吨及以上的企业编制实施“一厂一策”，涉VOCs工业园区编制挥发性有机物治理“一园一案”。</w:t>
                  </w:r>
                </w:p>
                <w:p w14:paraId="70A832D1">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实施深度治理。确保VOCs收集效率不低于90%，去除率不低于80%。采用密闭方式收集废气时，密闭空间必须同时满足足够的换气次数和保持微负压状态；采用上吸风形式收集废气时，集气罩开口面最远处控制风速不低于0.3米/秒。</w:t>
                  </w:r>
                </w:p>
              </w:tc>
              <w:tc>
                <w:tcPr>
                  <w:tcW w:w="1177" w:type="pct"/>
                  <w:tcBorders>
                    <w:tl2br w:val="nil"/>
                    <w:tr2bl w:val="nil"/>
                  </w:tcBorders>
                  <w:noWrap w:val="0"/>
                  <w:vAlign w:val="center"/>
                </w:tcPr>
                <w:p w14:paraId="563892AF">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本项目VOCs年排量为0.003t，建成后编制“一厂一策”并纳入日常环境管理；本项目有机废气均采用集气罩进行收集，收集率为90%。</w:t>
                  </w:r>
                  <w:r>
                    <w:rPr>
                      <w:rFonts w:hint="default" w:ascii="Times New Roman" w:hAnsi="Times New Roman" w:cs="Times New Roman"/>
                      <w:color w:val="auto"/>
                      <w:lang w:val="en-US" w:eastAsia="zh-CN"/>
                    </w:rPr>
                    <w:t>箱式渗碳、淬火回火废气经废气间接冷却装置+静电吸附油雾净化装置+</w:t>
                  </w:r>
                  <w:r>
                    <w:rPr>
                      <w:rFonts w:hint="eastAsia" w:ascii="Times New Roman" w:hAnsi="Times New Roman" w:cs="Times New Roman"/>
                      <w:color w:val="auto"/>
                      <w:lang w:val="en-US" w:eastAsia="zh-CN"/>
                    </w:rPr>
                    <w:t>三级干式过滤器+</w:t>
                  </w:r>
                  <w:r>
                    <w:rPr>
                      <w:rFonts w:hint="default" w:ascii="Times New Roman" w:hAnsi="Times New Roman" w:cs="Times New Roman"/>
                      <w:color w:val="auto"/>
                      <w:lang w:val="en-US" w:eastAsia="zh-CN"/>
                    </w:rPr>
                    <w:t>二级活性炭吸附装置</w:t>
                  </w:r>
                  <w:r>
                    <w:rPr>
                      <w:rFonts w:hint="default" w:ascii="Times New Roman" w:hAnsi="Times New Roman" w:cs="Times New Roman"/>
                      <w:color w:val="auto"/>
                    </w:rPr>
                    <w:t>处理</w:t>
                  </w:r>
                  <w:r>
                    <w:rPr>
                      <w:rFonts w:hint="default" w:ascii="Times New Roman" w:hAnsi="Times New Roman" w:cs="Times New Roman"/>
                      <w:color w:val="auto"/>
                      <w:lang w:val="en-US" w:eastAsia="zh-CN"/>
                    </w:rPr>
                    <w:t>后由</w:t>
                  </w:r>
                  <w:r>
                    <w:rPr>
                      <w:rFonts w:hint="default" w:ascii="Times New Roman" w:hAnsi="Times New Roman" w:cs="Times New Roman"/>
                      <w:color w:val="auto"/>
                    </w:rPr>
                    <w:t>1根15m高排气筒排放</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对</w:t>
                  </w:r>
                  <w:r>
                    <w:rPr>
                      <w:rFonts w:hint="default" w:ascii="Times New Roman" w:hAnsi="Times New Roman" w:eastAsia="宋体" w:cs="Times New Roman"/>
                      <w:b w:val="0"/>
                      <w:bCs w:val="0"/>
                      <w:i w:val="0"/>
                      <w:iCs w:val="0"/>
                      <w:color w:val="auto"/>
                      <w:kern w:val="0"/>
                      <w:sz w:val="21"/>
                      <w:szCs w:val="21"/>
                      <w:u w:val="none"/>
                      <w:lang w:val="en-US" w:eastAsia="zh-CN" w:bidi="ar"/>
                    </w:rPr>
                    <w:t>VOCs处理效率达90%</w:t>
                  </w:r>
                </w:p>
              </w:tc>
              <w:tc>
                <w:tcPr>
                  <w:tcW w:w="521" w:type="pct"/>
                  <w:tcBorders>
                    <w:tl2br w:val="nil"/>
                    <w:tr2bl w:val="nil"/>
                  </w:tcBorders>
                  <w:noWrap w:val="0"/>
                  <w:vAlign w:val="center"/>
                </w:tcPr>
                <w:p w14:paraId="32CA4C34">
                  <w:pPr>
                    <w:pStyle w:val="6"/>
                    <w:suppressLineNumbers w:val="0"/>
                    <w:tabs>
                      <w:tab w:val="left" w:pos="864"/>
                    </w:tabs>
                    <w:spacing w:beforeAutospacing="0" w:afterAutospacing="0" w:line="240" w:lineRule="auto"/>
                    <w:ind w:left="0" w:right="0"/>
                    <w:jc w:val="center"/>
                    <w:outlineLvl w:val="3"/>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符合</w:t>
                  </w:r>
                </w:p>
              </w:tc>
            </w:tr>
          </w:tbl>
          <w:p w14:paraId="4E8D00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b/>
                <w:bCs/>
                <w:color w:val="auto"/>
                <w:kern w:val="0"/>
                <w:sz w:val="24"/>
                <w:szCs w:val="24"/>
              </w:rPr>
            </w:pPr>
            <w:r>
              <w:rPr>
                <w:rFonts w:hint="eastAsia" w:ascii="Times New Roman" w:hAnsi="Times New Roman" w:cs="Times New Roman"/>
                <w:b/>
                <w:bCs/>
                <w:color w:val="auto"/>
                <w:kern w:val="0"/>
                <w:sz w:val="24"/>
                <w:szCs w:val="24"/>
                <w:lang w:val="en-US" w:eastAsia="zh-CN"/>
              </w:rPr>
              <w:t>5</w:t>
            </w:r>
            <w:r>
              <w:rPr>
                <w:rFonts w:hint="default" w:ascii="Times New Roman" w:hAnsi="Times New Roman" w:cs="Times New Roman"/>
                <w:b/>
                <w:bCs/>
                <w:color w:val="auto"/>
                <w:kern w:val="0"/>
                <w:sz w:val="24"/>
                <w:szCs w:val="24"/>
                <w:lang w:val="en-US" w:eastAsia="zh-CN"/>
              </w:rPr>
              <w:t>、</w:t>
            </w:r>
            <w:r>
              <w:rPr>
                <w:rFonts w:hint="eastAsia"/>
                <w:b/>
                <w:bCs/>
                <w:color w:val="auto"/>
                <w:kern w:val="0"/>
                <w:sz w:val="24"/>
                <w:szCs w:val="24"/>
              </w:rPr>
              <w:t>与《重点行业挥发性有机物综合治理方案》（环大气</w:t>
            </w:r>
            <w:r>
              <w:rPr>
                <w:rFonts w:hint="default" w:ascii="Times New Roman" w:hAnsi="Times New Roman" w:cs="Times New Roman"/>
                <w:b/>
                <w:bCs/>
                <w:color w:val="auto"/>
                <w:kern w:val="0"/>
                <w:sz w:val="24"/>
                <w:szCs w:val="24"/>
              </w:rPr>
              <w:t>[2019]53</w:t>
            </w:r>
            <w:r>
              <w:rPr>
                <w:rFonts w:hint="eastAsia"/>
                <w:b/>
                <w:bCs/>
                <w:color w:val="auto"/>
                <w:kern w:val="0"/>
                <w:sz w:val="24"/>
                <w:szCs w:val="24"/>
              </w:rPr>
              <w:t>号）符合性分析</w:t>
            </w:r>
          </w:p>
          <w:p w14:paraId="1567E5F4">
            <w:pPr>
              <w:pStyle w:val="63"/>
              <w:keepNext w:val="0"/>
              <w:keepLines w:val="0"/>
              <w:suppressLineNumbers w:val="0"/>
              <w:bidi w:val="0"/>
              <w:spacing w:before="0" w:beforeAutospacing="0" w:after="0" w:afterAutospacing="0"/>
              <w:ind w:left="0" w:right="0"/>
              <w:rPr>
                <w:b/>
                <w:bCs/>
                <w:color w:val="auto"/>
              </w:rPr>
            </w:pPr>
            <w:r>
              <w:rPr>
                <w:rFonts w:hint="eastAsia"/>
                <w:color w:val="auto"/>
              </w:rPr>
              <w:t>表1-</w:t>
            </w:r>
            <w:r>
              <w:rPr>
                <w:rFonts w:hint="eastAsia"/>
                <w:color w:val="auto"/>
                <w:lang w:val="en-US" w:eastAsia="zh-CN"/>
              </w:rPr>
              <w:t xml:space="preserve">6 </w:t>
            </w:r>
            <w:r>
              <w:rPr>
                <w:rFonts w:hint="eastAsia"/>
                <w:color w:val="auto"/>
              </w:rPr>
              <w:t xml:space="preserve"> 与环大气[2019]53号符合性分析</w:t>
            </w:r>
          </w:p>
          <w:tbl>
            <w:tblPr>
              <w:tblStyle w:val="5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9"/>
              <w:gridCol w:w="2080"/>
              <w:gridCol w:w="928"/>
            </w:tblGrid>
            <w:tr w14:paraId="6BEB3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44" w:type="pct"/>
                  <w:tcBorders>
                    <w:tl2br w:val="nil"/>
                    <w:tr2bl w:val="nil"/>
                  </w:tcBorders>
                  <w:noWrap w:val="0"/>
                  <w:vAlign w:val="center"/>
                </w:tcPr>
                <w:p w14:paraId="69C18ACE">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文件及要求</w:t>
                  </w:r>
                </w:p>
              </w:tc>
              <w:tc>
                <w:tcPr>
                  <w:tcW w:w="1282" w:type="pct"/>
                  <w:tcBorders>
                    <w:tl2br w:val="nil"/>
                    <w:tr2bl w:val="nil"/>
                  </w:tcBorders>
                  <w:noWrap w:val="0"/>
                  <w:vAlign w:val="center"/>
                </w:tcPr>
                <w:p w14:paraId="6D1EDADF">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本项目建设情况</w:t>
                  </w:r>
                </w:p>
              </w:tc>
              <w:tc>
                <w:tcPr>
                  <w:tcW w:w="572" w:type="pct"/>
                  <w:tcBorders>
                    <w:tl2br w:val="nil"/>
                    <w:tr2bl w:val="nil"/>
                  </w:tcBorders>
                  <w:noWrap w:val="0"/>
                  <w:vAlign w:val="center"/>
                </w:tcPr>
                <w:p w14:paraId="55DD8D7F">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相符性</w:t>
                  </w:r>
                </w:p>
              </w:tc>
            </w:tr>
            <w:tr w14:paraId="54CA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3144" w:type="pct"/>
                  <w:tcBorders>
                    <w:tl2br w:val="nil"/>
                    <w:tr2bl w:val="nil"/>
                  </w:tcBorders>
                  <w:noWrap w:val="0"/>
                  <w:vAlign w:val="center"/>
                </w:tcPr>
                <w:p w14:paraId="750B1E4B">
                  <w:pPr>
                    <w:keepNext w:val="0"/>
                    <w:keepLines w:val="0"/>
                    <w:suppressLineNumbers w:val="0"/>
                    <w:spacing w:before="0" w:beforeAutospacing="0" w:after="0" w:afterAutospacing="0" w:line="300" w:lineRule="exact"/>
                    <w:ind w:left="0" w:right="0"/>
                    <w:rPr>
                      <w:rFonts w:hint="default" w:ascii="Times New Roman" w:hAnsi="Times New Roman" w:cs="Times New Roman"/>
                      <w:b/>
                      <w:bCs/>
                      <w:color w:val="auto"/>
                      <w:sz w:val="21"/>
                      <w:szCs w:val="21"/>
                    </w:rPr>
                  </w:pPr>
                  <w:r>
                    <w:rPr>
                      <w:rFonts w:hint="default" w:ascii="Times New Roman" w:hAnsi="Times New Roman" w:cs="Times New Roman"/>
                      <w:color w:val="auto"/>
                      <w:kern w:val="0"/>
                      <w:sz w:val="21"/>
                      <w:szCs w:val="21"/>
                      <w:lang w:bidi="ar"/>
                    </w:rPr>
                    <w:t>全面加强无组织排放控制。重点对含</w:t>
                  </w:r>
                  <w:r>
                    <w:rPr>
                      <w:rFonts w:hint="default" w:ascii="Times New Roman" w:hAnsi="Times New Roman" w:eastAsia="TimesNewRomanPSMT" w:cs="Times New Roman"/>
                      <w:color w:val="auto"/>
                      <w:kern w:val="0"/>
                      <w:sz w:val="21"/>
                      <w:szCs w:val="21"/>
                      <w:lang w:bidi="ar"/>
                    </w:rPr>
                    <w:t xml:space="preserve">VOCs </w:t>
                  </w:r>
                  <w:r>
                    <w:rPr>
                      <w:rFonts w:hint="default" w:ascii="Times New Roman" w:hAnsi="Times New Roman" w:cs="Times New Roman"/>
                      <w:color w:val="auto"/>
                      <w:kern w:val="0"/>
                      <w:sz w:val="21"/>
                      <w:szCs w:val="21"/>
                      <w:lang w:bidi="ar"/>
                    </w:rPr>
                    <w:t>物料（包括含</w:t>
                  </w:r>
                  <w:r>
                    <w:rPr>
                      <w:rFonts w:hint="default" w:ascii="Times New Roman" w:hAnsi="Times New Roman" w:eastAsia="TimesNewRomanPSMT" w:cs="Times New Roman"/>
                      <w:color w:val="auto"/>
                      <w:kern w:val="0"/>
                      <w:sz w:val="21"/>
                      <w:szCs w:val="21"/>
                      <w:lang w:bidi="ar"/>
                    </w:rPr>
                    <w:t>VOCs</w:t>
                  </w:r>
                  <w:r>
                    <w:rPr>
                      <w:rFonts w:hint="default" w:ascii="Times New Roman" w:hAnsi="Times New Roman" w:cs="Times New Roman"/>
                      <w:color w:val="auto"/>
                      <w:kern w:val="0"/>
                      <w:sz w:val="21"/>
                      <w:szCs w:val="21"/>
                      <w:lang w:bidi="ar"/>
                    </w:rPr>
                    <w:t>原辅材料、含</w:t>
                  </w:r>
                  <w:r>
                    <w:rPr>
                      <w:rFonts w:hint="default" w:ascii="Times New Roman" w:hAnsi="Times New Roman" w:eastAsia="TimesNewRomanPSMT" w:cs="Times New Roman"/>
                      <w:color w:val="auto"/>
                      <w:kern w:val="0"/>
                      <w:sz w:val="21"/>
                      <w:szCs w:val="21"/>
                      <w:lang w:bidi="ar"/>
                    </w:rPr>
                    <w:t>VOCs</w:t>
                  </w:r>
                  <w:r>
                    <w:rPr>
                      <w:rFonts w:hint="default" w:ascii="Times New Roman" w:hAnsi="Times New Roman" w:cs="Times New Roman"/>
                      <w:color w:val="auto"/>
                      <w:kern w:val="0"/>
                      <w:sz w:val="21"/>
                      <w:szCs w:val="21"/>
                      <w:lang w:bidi="ar"/>
                    </w:rPr>
                    <w:t>产品、含</w:t>
                  </w:r>
                  <w:r>
                    <w:rPr>
                      <w:rFonts w:hint="default" w:ascii="Times New Roman" w:hAnsi="Times New Roman" w:eastAsia="TimesNewRomanPSMT" w:cs="Times New Roman"/>
                      <w:color w:val="auto"/>
                      <w:kern w:val="0"/>
                      <w:sz w:val="21"/>
                      <w:szCs w:val="21"/>
                      <w:lang w:bidi="ar"/>
                    </w:rPr>
                    <w:t>VOCs</w:t>
                  </w:r>
                  <w:r>
                    <w:rPr>
                      <w:rFonts w:hint="default" w:ascii="Times New Roman" w:hAnsi="Times New Roman" w:cs="Times New Roman"/>
                      <w:color w:val="auto"/>
                      <w:kern w:val="0"/>
                      <w:sz w:val="21"/>
                      <w:szCs w:val="21"/>
                      <w:lang w:bidi="ar"/>
                    </w:rPr>
                    <w:t>废料以及有机聚合物材料等）储存、转移和输送、设备与管线组件泄漏、敞开液面逸散以及工艺过程等五类排放源实施管控，通过采取设备与场所密闭、工艺改进、废气有效收集等措施，削减</w:t>
                  </w:r>
                  <w:r>
                    <w:rPr>
                      <w:rFonts w:hint="default" w:ascii="Times New Roman" w:hAnsi="Times New Roman" w:eastAsia="TimesNewRomanPSMT" w:cs="Times New Roman"/>
                      <w:color w:val="auto"/>
                      <w:kern w:val="0"/>
                      <w:sz w:val="21"/>
                      <w:szCs w:val="21"/>
                      <w:lang w:bidi="ar"/>
                    </w:rPr>
                    <w:t>VOCs</w:t>
                  </w:r>
                  <w:r>
                    <w:rPr>
                      <w:rFonts w:hint="default" w:ascii="Times New Roman" w:hAnsi="Times New Roman" w:cs="Times New Roman"/>
                      <w:color w:val="auto"/>
                      <w:kern w:val="0"/>
                      <w:sz w:val="21"/>
                      <w:szCs w:val="21"/>
                      <w:lang w:bidi="ar"/>
                    </w:rPr>
                    <w:t>无组织排放；</w:t>
                  </w:r>
                </w:p>
              </w:tc>
              <w:tc>
                <w:tcPr>
                  <w:tcW w:w="1282" w:type="pct"/>
                  <w:tcBorders>
                    <w:tl2br w:val="nil"/>
                    <w:tr2bl w:val="nil"/>
                  </w:tcBorders>
                  <w:noWrap w:val="0"/>
                  <w:vAlign w:val="center"/>
                </w:tcPr>
                <w:p w14:paraId="1EECE90F">
                  <w:pPr>
                    <w:pStyle w:val="475"/>
                    <w:keepNext w:val="0"/>
                    <w:keepLines w:val="0"/>
                    <w:suppressLineNumbers w:val="0"/>
                    <w:spacing w:before="0" w:beforeAutospacing="0" w:after="0" w:afterAutospacing="0" w:line="300" w:lineRule="exact"/>
                    <w:ind w:left="0" w:right="0" w:firstLineChars="0"/>
                    <w:rPr>
                      <w:rFonts w:hint="default" w:ascii="Times New Roman" w:hAnsi="Times New Roman" w:eastAsia="宋体" w:cs="Times New Roman"/>
                      <w:b/>
                      <w:bCs/>
                      <w:color w:val="auto"/>
                      <w:sz w:val="21"/>
                      <w:szCs w:val="21"/>
                      <w:lang w:eastAsia="zh-CN"/>
                    </w:rPr>
                  </w:pPr>
                  <w:r>
                    <w:rPr>
                      <w:rFonts w:hint="default" w:ascii="Times New Roman" w:hAnsi="Times New Roman" w:cs="Times New Roman"/>
                      <w:color w:val="auto"/>
                      <w:kern w:val="0"/>
                      <w:sz w:val="21"/>
                      <w:szCs w:val="21"/>
                    </w:rPr>
                    <w:t>原料</w:t>
                  </w:r>
                  <w:r>
                    <w:rPr>
                      <w:rFonts w:hint="default" w:ascii="Times New Roman" w:hAnsi="Times New Roman" w:cs="Times New Roman"/>
                      <w:color w:val="auto"/>
                      <w:kern w:val="0"/>
                      <w:sz w:val="21"/>
                      <w:szCs w:val="21"/>
                      <w:lang w:eastAsia="zh-CN"/>
                    </w:rPr>
                    <w:t>（</w:t>
                  </w:r>
                  <w:r>
                    <w:rPr>
                      <w:rFonts w:hint="default" w:ascii="Times New Roman" w:hAnsi="Times New Roman" w:cs="Times New Roman"/>
                      <w:color w:val="auto"/>
                      <w:kern w:val="0"/>
                      <w:sz w:val="21"/>
                      <w:szCs w:val="21"/>
                      <w:lang w:val="en-US" w:eastAsia="zh-CN"/>
                    </w:rPr>
                    <w:t>淬火油</w:t>
                  </w:r>
                  <w:r>
                    <w:rPr>
                      <w:rFonts w:hint="default" w:ascii="Times New Roman" w:hAnsi="Times New Roman" w:cs="Times New Roman"/>
                      <w:color w:val="auto"/>
                      <w:kern w:val="0"/>
                      <w:sz w:val="21"/>
                      <w:szCs w:val="21"/>
                      <w:lang w:eastAsia="zh-CN"/>
                    </w:rPr>
                    <w:t>）</w:t>
                  </w:r>
                  <w:r>
                    <w:rPr>
                      <w:rFonts w:hint="default" w:ascii="Times New Roman" w:hAnsi="Times New Roman" w:cs="Times New Roman"/>
                      <w:color w:val="auto"/>
                      <w:kern w:val="0"/>
                      <w:sz w:val="21"/>
                      <w:szCs w:val="21"/>
                      <w:lang w:val="en-US" w:eastAsia="zh-CN"/>
                    </w:rPr>
                    <w:t>桶装加盖密封，</w:t>
                  </w:r>
                  <w:r>
                    <w:rPr>
                      <w:rFonts w:hint="default" w:ascii="Times New Roman" w:hAnsi="Times New Roman" w:cs="Times New Roman"/>
                      <w:color w:val="auto"/>
                      <w:kern w:val="0"/>
                      <w:sz w:val="21"/>
                      <w:szCs w:val="21"/>
                    </w:rPr>
                    <w:t>储存和转移过程中不会产生VOCs</w:t>
                  </w:r>
                  <w:r>
                    <w:rPr>
                      <w:rFonts w:hint="default" w:ascii="Times New Roman" w:hAnsi="Times New Roman" w:cs="Times New Roman"/>
                      <w:color w:val="auto"/>
                      <w:kern w:val="0"/>
                      <w:sz w:val="21"/>
                      <w:szCs w:val="21"/>
                      <w:lang w:eastAsia="zh-CN"/>
                    </w:rPr>
                    <w:t>；</w:t>
                  </w:r>
                </w:p>
              </w:tc>
              <w:tc>
                <w:tcPr>
                  <w:tcW w:w="572" w:type="pct"/>
                  <w:tcBorders>
                    <w:tl2br w:val="nil"/>
                    <w:tr2bl w:val="nil"/>
                  </w:tcBorders>
                  <w:noWrap w:val="0"/>
                  <w:vAlign w:val="center"/>
                </w:tcPr>
                <w:p w14:paraId="112C511F">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b/>
                      <w:bCs/>
                      <w:color w:val="auto"/>
                      <w:sz w:val="21"/>
                      <w:szCs w:val="21"/>
                    </w:rPr>
                  </w:pPr>
                  <w:r>
                    <w:rPr>
                      <w:rFonts w:hint="default" w:ascii="Times New Roman" w:hAnsi="Times New Roman" w:cs="Times New Roman"/>
                      <w:color w:val="auto"/>
                      <w:kern w:val="0"/>
                      <w:sz w:val="21"/>
                      <w:szCs w:val="21"/>
                      <w:lang w:bidi="ar"/>
                    </w:rPr>
                    <w:t>符合</w:t>
                  </w:r>
                </w:p>
              </w:tc>
            </w:tr>
            <w:tr w14:paraId="7714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44" w:type="pct"/>
                  <w:tcBorders>
                    <w:tl2br w:val="nil"/>
                    <w:tr2bl w:val="nil"/>
                  </w:tcBorders>
                  <w:noWrap w:val="0"/>
                  <w:vAlign w:val="center"/>
                </w:tcPr>
                <w:p w14:paraId="1F28E094">
                  <w:pPr>
                    <w:keepNext w:val="0"/>
                    <w:keepLines w:val="0"/>
                    <w:widowControl/>
                    <w:suppressLineNumbers w:val="0"/>
                    <w:spacing w:before="0" w:beforeAutospacing="0" w:after="0" w:afterAutospacing="0" w:line="300" w:lineRule="exact"/>
                    <w:ind w:left="0" w:right="0"/>
                    <w:rPr>
                      <w:rFonts w:hint="default" w:ascii="Times New Roman" w:hAnsi="Times New Roman" w:cs="Times New Roman"/>
                      <w:color w:val="auto"/>
                      <w:kern w:val="0"/>
                      <w:sz w:val="21"/>
                      <w:szCs w:val="21"/>
                      <w:lang w:bidi="ar"/>
                    </w:rPr>
                  </w:pPr>
                  <w:r>
                    <w:rPr>
                      <w:rFonts w:hint="default" w:ascii="Times New Roman" w:hAnsi="Times New Roman" w:cs="Times New Roman"/>
                      <w:color w:val="auto"/>
                      <w:sz w:val="21"/>
                      <w:szCs w:val="21"/>
                    </w:rPr>
                    <w:t>推进建设适宜高效的治污设施。企业新建治污设施或对现有治污设施实施改造，应依据排放废气的浓度、组分、风量，温度、湿度、压力，以及生产工况等，合理选择治理技术的组合工艺，提高VOCs治理效率。低浓度、大风量废气，宜采用沸石转轮吸附、活性炭吸附、减风增浓等浓缩技术，提高VOCs浓度后净化处理；高浓度废气，优先进行溶剂回收，难以回收的，宜采用高温焚烧、催化燃烧等技术。</w:t>
                  </w:r>
                </w:p>
              </w:tc>
              <w:tc>
                <w:tcPr>
                  <w:tcW w:w="1282" w:type="pct"/>
                  <w:tcBorders>
                    <w:tl2br w:val="nil"/>
                    <w:tr2bl w:val="nil"/>
                  </w:tcBorders>
                  <w:noWrap w:val="0"/>
                  <w:vAlign w:val="center"/>
                </w:tcPr>
                <w:p w14:paraId="3883C2A3">
                  <w:pPr>
                    <w:keepNext w:val="0"/>
                    <w:keepLines w:val="0"/>
                    <w:widowControl/>
                    <w:suppressLineNumbers w:val="0"/>
                    <w:spacing w:before="0" w:beforeAutospacing="0" w:after="0" w:afterAutospacing="0" w:line="300" w:lineRule="exact"/>
                    <w:ind w:left="0" w:right="0"/>
                    <w:rPr>
                      <w:rFonts w:hint="default" w:ascii="Times New Roman" w:hAnsi="Times New Roman" w:cs="Times New Roman"/>
                      <w:color w:val="auto"/>
                      <w:kern w:val="0"/>
                      <w:sz w:val="21"/>
                      <w:szCs w:val="21"/>
                      <w:lang w:bidi="ar"/>
                    </w:rPr>
                  </w:pPr>
                  <w:r>
                    <w:rPr>
                      <w:rFonts w:hint="default" w:ascii="Times New Roman" w:hAnsi="Times New Roman" w:cs="Times New Roman"/>
                      <w:color w:val="auto"/>
                      <w:sz w:val="21"/>
                      <w:szCs w:val="21"/>
                    </w:rPr>
                    <w:t>项目</w:t>
                  </w:r>
                  <w:r>
                    <w:rPr>
                      <w:rFonts w:hint="default" w:ascii="Times New Roman" w:hAnsi="Times New Roman" w:cs="Times New Roman"/>
                      <w:color w:val="auto"/>
                      <w:sz w:val="21"/>
                      <w:szCs w:val="21"/>
                      <w:lang w:val="en-US" w:eastAsia="zh-CN"/>
                    </w:rPr>
                    <w:t>箱式渗碳、淬火回火废气经废气间接冷却装置+静电吸附油雾净化装置</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三级干式过滤器+</w:t>
                  </w:r>
                  <w:r>
                    <w:rPr>
                      <w:rFonts w:hint="default" w:ascii="Times New Roman" w:hAnsi="Times New Roman" w:cs="Times New Roman"/>
                      <w:color w:val="auto"/>
                      <w:sz w:val="21"/>
                      <w:szCs w:val="21"/>
                      <w:lang w:val="en-US" w:eastAsia="zh-CN"/>
                    </w:rPr>
                    <w:t>二级活性炭吸附装置</w:t>
                  </w:r>
                  <w:r>
                    <w:rPr>
                      <w:rFonts w:hint="default" w:ascii="Times New Roman" w:hAnsi="Times New Roman" w:cs="Times New Roman"/>
                      <w:color w:val="auto"/>
                      <w:sz w:val="21"/>
                      <w:szCs w:val="21"/>
                    </w:rPr>
                    <w:t>处理</w:t>
                  </w:r>
                  <w:r>
                    <w:rPr>
                      <w:rFonts w:hint="default" w:ascii="Times New Roman" w:hAnsi="Times New Roman" w:cs="Times New Roman"/>
                      <w:color w:val="auto"/>
                      <w:sz w:val="21"/>
                      <w:szCs w:val="21"/>
                      <w:lang w:val="en-US" w:eastAsia="zh-CN"/>
                    </w:rPr>
                    <w:t>后由</w:t>
                  </w:r>
                  <w:r>
                    <w:rPr>
                      <w:rFonts w:hint="default" w:ascii="Times New Roman" w:hAnsi="Times New Roman" w:cs="Times New Roman"/>
                      <w:color w:val="auto"/>
                      <w:sz w:val="21"/>
                      <w:szCs w:val="21"/>
                    </w:rPr>
                    <w:t>1根15m高排气筒排放</w:t>
                  </w:r>
                </w:p>
              </w:tc>
              <w:tc>
                <w:tcPr>
                  <w:tcW w:w="572" w:type="pct"/>
                  <w:tcBorders>
                    <w:tl2br w:val="nil"/>
                    <w:tr2bl w:val="nil"/>
                  </w:tcBorders>
                  <w:noWrap w:val="0"/>
                  <w:vAlign w:val="center"/>
                </w:tcPr>
                <w:p w14:paraId="58C0318A">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符合</w:t>
                  </w:r>
                </w:p>
              </w:tc>
            </w:tr>
          </w:tbl>
          <w:p w14:paraId="0D935E9F">
            <w:pPr>
              <w:pStyle w:val="62"/>
              <w:keepNext w:val="0"/>
              <w:keepLines w:val="0"/>
              <w:suppressLineNumbers w:val="0"/>
              <w:bidi w:val="0"/>
              <w:spacing w:before="0" w:beforeAutospacing="0" w:after="0" w:afterAutospacing="0"/>
              <w:ind w:left="0" w:leftChars="0" w:right="0" w:firstLine="0" w:firstLineChars="0"/>
              <w:rPr>
                <w:rFonts w:hint="default"/>
                <w:b/>
                <w:bCs/>
                <w:color w:val="auto"/>
                <w:lang w:eastAsia="zh-CN"/>
              </w:rPr>
            </w:pPr>
            <w:r>
              <w:rPr>
                <w:rFonts w:hint="eastAsia"/>
                <w:b/>
                <w:bCs/>
                <w:color w:val="auto"/>
                <w:lang w:val="en-US" w:eastAsia="zh-CN"/>
              </w:rPr>
              <w:t>6</w:t>
            </w:r>
            <w:r>
              <w:rPr>
                <w:rFonts w:hint="default"/>
                <w:b/>
                <w:bCs/>
                <w:color w:val="auto"/>
                <w:lang w:eastAsia="zh-CN"/>
              </w:rPr>
              <w:t>、与</w:t>
            </w:r>
            <w:r>
              <w:rPr>
                <w:rFonts w:hint="eastAsia"/>
                <w:b/>
                <w:bCs/>
                <w:color w:val="auto"/>
                <w:lang w:eastAsia="zh-CN"/>
              </w:rPr>
              <w:t>《安徽省</w:t>
            </w:r>
            <w:r>
              <w:rPr>
                <w:rFonts w:hint="default"/>
                <w:b/>
                <w:bCs/>
                <w:color w:val="auto"/>
                <w:lang w:eastAsia="zh-CN"/>
              </w:rPr>
              <w:t>淮河流域水污染防治条例</w:t>
            </w:r>
            <w:r>
              <w:rPr>
                <w:rFonts w:hint="eastAsia"/>
                <w:b/>
                <w:bCs/>
                <w:color w:val="auto"/>
                <w:lang w:eastAsia="zh-CN"/>
              </w:rPr>
              <w:t>》</w:t>
            </w:r>
            <w:r>
              <w:rPr>
                <w:rFonts w:hint="default"/>
                <w:b/>
                <w:bCs/>
                <w:color w:val="auto"/>
                <w:lang w:eastAsia="zh-CN"/>
              </w:rPr>
              <w:t>相符性分析</w:t>
            </w:r>
          </w:p>
          <w:p w14:paraId="6105F48D">
            <w:pPr>
              <w:pStyle w:val="63"/>
              <w:keepNext w:val="0"/>
              <w:keepLines w:val="0"/>
              <w:suppressLineNumbers w:val="0"/>
              <w:bidi w:val="0"/>
              <w:spacing w:before="0" w:beforeAutospacing="0" w:after="0" w:afterAutospacing="0"/>
              <w:ind w:left="0" w:right="0"/>
              <w:rPr>
                <w:color w:val="auto"/>
                <w:lang w:eastAsia="zh-CN"/>
              </w:rPr>
            </w:pPr>
            <w:r>
              <w:rPr>
                <w:color w:val="auto"/>
                <w:lang w:eastAsia="zh-CN"/>
              </w:rPr>
              <w:t>表1-</w:t>
            </w:r>
            <w:r>
              <w:rPr>
                <w:rFonts w:hint="eastAsia"/>
                <w:color w:val="auto"/>
                <w:lang w:val="en-US" w:eastAsia="zh-CN"/>
              </w:rPr>
              <w:t>7</w:t>
            </w:r>
            <w:r>
              <w:rPr>
                <w:rFonts w:hint="eastAsia"/>
                <w:color w:val="auto"/>
                <w:lang w:eastAsia="zh-CN"/>
              </w:rPr>
              <w:t xml:space="preserve">  </w:t>
            </w:r>
            <w:r>
              <w:rPr>
                <w:color w:val="auto"/>
                <w:lang w:eastAsia="zh-CN"/>
              </w:rPr>
              <w:t>与</w:t>
            </w:r>
            <w:r>
              <w:rPr>
                <w:rFonts w:hint="eastAsia"/>
                <w:color w:val="auto"/>
                <w:lang w:eastAsia="zh-CN"/>
              </w:rPr>
              <w:t>《安徽省</w:t>
            </w:r>
            <w:r>
              <w:rPr>
                <w:color w:val="auto"/>
                <w:lang w:eastAsia="zh-CN"/>
              </w:rPr>
              <w:t>淮河流域水污染防治条例</w:t>
            </w:r>
            <w:r>
              <w:rPr>
                <w:rFonts w:hint="eastAsia"/>
                <w:color w:val="auto"/>
                <w:lang w:eastAsia="zh-CN"/>
              </w:rPr>
              <w:t>》</w:t>
            </w:r>
            <w:r>
              <w:rPr>
                <w:color w:val="auto"/>
                <w:lang w:eastAsia="zh-CN"/>
              </w:rPr>
              <w:t>相符性分析</w:t>
            </w:r>
          </w:p>
          <w:tbl>
            <w:tblPr>
              <w:tblStyle w:val="52"/>
              <w:tblW w:w="4999"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12"/>
              <w:gridCol w:w="4199"/>
              <w:gridCol w:w="2430"/>
              <w:gridCol w:w="870"/>
            </w:tblGrid>
            <w:tr w14:paraId="492798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77" w:type="pct"/>
                  <w:tcBorders>
                    <w:tl2br w:val="nil"/>
                    <w:tr2bl w:val="nil"/>
                  </w:tcBorders>
                  <w:shd w:val="clear" w:color="auto" w:fill="auto"/>
                  <w:noWrap w:val="0"/>
                  <w:vAlign w:val="center"/>
                </w:tcPr>
                <w:p w14:paraId="2D7467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21" w:leftChars="-10" w:right="-21" w:rightChars="-10"/>
                    <w:jc w:val="center"/>
                    <w:textAlignment w:val="auto"/>
                    <w:rPr>
                      <w:rFonts w:hint="default" w:ascii="Times New Roman" w:hAnsi="Times New Roman"/>
                      <w:b/>
                      <w:sz w:val="21"/>
                      <w:szCs w:val="21"/>
                    </w:rPr>
                  </w:pPr>
                  <w:r>
                    <w:rPr>
                      <w:rFonts w:hint="default" w:ascii="Times New Roman"/>
                      <w:b/>
                      <w:sz w:val="21"/>
                      <w:szCs w:val="21"/>
                    </w:rPr>
                    <w:t>序号</w:t>
                  </w:r>
                </w:p>
              </w:tc>
              <w:tc>
                <w:tcPr>
                  <w:tcW w:w="2588" w:type="pct"/>
                  <w:tcBorders>
                    <w:tl2br w:val="nil"/>
                    <w:tr2bl w:val="nil"/>
                  </w:tcBorders>
                  <w:shd w:val="clear" w:color="auto" w:fill="auto"/>
                  <w:noWrap w:val="0"/>
                  <w:vAlign w:val="center"/>
                </w:tcPr>
                <w:p w14:paraId="1A6085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21" w:leftChars="-10" w:right="-21" w:rightChars="-10"/>
                    <w:jc w:val="center"/>
                    <w:textAlignment w:val="auto"/>
                    <w:rPr>
                      <w:rFonts w:hint="default" w:ascii="Times New Roman" w:hAnsi="Times New Roman"/>
                      <w:b/>
                      <w:sz w:val="21"/>
                      <w:szCs w:val="21"/>
                    </w:rPr>
                  </w:pPr>
                  <w:r>
                    <w:rPr>
                      <w:rFonts w:hint="default" w:ascii="Times New Roman"/>
                      <w:b/>
                      <w:sz w:val="21"/>
                      <w:szCs w:val="21"/>
                    </w:rPr>
                    <w:t>措施内容</w:t>
                  </w:r>
                </w:p>
              </w:tc>
              <w:tc>
                <w:tcPr>
                  <w:tcW w:w="1497" w:type="pct"/>
                  <w:tcBorders>
                    <w:tl2br w:val="nil"/>
                    <w:tr2bl w:val="nil"/>
                  </w:tcBorders>
                  <w:shd w:val="clear" w:color="auto" w:fill="auto"/>
                  <w:noWrap w:val="0"/>
                  <w:vAlign w:val="center"/>
                </w:tcPr>
                <w:p w14:paraId="2948D1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21" w:leftChars="-10" w:right="-21" w:rightChars="-10"/>
                    <w:jc w:val="center"/>
                    <w:textAlignment w:val="auto"/>
                    <w:rPr>
                      <w:rFonts w:hint="default"/>
                      <w:b/>
                      <w:sz w:val="21"/>
                      <w:szCs w:val="21"/>
                    </w:rPr>
                  </w:pPr>
                  <w:r>
                    <w:rPr>
                      <w:rFonts w:hint="default"/>
                      <w:b/>
                      <w:sz w:val="21"/>
                      <w:szCs w:val="21"/>
                    </w:rPr>
                    <w:t>本项目措施</w:t>
                  </w:r>
                </w:p>
              </w:tc>
              <w:tc>
                <w:tcPr>
                  <w:tcW w:w="536" w:type="pct"/>
                  <w:tcBorders>
                    <w:tl2br w:val="nil"/>
                    <w:tr2bl w:val="nil"/>
                  </w:tcBorders>
                  <w:shd w:val="clear" w:color="auto" w:fill="auto"/>
                  <w:noWrap w:val="0"/>
                  <w:vAlign w:val="center"/>
                </w:tcPr>
                <w:p w14:paraId="4EDD76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21" w:leftChars="-10" w:right="-21" w:rightChars="-10"/>
                    <w:jc w:val="center"/>
                    <w:textAlignment w:val="auto"/>
                    <w:rPr>
                      <w:rFonts w:hint="default"/>
                      <w:b/>
                      <w:sz w:val="21"/>
                      <w:szCs w:val="21"/>
                    </w:rPr>
                  </w:pPr>
                  <w:r>
                    <w:rPr>
                      <w:rFonts w:hint="eastAsia"/>
                      <w:b/>
                      <w:sz w:val="21"/>
                      <w:szCs w:val="21"/>
                    </w:rPr>
                    <w:t>相符性</w:t>
                  </w:r>
                </w:p>
              </w:tc>
            </w:tr>
            <w:tr w14:paraId="2E01E3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34" w:hRule="atLeast"/>
                <w:jc w:val="center"/>
              </w:trPr>
              <w:tc>
                <w:tcPr>
                  <w:tcW w:w="377" w:type="pct"/>
                  <w:tcBorders>
                    <w:tl2br w:val="nil"/>
                    <w:tr2bl w:val="nil"/>
                  </w:tcBorders>
                  <w:shd w:val="clear" w:color="auto" w:fill="auto"/>
                  <w:noWrap w:val="0"/>
                  <w:vAlign w:val="center"/>
                </w:tcPr>
                <w:p w14:paraId="7E2C23DA">
                  <w:pPr>
                    <w:keepNext w:val="0"/>
                    <w:keepLines w:val="0"/>
                    <w:suppressLineNumbers w:val="0"/>
                    <w:spacing w:before="0" w:beforeAutospacing="0" w:after="0" w:afterAutospacing="0" w:line="276" w:lineRule="auto"/>
                    <w:ind w:left="0" w:right="0"/>
                    <w:jc w:val="center"/>
                    <w:rPr>
                      <w:rFonts w:hint="default" w:ascii="Times New Roman" w:hAnsi="Times New Roman"/>
                      <w:sz w:val="21"/>
                      <w:szCs w:val="21"/>
                    </w:rPr>
                  </w:pPr>
                  <w:r>
                    <w:rPr>
                      <w:rFonts w:hint="default" w:ascii="Times New Roman" w:hAnsi="Times New Roman"/>
                      <w:sz w:val="21"/>
                      <w:szCs w:val="21"/>
                    </w:rPr>
                    <w:t>1</w:t>
                  </w:r>
                </w:p>
              </w:tc>
              <w:tc>
                <w:tcPr>
                  <w:tcW w:w="2588" w:type="pct"/>
                  <w:tcBorders>
                    <w:tl2br w:val="nil"/>
                    <w:tr2bl w:val="nil"/>
                  </w:tcBorders>
                  <w:shd w:val="clear" w:color="auto" w:fill="auto"/>
                  <w:noWrap w:val="0"/>
                  <w:vAlign w:val="center"/>
                </w:tcPr>
                <w:p w14:paraId="59947DFF">
                  <w:pPr>
                    <w:keepNext w:val="0"/>
                    <w:keepLines w:val="0"/>
                    <w:suppressLineNumbers w:val="0"/>
                    <w:spacing w:before="0" w:beforeAutospacing="0" w:after="0" w:afterAutospacing="0" w:line="276" w:lineRule="auto"/>
                    <w:ind w:left="0" w:right="0"/>
                    <w:jc w:val="center"/>
                    <w:rPr>
                      <w:rFonts w:hint="default"/>
                      <w:sz w:val="21"/>
                      <w:szCs w:val="21"/>
                      <w:lang w:eastAsia="zh-CN"/>
                    </w:rPr>
                  </w:pPr>
                  <w:r>
                    <w:rPr>
                      <w:rFonts w:hint="default"/>
                      <w:sz w:val="21"/>
                      <w:szCs w:val="21"/>
                      <w:lang w:eastAsia="zh-CN"/>
                    </w:rPr>
                    <w:t>禁止在淮河流域新建化学制浆造纸企业和印染、制革、化工、电镀、酿造等污染严重的小型企业。严格限制在淮河流域新建印染、制革、化工、电镀、酿造等大中型项目或者其他污染严重的项目；建设该类项目的，应当事前征得省人民政府生态环境行政主管部门的同意，并按照规定办理有关手续</w:t>
                  </w:r>
                </w:p>
              </w:tc>
              <w:tc>
                <w:tcPr>
                  <w:tcW w:w="1497" w:type="pct"/>
                  <w:tcBorders>
                    <w:tl2br w:val="nil"/>
                    <w:tr2bl w:val="nil"/>
                  </w:tcBorders>
                  <w:shd w:val="clear" w:color="auto" w:fill="auto"/>
                  <w:noWrap w:val="0"/>
                  <w:vAlign w:val="center"/>
                </w:tcPr>
                <w:p w14:paraId="05B7CC0E">
                  <w:pPr>
                    <w:keepNext w:val="0"/>
                    <w:keepLines w:val="0"/>
                    <w:suppressLineNumbers w:val="0"/>
                    <w:spacing w:before="0" w:beforeAutospacing="0" w:after="0" w:afterAutospacing="0" w:line="276" w:lineRule="auto"/>
                    <w:ind w:left="0" w:right="0"/>
                    <w:jc w:val="center"/>
                    <w:rPr>
                      <w:rFonts w:hint="default" w:ascii="Times New Roman" w:hAnsi="Times New Roman"/>
                      <w:sz w:val="21"/>
                      <w:szCs w:val="21"/>
                      <w:lang w:eastAsia="zh-CN"/>
                    </w:rPr>
                  </w:pPr>
                  <w:r>
                    <w:rPr>
                      <w:rFonts w:hint="default" w:ascii="Times New Roman" w:hAnsi="Times New Roman"/>
                      <w:sz w:val="21"/>
                      <w:szCs w:val="21"/>
                      <w:lang w:eastAsia="zh-CN"/>
                    </w:rPr>
                    <w:t>本</w:t>
                  </w:r>
                  <w:r>
                    <w:rPr>
                      <w:rStyle w:val="103"/>
                      <w:rFonts w:hint="default"/>
                      <w:lang w:eastAsia="zh-CN"/>
                    </w:rPr>
                    <w:t>项目属于</w:t>
                  </w:r>
                  <w:r>
                    <w:rPr>
                      <w:rStyle w:val="103"/>
                      <w:rFonts w:hint="default"/>
                      <w:lang w:val="en-US" w:eastAsia="zh-CN"/>
                    </w:rPr>
                    <w:t>C</w:t>
                  </w:r>
                  <w:r>
                    <w:rPr>
                      <w:rStyle w:val="103"/>
                      <w:rFonts w:hint="eastAsia"/>
                      <w:lang w:val="en-US" w:eastAsia="zh-CN"/>
                    </w:rPr>
                    <w:t>3360金属表面处理及热处理加工</w:t>
                  </w:r>
                  <w:r>
                    <w:rPr>
                      <w:rStyle w:val="103"/>
                      <w:rFonts w:hint="default"/>
                      <w:lang w:eastAsia="zh-CN"/>
                    </w:rPr>
                    <w:t>，不属于化学制浆造纸企业和印染、制革、化工</w:t>
                  </w:r>
                  <w:r>
                    <w:rPr>
                      <w:rFonts w:hint="default"/>
                      <w:sz w:val="21"/>
                      <w:szCs w:val="21"/>
                      <w:lang w:eastAsia="zh-CN"/>
                    </w:rPr>
                    <w:t>、电镀、酿造等污染严重的小型企业</w:t>
                  </w:r>
                </w:p>
              </w:tc>
              <w:tc>
                <w:tcPr>
                  <w:tcW w:w="536" w:type="pct"/>
                  <w:tcBorders>
                    <w:tl2br w:val="nil"/>
                    <w:tr2bl w:val="nil"/>
                  </w:tcBorders>
                  <w:shd w:val="clear" w:color="auto" w:fill="auto"/>
                  <w:noWrap w:val="0"/>
                  <w:vAlign w:val="center"/>
                </w:tcPr>
                <w:p w14:paraId="7BDD9443">
                  <w:pPr>
                    <w:keepNext w:val="0"/>
                    <w:keepLines w:val="0"/>
                    <w:suppressLineNumbers w:val="0"/>
                    <w:spacing w:before="0" w:beforeAutospacing="0" w:after="0" w:afterAutospacing="0" w:line="276" w:lineRule="auto"/>
                    <w:ind w:left="0" w:right="0"/>
                    <w:jc w:val="center"/>
                    <w:rPr>
                      <w:rFonts w:hint="default"/>
                      <w:sz w:val="21"/>
                      <w:szCs w:val="21"/>
                    </w:rPr>
                  </w:pPr>
                  <w:r>
                    <w:rPr>
                      <w:rFonts w:hint="default"/>
                      <w:sz w:val="21"/>
                      <w:szCs w:val="21"/>
                    </w:rPr>
                    <w:t>符合</w:t>
                  </w:r>
                </w:p>
              </w:tc>
            </w:tr>
            <w:tr w14:paraId="68829D4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19" w:hRule="atLeast"/>
                <w:jc w:val="center"/>
              </w:trPr>
              <w:tc>
                <w:tcPr>
                  <w:tcW w:w="377" w:type="pct"/>
                  <w:tcBorders>
                    <w:tl2br w:val="nil"/>
                    <w:tr2bl w:val="nil"/>
                  </w:tcBorders>
                  <w:shd w:val="clear" w:color="auto" w:fill="auto"/>
                  <w:noWrap w:val="0"/>
                  <w:vAlign w:val="center"/>
                </w:tcPr>
                <w:p w14:paraId="11D9D9C6">
                  <w:pPr>
                    <w:keepNext w:val="0"/>
                    <w:keepLines w:val="0"/>
                    <w:suppressLineNumbers w:val="0"/>
                    <w:spacing w:before="0" w:beforeAutospacing="0" w:after="0" w:afterAutospacing="0" w:line="276" w:lineRule="auto"/>
                    <w:ind w:left="0" w:right="0"/>
                    <w:jc w:val="center"/>
                    <w:rPr>
                      <w:rFonts w:hint="default" w:ascii="Times New Roman" w:hAnsi="宋体"/>
                      <w:sz w:val="21"/>
                      <w:szCs w:val="21"/>
                      <w:shd w:val="clear" w:color="auto" w:fill="FFFFFF"/>
                    </w:rPr>
                  </w:pPr>
                  <w:r>
                    <w:rPr>
                      <w:rFonts w:hint="eastAsia" w:ascii="Times New Roman" w:hAnsi="宋体"/>
                      <w:sz w:val="21"/>
                      <w:szCs w:val="21"/>
                      <w:shd w:val="clear" w:color="auto" w:fill="FFFFFF"/>
                    </w:rPr>
                    <w:t>2</w:t>
                  </w:r>
                </w:p>
              </w:tc>
              <w:tc>
                <w:tcPr>
                  <w:tcW w:w="2588" w:type="pct"/>
                  <w:tcBorders>
                    <w:tl2br w:val="nil"/>
                    <w:tr2bl w:val="nil"/>
                  </w:tcBorders>
                  <w:shd w:val="clear" w:color="auto" w:fill="auto"/>
                  <w:noWrap w:val="0"/>
                  <w:vAlign w:val="center"/>
                </w:tcPr>
                <w:p w14:paraId="4EFC258B">
                  <w:pPr>
                    <w:keepNext w:val="0"/>
                    <w:keepLines w:val="0"/>
                    <w:suppressLineNumbers w:val="0"/>
                    <w:spacing w:before="0" w:beforeAutospacing="0" w:after="0" w:afterAutospacing="0" w:line="276" w:lineRule="auto"/>
                    <w:ind w:left="0" w:right="0"/>
                    <w:jc w:val="center"/>
                    <w:rPr>
                      <w:rFonts w:hint="default"/>
                      <w:sz w:val="21"/>
                      <w:szCs w:val="21"/>
                      <w:lang w:eastAsia="zh-CN"/>
                    </w:rPr>
                  </w:pPr>
                  <w:r>
                    <w:rPr>
                      <w:rFonts w:hint="default"/>
                      <w:sz w:val="21"/>
                      <w:szCs w:val="21"/>
                      <w:lang w:eastAsia="zh-CN"/>
                    </w:rPr>
                    <w:t>在淮河流域城市公共排水设施覆盖区域内，应当实行雨水、污水分流；排水户应当将雨水、污水分别排入公共雨水、污水管网及其附属设施</w:t>
                  </w:r>
                </w:p>
              </w:tc>
              <w:tc>
                <w:tcPr>
                  <w:tcW w:w="1497" w:type="pct"/>
                  <w:tcBorders>
                    <w:tl2br w:val="nil"/>
                    <w:tr2bl w:val="nil"/>
                  </w:tcBorders>
                  <w:shd w:val="clear" w:color="auto" w:fill="auto"/>
                  <w:noWrap w:val="0"/>
                  <w:vAlign w:val="center"/>
                </w:tcPr>
                <w:p w14:paraId="1182340C">
                  <w:pPr>
                    <w:keepNext w:val="0"/>
                    <w:keepLines w:val="0"/>
                    <w:suppressLineNumbers w:val="0"/>
                    <w:spacing w:before="0" w:beforeAutospacing="0" w:after="0" w:afterAutospacing="0" w:line="276" w:lineRule="auto"/>
                    <w:ind w:left="0" w:right="0"/>
                    <w:jc w:val="center"/>
                    <w:rPr>
                      <w:rFonts w:hint="default" w:ascii="Times New Roman" w:hAnsi="宋体"/>
                      <w:sz w:val="21"/>
                      <w:szCs w:val="21"/>
                      <w:shd w:val="clear" w:color="auto" w:fill="FFFFFF"/>
                      <w:lang w:eastAsia="zh-CN"/>
                    </w:rPr>
                  </w:pPr>
                  <w:r>
                    <w:rPr>
                      <w:rFonts w:hint="default" w:ascii="Times New Roman" w:hAnsi="宋体"/>
                      <w:sz w:val="21"/>
                      <w:szCs w:val="21"/>
                      <w:shd w:val="clear" w:color="auto" w:fill="FFFFFF"/>
                      <w:lang w:eastAsia="zh-CN"/>
                    </w:rPr>
                    <w:t>项目</w:t>
                  </w:r>
                  <w:r>
                    <w:rPr>
                      <w:rFonts w:hint="eastAsia" w:ascii="Times New Roman" w:hAnsi="宋体"/>
                      <w:sz w:val="21"/>
                      <w:szCs w:val="21"/>
                      <w:shd w:val="clear" w:color="auto" w:fill="FFFFFF"/>
                      <w:lang w:eastAsia="zh-CN"/>
                    </w:rPr>
                    <w:t>实行</w:t>
                  </w:r>
                  <w:r>
                    <w:rPr>
                      <w:rFonts w:hint="default" w:ascii="Times New Roman" w:hAnsi="宋体"/>
                      <w:sz w:val="21"/>
                      <w:szCs w:val="21"/>
                      <w:shd w:val="clear" w:color="auto" w:fill="FFFFFF"/>
                      <w:lang w:eastAsia="zh-CN"/>
                    </w:rPr>
                    <w:t>雨水</w:t>
                  </w:r>
                  <w:r>
                    <w:rPr>
                      <w:rFonts w:hint="eastAsia" w:ascii="Times New Roman" w:hAnsi="宋体"/>
                      <w:sz w:val="21"/>
                      <w:szCs w:val="21"/>
                      <w:shd w:val="clear" w:color="auto" w:fill="FFFFFF"/>
                      <w:lang w:eastAsia="zh-CN"/>
                    </w:rPr>
                    <w:t>、污水分流。雨水进入市政管网，</w:t>
                  </w:r>
                  <w:r>
                    <w:rPr>
                      <w:rFonts w:hint="eastAsia" w:ascii="Times New Roman" w:hAnsi="Times New Roman"/>
                      <w:sz w:val="21"/>
                      <w:szCs w:val="21"/>
                      <w:lang w:eastAsia="zh-CN" w:bidi="zh-CN"/>
                    </w:rPr>
                    <w:t>生活污水经厂区化粪池预处理后</w:t>
                  </w:r>
                  <w:r>
                    <w:rPr>
                      <w:rFonts w:hint="eastAsia" w:ascii="Times New Roman" w:hAnsi="Times New Roman"/>
                      <w:bCs/>
                      <w:sz w:val="21"/>
                      <w:szCs w:val="21"/>
                      <w:lang w:eastAsia="zh-CN"/>
                    </w:rPr>
                    <w:t>通过厂区总排口进入市政管网，最终排入</w:t>
                  </w:r>
                  <w:r>
                    <w:rPr>
                      <w:rFonts w:hint="default" w:ascii="Times New Roman" w:hAnsi="Times New Roman"/>
                      <w:sz w:val="21"/>
                      <w:szCs w:val="21"/>
                      <w:lang w:eastAsia="zh-CN" w:bidi="zh-CN"/>
                    </w:rPr>
                    <w:t>淮南经济技术开发区污水处理厂</w:t>
                  </w:r>
                  <w:r>
                    <w:rPr>
                      <w:rFonts w:hint="eastAsia" w:ascii="Times New Roman" w:hAnsi="Times New Roman"/>
                      <w:bCs/>
                      <w:sz w:val="21"/>
                      <w:szCs w:val="21"/>
                      <w:lang w:eastAsia="zh-CN"/>
                    </w:rPr>
                    <w:t>处理</w:t>
                  </w:r>
                </w:p>
              </w:tc>
              <w:tc>
                <w:tcPr>
                  <w:tcW w:w="536" w:type="pct"/>
                  <w:tcBorders>
                    <w:tl2br w:val="nil"/>
                    <w:tr2bl w:val="nil"/>
                  </w:tcBorders>
                  <w:shd w:val="clear" w:color="auto" w:fill="auto"/>
                  <w:noWrap w:val="0"/>
                  <w:vAlign w:val="center"/>
                </w:tcPr>
                <w:p w14:paraId="60B0640A">
                  <w:pPr>
                    <w:keepNext w:val="0"/>
                    <w:keepLines w:val="0"/>
                    <w:suppressLineNumbers w:val="0"/>
                    <w:spacing w:before="0" w:beforeAutospacing="0" w:after="0" w:afterAutospacing="0" w:line="276" w:lineRule="auto"/>
                    <w:ind w:left="0" w:right="0"/>
                    <w:jc w:val="center"/>
                    <w:rPr>
                      <w:rFonts w:hint="default"/>
                      <w:sz w:val="21"/>
                      <w:szCs w:val="21"/>
                      <w:lang w:eastAsia="zh-CN"/>
                    </w:rPr>
                  </w:pPr>
                  <w:r>
                    <w:rPr>
                      <w:rFonts w:hint="default"/>
                      <w:sz w:val="21"/>
                      <w:szCs w:val="21"/>
                      <w:lang w:eastAsia="zh-CN"/>
                    </w:rPr>
                    <w:t>符合</w:t>
                  </w:r>
                </w:p>
              </w:tc>
            </w:tr>
          </w:tbl>
          <w:p w14:paraId="1FA7A629">
            <w:pPr>
              <w:pStyle w:val="62"/>
              <w:keepNext w:val="0"/>
              <w:keepLines w:val="0"/>
              <w:suppressLineNumbers w:val="0"/>
              <w:bidi w:val="0"/>
              <w:spacing w:before="0" w:beforeAutospacing="0" w:after="0" w:afterAutospacing="0"/>
              <w:ind w:left="0" w:leftChars="0" w:right="0" w:firstLine="0" w:firstLineChars="0"/>
              <w:rPr>
                <w:rFonts w:hint="default"/>
                <w:b/>
                <w:bCs/>
                <w:color w:val="auto"/>
                <w:lang w:eastAsia="zh-CN"/>
              </w:rPr>
            </w:pPr>
            <w:r>
              <w:rPr>
                <w:rFonts w:hint="eastAsia"/>
                <w:b/>
                <w:bCs/>
                <w:color w:val="auto"/>
                <w:lang w:val="en-US" w:eastAsia="zh-CN"/>
              </w:rPr>
              <w:t>7</w:t>
            </w:r>
            <w:r>
              <w:rPr>
                <w:rFonts w:hint="eastAsia"/>
                <w:b/>
                <w:bCs/>
                <w:color w:val="auto"/>
                <w:lang w:eastAsia="zh-CN"/>
              </w:rPr>
              <w:t>、</w:t>
            </w:r>
            <w:r>
              <w:rPr>
                <w:rFonts w:hint="default" w:ascii="Times New Roman" w:hAnsi="Times New Roman" w:cs="Times New Roman"/>
                <w:b/>
                <w:bCs/>
                <w:color w:val="auto"/>
                <w:lang w:eastAsia="zh-CN"/>
              </w:rPr>
              <w:t>与《</w:t>
            </w:r>
            <w:r>
              <w:rPr>
                <w:rFonts w:hint="eastAsia" w:ascii="宋体" w:hAnsi="宋体" w:eastAsia="宋体" w:cs="宋体"/>
                <w:b/>
                <w:bCs/>
                <w:color w:val="auto"/>
                <w:lang w:eastAsia="zh-CN"/>
              </w:rPr>
              <w:t>淮南市“三线一单”生态环</w:t>
            </w:r>
            <w:r>
              <w:rPr>
                <w:rFonts w:hint="default" w:ascii="Times New Roman" w:hAnsi="Times New Roman" w:cs="Times New Roman"/>
                <w:b/>
                <w:bCs/>
                <w:color w:val="auto"/>
                <w:lang w:eastAsia="zh-CN"/>
              </w:rPr>
              <w:t>境</w:t>
            </w:r>
            <w:r>
              <w:rPr>
                <w:rFonts w:hint="default"/>
                <w:b/>
                <w:bCs/>
                <w:color w:val="auto"/>
                <w:lang w:eastAsia="zh-CN"/>
              </w:rPr>
              <w:t>分区管控方案》相符性</w:t>
            </w:r>
          </w:p>
          <w:p w14:paraId="2E11EF2D">
            <w:pPr>
              <w:pStyle w:val="62"/>
              <w:keepNext w:val="0"/>
              <w:keepLines w:val="0"/>
              <w:suppressLineNumbers w:val="0"/>
              <w:bidi w:val="0"/>
              <w:spacing w:before="0" w:beforeAutospacing="0" w:after="0" w:afterAutospacing="0"/>
              <w:ind w:left="0" w:right="0"/>
              <w:rPr>
                <w:rFonts w:hint="eastAsia" w:ascii="宋体" w:hAnsi="宋体" w:eastAsia="宋体" w:cs="宋体"/>
                <w:color w:val="auto"/>
              </w:rPr>
            </w:pPr>
            <w:r>
              <w:rPr>
                <w:rFonts w:hint="eastAsia" w:ascii="宋体" w:hAnsi="宋体" w:eastAsia="宋体" w:cs="宋体"/>
                <w:color w:val="auto"/>
                <w:sz w:val="24"/>
                <w:szCs w:val="24"/>
                <w:lang w:eastAsia="zh-CN"/>
              </w:rPr>
              <w:t>根据安徽省“三线一单”公众服务平台查询，经与“三线一单”成果数据分析，经与“三线一单”成果数据分析，与1个环境管控单元存在交叠，其中优先保护类0个，重点管控类1个，一般管控类0个。本项目选址位于</w:t>
            </w:r>
            <w:r>
              <w:rPr>
                <w:rFonts w:hint="eastAsia" w:ascii="Times New Roman" w:hAnsi="Times New Roman" w:cs="Times New Roman"/>
                <w:color w:val="auto"/>
                <w:sz w:val="24"/>
                <w:lang w:val="en-US" w:eastAsia="zh-CN"/>
              </w:rPr>
              <w:t>淮南</w:t>
            </w:r>
            <w:r>
              <w:rPr>
                <w:rFonts w:hint="eastAsia" w:ascii="Times New Roman" w:hAnsi="Times New Roman" w:eastAsia="宋体" w:cs="Times New Roman"/>
                <w:color w:val="auto"/>
                <w:sz w:val="24"/>
                <w:lang w:val="en-US" w:eastAsia="zh-CN"/>
              </w:rPr>
              <w:t>市经开区华兴路东侧、庆兴北侧智慧显示产业园</w:t>
            </w:r>
            <w:r>
              <w:rPr>
                <w:rFonts w:hint="eastAsia" w:ascii="Times New Roman" w:hAnsi="Times New Roman" w:cs="Times New Roman"/>
                <w:color w:val="auto"/>
                <w:sz w:val="24"/>
                <w:lang w:val="en-US" w:eastAsia="zh-CN"/>
              </w:rPr>
              <w:t>5#</w:t>
            </w:r>
            <w:r>
              <w:rPr>
                <w:rFonts w:hint="eastAsia" w:ascii="Times New Roman" w:hAnsi="Times New Roman" w:eastAsia="宋体" w:cs="Times New Roman"/>
                <w:color w:val="auto"/>
                <w:sz w:val="24"/>
                <w:lang w:val="en-US" w:eastAsia="zh-CN"/>
              </w:rPr>
              <w:t>厂房</w:t>
            </w:r>
            <w:r>
              <w:rPr>
                <w:rFonts w:hint="eastAsia" w:ascii="Times New Roman" w:hAnsi="Times New Roman" w:cs="Times New Roman"/>
                <w:color w:val="auto"/>
                <w:sz w:val="24"/>
                <w:lang w:val="en-US" w:eastAsia="zh-CN"/>
              </w:rPr>
              <w:t>（西侧部分）</w:t>
            </w:r>
            <w:r>
              <w:rPr>
                <w:rFonts w:hint="eastAsia" w:ascii="宋体" w:hAnsi="宋体" w:eastAsia="宋体" w:cs="宋体"/>
                <w:color w:val="auto"/>
                <w:sz w:val="24"/>
                <w:szCs w:val="24"/>
                <w:lang w:eastAsia="zh-CN"/>
              </w:rPr>
              <w:t>。本项目环境管控单元编码ZH34040220006，为重点管控单元，本项目与有关的淮南市管控单元生态环境准入清单进行分析，详见下表。</w:t>
            </w:r>
          </w:p>
          <w:p w14:paraId="040B6F3C">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color w:val="0000FF"/>
              </w:rPr>
            </w:pPr>
          </w:p>
        </w:tc>
      </w:tr>
    </w:tbl>
    <w:p w14:paraId="11C1A1C8">
      <w:pPr>
        <w:spacing w:line="360" w:lineRule="auto"/>
        <w:outlineLvl w:val="0"/>
        <w:rPr>
          <w:rFonts w:hint="default" w:ascii="Times New Roman" w:hAnsi="Times New Roman" w:eastAsia="宋体" w:cs="Times New Roman"/>
          <w:color w:val="0000FF"/>
          <w:sz w:val="30"/>
        </w:rPr>
        <w:sectPr>
          <w:headerReference r:id="rId4" w:type="default"/>
          <w:footerReference r:id="rId5" w:type="default"/>
          <w:pgSz w:w="11906" w:h="16838"/>
          <w:pgMar w:top="1440" w:right="1440" w:bottom="1440" w:left="1440" w:header="851" w:footer="850" w:gutter="0"/>
          <w:pgBorders>
            <w:top w:val="none" w:sz="0" w:space="0"/>
            <w:left w:val="none" w:sz="0" w:space="0"/>
            <w:bottom w:val="none" w:sz="0" w:space="0"/>
            <w:right w:val="none" w:sz="0" w:space="0"/>
          </w:pgBorders>
          <w:pgNumType w:fmt="numberInDash" w:start="1"/>
          <w:cols w:space="720" w:num="1"/>
          <w:docGrid w:linePitch="312" w:charSpace="0"/>
        </w:sectPr>
      </w:pP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
        <w:gridCol w:w="13246"/>
      </w:tblGrid>
      <w:tr w14:paraId="7B35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7" w:hRule="atLeast"/>
          <w:jc w:val="center"/>
        </w:trPr>
        <w:tc>
          <w:tcPr>
            <w:tcW w:w="722" w:type="dxa"/>
            <w:noWrap w:val="0"/>
            <w:vAlign w:val="top"/>
          </w:tcPr>
          <w:p w14:paraId="5B33A853">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6A520598">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04D4BD2B">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4CC5E050">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2F4A018F">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49A4A71D">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0F1283C3">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7D18D1A0">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7F653022">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0993B975">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其他符合性分析</w:t>
            </w:r>
          </w:p>
          <w:p w14:paraId="1B5D4432">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6D38D8A5">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5F8039F8">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6699692D">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6D16AF84">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47A8EAAE">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0192044B">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054C636C">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678BAB28">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415A23EB">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4A8DFBC4">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171BB0A3">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017658BA">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45C34412">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667282E8">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0134A331">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5BC40B2E">
            <w:pPr>
              <w:keepNext w:val="0"/>
              <w:keepLines w:val="0"/>
              <w:suppressLineNumbers w:val="0"/>
              <w:autoSpaceDE w:val="0"/>
              <w:autoSpaceDN w:val="0"/>
              <w:adjustRightInd w:val="0"/>
              <w:snapToGrid w:val="0"/>
              <w:spacing w:before="0" w:beforeAutospacing="0" w:after="0" w:afterAutospacing="0" w:line="400" w:lineRule="exact"/>
              <w:ind w:left="0" w:right="0"/>
              <w:rPr>
                <w:rFonts w:hint="default" w:ascii="Times New Roman" w:hAnsi="Times New Roman" w:eastAsia="宋体" w:cs="Times New Roman"/>
                <w:b/>
                <w:bCs/>
                <w:color w:val="auto"/>
                <w:kern w:val="0"/>
                <w:sz w:val="24"/>
              </w:rPr>
            </w:pPr>
          </w:p>
          <w:p w14:paraId="5A386929">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7331DCFC">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其他符合性分析</w:t>
            </w:r>
          </w:p>
          <w:p w14:paraId="2E2C6198">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7FAA86FF">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68E35DD5">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2BDC7838">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58B45A87">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29535064">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114A6A2E">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0CB9C95D">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62A727D7">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63ECB330">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159434AA">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4F946CE4">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054B964B">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2518180D">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2711669F">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5BA0B12F">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6ED9BF82">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6EFE89A6">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4B83BBF8">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其他符合性分析</w:t>
            </w:r>
          </w:p>
          <w:p w14:paraId="29DEAC83">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2B2FF875">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314489FF">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1C7D5C74">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732399FC">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29B6346A">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3B2FE3A6">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bCs/>
                <w:color w:val="auto"/>
                <w:kern w:val="0"/>
                <w:sz w:val="24"/>
              </w:rPr>
            </w:pPr>
          </w:p>
          <w:p w14:paraId="3E8685F5">
            <w:pPr>
              <w:keepNext w:val="0"/>
              <w:keepLines w:val="0"/>
              <w:suppressLineNumbers w:val="0"/>
              <w:spacing w:before="0" w:beforeAutospacing="0" w:after="0" w:afterAutospacing="0" w:line="360" w:lineRule="auto"/>
              <w:ind w:left="0" w:right="0"/>
              <w:outlineLvl w:val="0"/>
              <w:rPr>
                <w:rFonts w:hint="default" w:ascii="Times New Roman" w:hAnsi="Times New Roman" w:eastAsia="宋体" w:cs="Times New Roman"/>
                <w:b/>
                <w:bCs/>
                <w:color w:val="auto"/>
                <w:sz w:val="30"/>
              </w:rPr>
            </w:pPr>
          </w:p>
        </w:tc>
        <w:tc>
          <w:tcPr>
            <w:tcW w:w="13246" w:type="dxa"/>
            <w:noWrap w:val="0"/>
            <w:vAlign w:val="top"/>
          </w:tcPr>
          <w:p w14:paraId="5C707A22">
            <w:pPr>
              <w:pStyle w:val="63"/>
              <w:keepNext w:val="0"/>
              <w:keepLines w:val="0"/>
              <w:suppressLineNumbers w:val="0"/>
              <w:bidi w:val="0"/>
              <w:spacing w:before="0" w:beforeAutospacing="0" w:after="0" w:afterAutospacing="0"/>
              <w:ind w:left="0" w:right="0"/>
              <w:rPr>
                <w:color w:val="auto"/>
                <w:lang w:eastAsia="zh-CN"/>
              </w:rPr>
            </w:pPr>
            <w:r>
              <w:rPr>
                <w:rFonts w:hint="eastAsia"/>
                <w:color w:val="auto"/>
                <w:lang w:eastAsia="zh-CN"/>
              </w:rPr>
              <w:t>表1-</w:t>
            </w:r>
            <w:r>
              <w:rPr>
                <w:rFonts w:hint="eastAsia"/>
                <w:color w:val="auto"/>
                <w:lang w:val="en-US" w:eastAsia="zh-CN"/>
              </w:rPr>
              <w:t>8</w:t>
            </w:r>
            <w:r>
              <w:rPr>
                <w:rFonts w:hint="eastAsia"/>
                <w:color w:val="auto"/>
                <w:lang w:eastAsia="zh-CN"/>
              </w:rPr>
              <w:t xml:space="preserve">  本项目与环境管控单元管控要求（</w:t>
            </w:r>
            <w:r>
              <w:rPr>
                <w:rFonts w:hint="eastAsia"/>
                <w:color w:val="auto"/>
                <w:lang w:val="en-US" w:eastAsia="zh-CN"/>
              </w:rPr>
              <w:t>节选</w:t>
            </w:r>
            <w:r>
              <w:rPr>
                <w:rFonts w:hint="eastAsia"/>
                <w:color w:val="auto"/>
                <w:lang w:eastAsia="zh-CN"/>
              </w:rPr>
              <w:t>）的符合性分析</w:t>
            </w:r>
          </w:p>
          <w:tbl>
            <w:tblPr>
              <w:tblStyle w:val="52"/>
              <w:tblW w:w="4995"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48"/>
              <w:gridCol w:w="669"/>
              <w:gridCol w:w="828"/>
              <w:gridCol w:w="6311"/>
              <w:gridCol w:w="3911"/>
              <w:gridCol w:w="640"/>
            </w:tblGrid>
            <w:tr w14:paraId="1F655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249" w:type="pct"/>
                  <w:tcBorders>
                    <w:tl2br w:val="nil"/>
                    <w:tr2bl w:val="nil"/>
                  </w:tcBorders>
                  <w:noWrap w:val="0"/>
                  <w:vAlign w:val="center"/>
                </w:tcPr>
                <w:p w14:paraId="4950A649">
                  <w:pPr>
                    <w:keepNext w:val="0"/>
                    <w:keepLines w:val="0"/>
                    <w:suppressLineNumbers w:val="0"/>
                    <w:autoSpaceDE w:val="0"/>
                    <w:autoSpaceDN w:val="0"/>
                    <w:spacing w:before="0" w:beforeAutospacing="0" w:after="0" w:afterAutospacing="0"/>
                    <w:ind w:left="0" w:right="0"/>
                    <w:jc w:val="center"/>
                    <w:rPr>
                      <w:rFonts w:hint="default" w:ascii="Times New Roman" w:hAnsi="Times New Roman"/>
                      <w:b/>
                      <w:color w:val="auto"/>
                      <w:sz w:val="21"/>
                      <w:szCs w:val="21"/>
                    </w:rPr>
                  </w:pPr>
                  <w:r>
                    <w:rPr>
                      <w:rFonts w:hint="default" w:ascii="Times New Roman" w:hAnsi="Times New Roman"/>
                      <w:b/>
                      <w:color w:val="auto"/>
                      <w:sz w:val="21"/>
                      <w:szCs w:val="21"/>
                    </w:rPr>
                    <w:t>环境管控单元</w:t>
                  </w:r>
                </w:p>
              </w:tc>
              <w:tc>
                <w:tcPr>
                  <w:tcW w:w="257" w:type="pct"/>
                  <w:tcBorders>
                    <w:tl2br w:val="nil"/>
                    <w:tr2bl w:val="nil"/>
                  </w:tcBorders>
                  <w:noWrap w:val="0"/>
                  <w:vAlign w:val="center"/>
                </w:tcPr>
                <w:p w14:paraId="5C0C579B">
                  <w:pPr>
                    <w:keepNext w:val="0"/>
                    <w:keepLines w:val="0"/>
                    <w:suppressLineNumbers w:val="0"/>
                    <w:autoSpaceDE w:val="0"/>
                    <w:autoSpaceDN w:val="0"/>
                    <w:spacing w:before="0" w:beforeAutospacing="0" w:after="0" w:afterAutospacing="0"/>
                    <w:ind w:left="0" w:right="0"/>
                    <w:jc w:val="center"/>
                    <w:rPr>
                      <w:rFonts w:hint="default" w:ascii="Times New Roman" w:hAnsi="Times New Roman"/>
                      <w:b/>
                      <w:color w:val="auto"/>
                      <w:sz w:val="21"/>
                      <w:szCs w:val="21"/>
                    </w:rPr>
                  </w:pPr>
                  <w:r>
                    <w:rPr>
                      <w:rFonts w:hint="default" w:ascii="Times New Roman" w:hAnsi="Times New Roman"/>
                      <w:b/>
                      <w:color w:val="auto"/>
                      <w:sz w:val="21"/>
                      <w:szCs w:val="21"/>
                    </w:rPr>
                    <w:t>区域</w:t>
                  </w:r>
                  <w:r>
                    <w:rPr>
                      <w:rFonts w:hint="eastAsia" w:ascii="Times New Roman" w:hAnsi="Times New Roman"/>
                      <w:b/>
                      <w:color w:val="auto"/>
                      <w:sz w:val="21"/>
                      <w:szCs w:val="21"/>
                    </w:rPr>
                    <w:t>管控</w:t>
                  </w:r>
                  <w:r>
                    <w:rPr>
                      <w:rFonts w:hint="default" w:ascii="Times New Roman" w:hAnsi="Times New Roman"/>
                      <w:b/>
                      <w:color w:val="auto"/>
                      <w:sz w:val="21"/>
                      <w:szCs w:val="21"/>
                    </w:rPr>
                    <w:t>要求</w:t>
                  </w:r>
                </w:p>
              </w:tc>
              <w:tc>
                <w:tcPr>
                  <w:tcW w:w="318" w:type="pct"/>
                  <w:tcBorders>
                    <w:tl2br w:val="nil"/>
                    <w:tr2bl w:val="nil"/>
                  </w:tcBorders>
                  <w:noWrap w:val="0"/>
                  <w:vAlign w:val="center"/>
                </w:tcPr>
                <w:p w14:paraId="18FE9501">
                  <w:pPr>
                    <w:keepNext w:val="0"/>
                    <w:keepLines w:val="0"/>
                    <w:pageBreakBefore w:val="0"/>
                    <w:widowControl w:val="0"/>
                    <w:suppressLineNumbers w:val="0"/>
                    <w:kinsoku/>
                    <w:wordWrap/>
                    <w:overflowPunct/>
                    <w:topLinePunct w:val="0"/>
                    <w:bidi w:val="0"/>
                    <w:adjustRightInd/>
                    <w:snapToGrid/>
                    <w:spacing w:before="0" w:beforeAutospacing="0" w:after="0" w:afterAutospacing="0"/>
                    <w:ind w:left="-42" w:leftChars="-20" w:right="-42" w:rightChars="-20"/>
                    <w:jc w:val="center"/>
                    <w:textAlignment w:val="auto"/>
                    <w:rPr>
                      <w:rFonts w:hint="default" w:ascii="Times New Roman" w:hAnsi="Times New Roman"/>
                      <w:b/>
                      <w:color w:val="auto"/>
                      <w:sz w:val="21"/>
                      <w:szCs w:val="21"/>
                    </w:rPr>
                  </w:pPr>
                  <w:r>
                    <w:rPr>
                      <w:rFonts w:hint="default" w:ascii="Times New Roman" w:hAnsi="Times New Roman"/>
                      <w:b/>
                      <w:color w:val="auto"/>
                      <w:sz w:val="21"/>
                      <w:szCs w:val="21"/>
                    </w:rPr>
                    <w:t>管控类别</w:t>
                  </w:r>
                </w:p>
              </w:tc>
              <w:tc>
                <w:tcPr>
                  <w:tcW w:w="2425" w:type="pct"/>
                  <w:tcBorders>
                    <w:tl2br w:val="nil"/>
                    <w:tr2bl w:val="nil"/>
                  </w:tcBorders>
                  <w:noWrap w:val="0"/>
                  <w:vAlign w:val="center"/>
                </w:tcPr>
                <w:p w14:paraId="30E11DDD">
                  <w:pPr>
                    <w:keepNext w:val="0"/>
                    <w:keepLines w:val="0"/>
                    <w:suppressLineNumbers w:val="0"/>
                    <w:autoSpaceDE w:val="0"/>
                    <w:autoSpaceDN w:val="0"/>
                    <w:spacing w:before="0" w:beforeAutospacing="0" w:after="0" w:afterAutospacing="0"/>
                    <w:ind w:left="0" w:right="0"/>
                    <w:jc w:val="center"/>
                    <w:rPr>
                      <w:rFonts w:hint="default" w:ascii="Times New Roman" w:hAnsi="Times New Roman"/>
                      <w:b/>
                      <w:color w:val="auto"/>
                      <w:sz w:val="21"/>
                      <w:szCs w:val="21"/>
                    </w:rPr>
                  </w:pPr>
                  <w:r>
                    <w:rPr>
                      <w:rFonts w:hint="default" w:ascii="Times New Roman" w:hAnsi="Times New Roman"/>
                      <w:b/>
                      <w:color w:val="auto"/>
                      <w:sz w:val="21"/>
                      <w:szCs w:val="21"/>
                    </w:rPr>
                    <w:t>管控要求</w:t>
                  </w:r>
                </w:p>
              </w:tc>
              <w:tc>
                <w:tcPr>
                  <w:tcW w:w="1503" w:type="pct"/>
                  <w:tcBorders>
                    <w:tl2br w:val="nil"/>
                    <w:tr2bl w:val="nil"/>
                  </w:tcBorders>
                  <w:noWrap w:val="0"/>
                  <w:vAlign w:val="center"/>
                </w:tcPr>
                <w:p w14:paraId="091AF8C9">
                  <w:pPr>
                    <w:keepNext w:val="0"/>
                    <w:keepLines w:val="0"/>
                    <w:suppressLineNumbers w:val="0"/>
                    <w:autoSpaceDE w:val="0"/>
                    <w:autoSpaceDN w:val="0"/>
                    <w:spacing w:before="0" w:beforeAutospacing="0" w:after="0" w:afterAutospacing="0"/>
                    <w:ind w:left="0" w:right="0"/>
                    <w:jc w:val="center"/>
                    <w:rPr>
                      <w:rFonts w:hint="default" w:ascii="Times New Roman" w:hAnsi="Times New Roman"/>
                      <w:b/>
                      <w:color w:val="auto"/>
                      <w:sz w:val="21"/>
                      <w:szCs w:val="21"/>
                    </w:rPr>
                  </w:pPr>
                  <w:r>
                    <w:rPr>
                      <w:rFonts w:hint="default" w:ascii="Times New Roman" w:hAnsi="Times New Roman"/>
                      <w:b/>
                      <w:color w:val="auto"/>
                      <w:sz w:val="21"/>
                      <w:szCs w:val="21"/>
                    </w:rPr>
                    <w:t>协调性分析</w:t>
                  </w:r>
                </w:p>
              </w:tc>
              <w:tc>
                <w:tcPr>
                  <w:tcW w:w="246" w:type="pct"/>
                  <w:tcBorders>
                    <w:tl2br w:val="nil"/>
                    <w:tr2bl w:val="nil"/>
                  </w:tcBorders>
                  <w:noWrap w:val="0"/>
                  <w:vAlign w:val="center"/>
                </w:tcPr>
                <w:p w14:paraId="6DCA6C2E">
                  <w:pPr>
                    <w:keepNext w:val="0"/>
                    <w:keepLines w:val="0"/>
                    <w:suppressLineNumbers w:val="0"/>
                    <w:autoSpaceDE w:val="0"/>
                    <w:autoSpaceDN w:val="0"/>
                    <w:spacing w:before="0" w:beforeAutospacing="0" w:after="0" w:afterAutospacing="0"/>
                    <w:ind w:left="0" w:right="0"/>
                    <w:jc w:val="center"/>
                    <w:rPr>
                      <w:rFonts w:hint="default" w:ascii="Times New Roman" w:hAnsi="Times New Roman"/>
                      <w:b/>
                      <w:color w:val="auto"/>
                      <w:sz w:val="21"/>
                      <w:szCs w:val="21"/>
                    </w:rPr>
                  </w:pPr>
                  <w:r>
                    <w:rPr>
                      <w:rFonts w:hint="default" w:ascii="Times New Roman" w:hAnsi="Times New Roman"/>
                      <w:b/>
                      <w:color w:val="auto"/>
                      <w:sz w:val="21"/>
                      <w:szCs w:val="21"/>
                    </w:rPr>
                    <w:t>符合性分析</w:t>
                  </w:r>
                </w:p>
              </w:tc>
            </w:tr>
            <w:tr w14:paraId="68887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249" w:type="pct"/>
                  <w:vMerge w:val="restart"/>
                  <w:tcBorders>
                    <w:tl2br w:val="nil"/>
                    <w:tr2bl w:val="nil"/>
                  </w:tcBorders>
                  <w:noWrap w:val="0"/>
                  <w:vAlign w:val="center"/>
                </w:tcPr>
                <w:p w14:paraId="5EFB2BA1">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z w:val="21"/>
                      <w:szCs w:val="21"/>
                    </w:rPr>
                  </w:pPr>
                  <w:r>
                    <w:rPr>
                      <w:rFonts w:hint="default" w:ascii="Times New Roman" w:hAnsi="Times New Roman"/>
                      <w:color w:val="auto"/>
                      <w:sz w:val="21"/>
                      <w:szCs w:val="21"/>
                    </w:rPr>
                    <w:t>重点管控单元</w:t>
                  </w:r>
                </w:p>
              </w:tc>
              <w:tc>
                <w:tcPr>
                  <w:tcW w:w="257" w:type="pct"/>
                  <w:vMerge w:val="restart"/>
                  <w:tcBorders>
                    <w:tl2br w:val="nil"/>
                    <w:tr2bl w:val="nil"/>
                  </w:tcBorders>
                  <w:noWrap w:val="0"/>
                  <w:vAlign w:val="center"/>
                </w:tcPr>
                <w:p w14:paraId="08BF3B68">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z w:val="21"/>
                      <w:szCs w:val="21"/>
                      <w:lang w:eastAsia="zh-CN"/>
                    </w:rPr>
                  </w:pPr>
                  <w:r>
                    <w:rPr>
                      <w:rFonts w:hint="eastAsia" w:ascii="Times New Roman" w:hAnsi="Times New Roman"/>
                      <w:color w:val="auto"/>
                      <w:sz w:val="21"/>
                      <w:szCs w:val="21"/>
                      <w:lang w:eastAsia="zh-CN"/>
                    </w:rPr>
                    <w:t>无</w:t>
                  </w:r>
                </w:p>
              </w:tc>
              <w:tc>
                <w:tcPr>
                  <w:tcW w:w="318" w:type="pct"/>
                  <w:vMerge w:val="restart"/>
                  <w:tcBorders>
                    <w:tl2br w:val="nil"/>
                    <w:tr2bl w:val="nil"/>
                  </w:tcBorders>
                  <w:noWrap w:val="0"/>
                  <w:vAlign w:val="center"/>
                </w:tcPr>
                <w:p w14:paraId="2213272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42" w:leftChars="-20" w:right="-42" w:rightChars="-20"/>
                    <w:jc w:val="center"/>
                    <w:textAlignment w:val="auto"/>
                    <w:rPr>
                      <w:rFonts w:hint="default" w:ascii="Times New Roman" w:hAnsi="Times New Roman"/>
                      <w:color w:val="auto"/>
                      <w:sz w:val="21"/>
                      <w:szCs w:val="21"/>
                    </w:rPr>
                  </w:pPr>
                  <w:r>
                    <w:rPr>
                      <w:rFonts w:hint="default" w:ascii="Times New Roman" w:hAnsi="Times New Roman"/>
                      <w:color w:val="auto"/>
                      <w:sz w:val="21"/>
                      <w:szCs w:val="21"/>
                    </w:rPr>
                    <w:t>空间布局约束</w:t>
                  </w:r>
                </w:p>
              </w:tc>
              <w:tc>
                <w:tcPr>
                  <w:tcW w:w="2425" w:type="pct"/>
                  <w:tcBorders>
                    <w:tl2br w:val="nil"/>
                    <w:tr2bl w:val="nil"/>
                  </w:tcBorders>
                  <w:noWrap w:val="0"/>
                  <w:vAlign w:val="center"/>
                </w:tcPr>
                <w:p w14:paraId="5B1A76FE">
                  <w:pPr>
                    <w:keepNext w:val="0"/>
                    <w:keepLines w:val="0"/>
                    <w:suppressLineNumbers w:val="0"/>
                    <w:autoSpaceDE w:val="0"/>
                    <w:autoSpaceDN w:val="0"/>
                    <w:spacing w:before="0" w:beforeAutospacing="0" w:after="0" w:afterAutospacing="0"/>
                    <w:ind w:left="0" w:right="0"/>
                    <w:rPr>
                      <w:rFonts w:hint="default" w:ascii="Times New Roman" w:hAnsi="Times New Roman"/>
                      <w:color w:val="auto"/>
                      <w:sz w:val="21"/>
                      <w:szCs w:val="21"/>
                      <w:lang w:eastAsia="zh-CN"/>
                    </w:rPr>
                  </w:pPr>
                  <w:r>
                    <w:rPr>
                      <w:rFonts w:hint="eastAsia" w:ascii="Times New Roman" w:hAnsi="Times New Roman"/>
                      <w:color w:val="auto"/>
                      <w:sz w:val="21"/>
                      <w:szCs w:val="21"/>
                      <w:lang w:eastAsia="zh-CN"/>
                    </w:rPr>
                    <w:t>9严格控制新增“两高”项目审批，认真分析评估拟建项目必要性、可行性和对产业高质量发展、能耗双控、碳排放和环境质量的影响，严格审查项目是否符合产业政策、产业规划、规划环评要求，是否“三线一单”依法依规落实产能置换、能耗置换、煤炭消费减量替代、污染物排放区域削减等要求。对已建成投产的存量“两高”项目，有节能减排潜力的加快改造升级，属于落后产能的加快淘汰。</w:t>
                  </w:r>
                </w:p>
              </w:tc>
              <w:tc>
                <w:tcPr>
                  <w:tcW w:w="1503" w:type="pct"/>
                  <w:tcBorders>
                    <w:tl2br w:val="nil"/>
                    <w:tr2bl w:val="nil"/>
                  </w:tcBorders>
                  <w:noWrap w:val="0"/>
                  <w:vAlign w:val="center"/>
                </w:tcPr>
                <w:p w14:paraId="34B71F28">
                  <w:pPr>
                    <w:keepNext w:val="0"/>
                    <w:keepLines w:val="0"/>
                    <w:suppressLineNumbers w:val="0"/>
                    <w:autoSpaceDE w:val="0"/>
                    <w:autoSpaceDN w:val="0"/>
                    <w:spacing w:before="0" w:beforeAutospacing="0" w:after="0" w:afterAutospacing="0"/>
                    <w:ind w:left="0" w:right="0"/>
                    <w:jc w:val="both"/>
                    <w:rPr>
                      <w:rFonts w:hint="default" w:ascii="Times New Roman" w:hAnsi="Times New Roman"/>
                      <w:color w:val="auto"/>
                      <w:sz w:val="21"/>
                      <w:szCs w:val="21"/>
                      <w:lang w:eastAsia="zh-CN"/>
                    </w:rPr>
                  </w:pPr>
                  <w:r>
                    <w:rPr>
                      <w:rFonts w:hint="default" w:ascii="Times New Roman" w:hAnsi="Times New Roman"/>
                      <w:color w:val="auto"/>
                      <w:sz w:val="21"/>
                      <w:szCs w:val="21"/>
                      <w:lang w:eastAsia="zh-CN"/>
                    </w:rPr>
                    <w:t>本项目属于</w:t>
                  </w:r>
                  <w:r>
                    <w:rPr>
                      <w:rFonts w:hint="default" w:ascii="Times New Roman" w:hAnsi="Times New Roman" w:eastAsia="宋体" w:cs="Times New Roman"/>
                      <w:color w:val="auto"/>
                      <w:sz w:val="21"/>
                      <w:szCs w:val="21"/>
                      <w:lang w:val="en-US" w:eastAsia="zh-CN"/>
                    </w:rPr>
                    <w:t>C</w:t>
                  </w:r>
                  <w:r>
                    <w:rPr>
                      <w:rFonts w:hint="eastAsia" w:ascii="Times New Roman" w:hAnsi="Times New Roman" w:cs="Times New Roman"/>
                      <w:color w:val="auto"/>
                      <w:sz w:val="21"/>
                      <w:szCs w:val="21"/>
                      <w:lang w:val="en-US" w:eastAsia="zh-CN"/>
                    </w:rPr>
                    <w:t>3360金属表面处理及热处理加工</w:t>
                  </w:r>
                  <w:r>
                    <w:rPr>
                      <w:rFonts w:hint="default" w:ascii="Times New Roman" w:hAnsi="Times New Roman"/>
                      <w:color w:val="auto"/>
                      <w:sz w:val="21"/>
                      <w:szCs w:val="21"/>
                      <w:lang w:eastAsia="zh-CN"/>
                    </w:rPr>
                    <w:t>，查阅《产业结构调整指导目录（2024年本）》，本项目不属于限制类或淘汰类项目，视为允许</w:t>
                  </w:r>
                  <w:r>
                    <w:rPr>
                      <w:rFonts w:hint="eastAsia" w:ascii="Times New Roman" w:hAnsi="Times New Roman"/>
                      <w:color w:val="auto"/>
                      <w:sz w:val="21"/>
                      <w:szCs w:val="21"/>
                      <w:lang w:eastAsia="zh-CN"/>
                    </w:rPr>
                    <w:t>建设</w:t>
                  </w:r>
                  <w:r>
                    <w:rPr>
                      <w:rFonts w:hint="default" w:ascii="Times New Roman" w:hAnsi="Times New Roman"/>
                      <w:color w:val="auto"/>
                      <w:sz w:val="21"/>
                      <w:szCs w:val="21"/>
                      <w:lang w:eastAsia="zh-CN"/>
                    </w:rPr>
                    <w:t>项目，本项目建设符合国家产业政策要求。对照《安徽省“两高”项目管理目录（试行）》，本项目不属于高耗能、高排放项目。本项目符合相关产业政策、产业规划、“三线一单”、规划环评要求。</w:t>
                  </w:r>
                </w:p>
              </w:tc>
              <w:tc>
                <w:tcPr>
                  <w:tcW w:w="246" w:type="pct"/>
                  <w:tcBorders>
                    <w:tl2br w:val="nil"/>
                    <w:tr2bl w:val="nil"/>
                  </w:tcBorders>
                  <w:noWrap w:val="0"/>
                  <w:vAlign w:val="center"/>
                </w:tcPr>
                <w:p w14:paraId="4584EEDA">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z w:val="21"/>
                      <w:szCs w:val="21"/>
                    </w:rPr>
                  </w:pPr>
                  <w:r>
                    <w:rPr>
                      <w:rFonts w:hint="default" w:ascii="Times New Roman" w:hAnsi="Times New Roman"/>
                      <w:color w:val="auto"/>
                      <w:sz w:val="21"/>
                      <w:szCs w:val="21"/>
                    </w:rPr>
                    <w:t>符合</w:t>
                  </w:r>
                </w:p>
              </w:tc>
            </w:tr>
            <w:tr w14:paraId="66D99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249" w:type="pct"/>
                  <w:vMerge w:val="continue"/>
                  <w:tcBorders>
                    <w:tl2br w:val="nil"/>
                    <w:tr2bl w:val="nil"/>
                  </w:tcBorders>
                  <w:noWrap w:val="0"/>
                  <w:vAlign w:val="center"/>
                </w:tcPr>
                <w:p w14:paraId="4A306142">
                  <w:pPr>
                    <w:keepNext w:val="0"/>
                    <w:keepLines w:val="0"/>
                    <w:suppressLineNumbers w:val="0"/>
                    <w:autoSpaceDE w:val="0"/>
                    <w:autoSpaceDN w:val="0"/>
                    <w:spacing w:before="0" w:beforeAutospacing="0" w:after="0" w:afterAutospacing="0"/>
                    <w:ind w:left="0" w:right="0"/>
                    <w:rPr>
                      <w:rFonts w:hint="default" w:ascii="Times New Roman" w:hAnsi="Times New Roman"/>
                      <w:color w:val="auto"/>
                      <w:sz w:val="21"/>
                      <w:szCs w:val="21"/>
                    </w:rPr>
                  </w:pPr>
                </w:p>
              </w:tc>
              <w:tc>
                <w:tcPr>
                  <w:tcW w:w="257" w:type="pct"/>
                  <w:vMerge w:val="continue"/>
                  <w:tcBorders>
                    <w:tl2br w:val="nil"/>
                    <w:tr2bl w:val="nil"/>
                  </w:tcBorders>
                  <w:noWrap w:val="0"/>
                  <w:vAlign w:val="center"/>
                </w:tcPr>
                <w:p w14:paraId="4D8BFA8D">
                  <w:pPr>
                    <w:keepNext w:val="0"/>
                    <w:keepLines w:val="0"/>
                    <w:suppressLineNumbers w:val="0"/>
                    <w:autoSpaceDE w:val="0"/>
                    <w:autoSpaceDN w:val="0"/>
                    <w:spacing w:before="0" w:beforeAutospacing="0" w:after="0" w:afterAutospacing="0"/>
                    <w:ind w:left="0" w:right="0"/>
                    <w:rPr>
                      <w:rFonts w:hint="default" w:ascii="Times New Roman" w:hAnsi="Times New Roman"/>
                      <w:color w:val="auto"/>
                      <w:sz w:val="21"/>
                      <w:szCs w:val="21"/>
                    </w:rPr>
                  </w:pPr>
                </w:p>
              </w:tc>
              <w:tc>
                <w:tcPr>
                  <w:tcW w:w="318" w:type="pct"/>
                  <w:vMerge w:val="continue"/>
                  <w:tcBorders>
                    <w:tl2br w:val="nil"/>
                    <w:tr2bl w:val="nil"/>
                  </w:tcBorders>
                  <w:noWrap w:val="0"/>
                  <w:vAlign w:val="center"/>
                </w:tcPr>
                <w:p w14:paraId="5445EB2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42" w:leftChars="-20" w:right="-42" w:rightChars="-20"/>
                    <w:textAlignment w:val="auto"/>
                    <w:rPr>
                      <w:rFonts w:hint="default" w:ascii="Times New Roman" w:hAnsi="Times New Roman"/>
                      <w:color w:val="auto"/>
                      <w:sz w:val="21"/>
                      <w:szCs w:val="21"/>
                    </w:rPr>
                  </w:pPr>
                </w:p>
              </w:tc>
              <w:tc>
                <w:tcPr>
                  <w:tcW w:w="2425" w:type="pct"/>
                  <w:tcBorders>
                    <w:tl2br w:val="nil"/>
                    <w:tr2bl w:val="nil"/>
                  </w:tcBorders>
                  <w:noWrap w:val="0"/>
                  <w:vAlign w:val="center"/>
                </w:tcPr>
                <w:p w14:paraId="026D8371">
                  <w:pPr>
                    <w:keepNext w:val="0"/>
                    <w:keepLines w:val="0"/>
                    <w:suppressLineNumbers w:val="0"/>
                    <w:autoSpaceDE w:val="0"/>
                    <w:autoSpaceDN w:val="0"/>
                    <w:spacing w:before="0" w:beforeAutospacing="0" w:after="0" w:afterAutospacing="0"/>
                    <w:ind w:left="0" w:right="0"/>
                    <w:rPr>
                      <w:rFonts w:hint="default" w:ascii="Times New Roman" w:hAnsi="Times New Roman"/>
                      <w:color w:val="auto"/>
                      <w:sz w:val="21"/>
                      <w:szCs w:val="21"/>
                      <w:lang w:eastAsia="zh-CN"/>
                    </w:rPr>
                  </w:pPr>
                  <w:r>
                    <w:rPr>
                      <w:rFonts w:hint="default" w:ascii="Times New Roman" w:hAnsi="Times New Roman"/>
                      <w:color w:val="auto"/>
                      <w:sz w:val="21"/>
                      <w:szCs w:val="21"/>
                      <w:lang w:eastAsia="zh-CN"/>
                    </w:rPr>
                    <w:t>10禁止建设生产和使用高挥发性有机物含量涂料、油墨、胶粘剂、清洗剂等项目。11禁止新建不符合国家规定的燃煤发电机组、燃油发电机组和燃煤热电机组。12禁止新建、扩建分散燃煤供热锅炉。13在城市规划区内禁止新建、扩建大气污染严重的建设项目</w:t>
                  </w:r>
                </w:p>
              </w:tc>
              <w:tc>
                <w:tcPr>
                  <w:tcW w:w="1503" w:type="pct"/>
                  <w:tcBorders>
                    <w:tl2br w:val="nil"/>
                    <w:tr2bl w:val="nil"/>
                  </w:tcBorders>
                  <w:noWrap w:val="0"/>
                  <w:vAlign w:val="center"/>
                </w:tcPr>
                <w:p w14:paraId="725EAEED">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z w:val="21"/>
                      <w:szCs w:val="21"/>
                      <w:lang w:eastAsia="zh-CN"/>
                    </w:rPr>
                  </w:pPr>
                  <w:r>
                    <w:rPr>
                      <w:rFonts w:hint="default" w:ascii="Times New Roman" w:hAnsi="Times New Roman"/>
                      <w:color w:val="auto"/>
                      <w:sz w:val="21"/>
                      <w:szCs w:val="21"/>
                      <w:lang w:eastAsia="zh-CN"/>
                    </w:rPr>
                    <w:t>本项目使用</w:t>
                  </w:r>
                  <w:r>
                    <w:rPr>
                      <w:rFonts w:hint="eastAsia" w:ascii="Times New Roman" w:hAnsi="Times New Roman"/>
                      <w:color w:val="auto"/>
                      <w:sz w:val="21"/>
                      <w:szCs w:val="21"/>
                      <w:lang w:val="en-US" w:eastAsia="zh-CN"/>
                    </w:rPr>
                    <w:t>淬火油</w:t>
                  </w:r>
                  <w:r>
                    <w:rPr>
                      <w:rFonts w:hint="eastAsia" w:ascii="Times New Roman" w:hAnsi="Times New Roman"/>
                      <w:color w:val="auto"/>
                      <w:sz w:val="21"/>
                      <w:szCs w:val="21"/>
                      <w:lang w:eastAsia="zh-CN"/>
                    </w:rPr>
                    <w:t>，为</w:t>
                  </w:r>
                  <w:r>
                    <w:rPr>
                      <w:rFonts w:hint="default" w:ascii="Times New Roman" w:hAnsi="Times New Roman"/>
                      <w:color w:val="auto"/>
                      <w:sz w:val="21"/>
                      <w:szCs w:val="21"/>
                      <w:lang w:eastAsia="zh-CN"/>
                    </w:rPr>
                    <w:t>低挥发性；本项目不新建不符合国家规定的燃煤发电机组、燃油发电机组和燃煤热电机组；本项目不属于大气污染严重的建设项目。</w:t>
                  </w:r>
                </w:p>
              </w:tc>
              <w:tc>
                <w:tcPr>
                  <w:tcW w:w="246" w:type="pct"/>
                  <w:tcBorders>
                    <w:tl2br w:val="nil"/>
                    <w:tr2bl w:val="nil"/>
                  </w:tcBorders>
                  <w:noWrap w:val="0"/>
                  <w:vAlign w:val="center"/>
                </w:tcPr>
                <w:p w14:paraId="3274C79F">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z w:val="21"/>
                      <w:szCs w:val="21"/>
                    </w:rPr>
                  </w:pPr>
                  <w:r>
                    <w:rPr>
                      <w:rFonts w:hint="default" w:ascii="Times New Roman" w:hAnsi="Times New Roman"/>
                      <w:color w:val="auto"/>
                      <w:sz w:val="21"/>
                      <w:szCs w:val="21"/>
                    </w:rPr>
                    <w:t>符合</w:t>
                  </w:r>
                </w:p>
              </w:tc>
            </w:tr>
            <w:tr w14:paraId="73EDD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249" w:type="pct"/>
                  <w:vMerge w:val="continue"/>
                  <w:tcBorders>
                    <w:tl2br w:val="nil"/>
                    <w:tr2bl w:val="nil"/>
                  </w:tcBorders>
                  <w:noWrap w:val="0"/>
                  <w:vAlign w:val="center"/>
                </w:tcPr>
                <w:p w14:paraId="068CE707">
                  <w:pPr>
                    <w:keepNext w:val="0"/>
                    <w:keepLines w:val="0"/>
                    <w:suppressLineNumbers w:val="0"/>
                    <w:autoSpaceDE w:val="0"/>
                    <w:autoSpaceDN w:val="0"/>
                    <w:spacing w:before="0" w:beforeAutospacing="0" w:after="0" w:afterAutospacing="0"/>
                    <w:ind w:left="0" w:right="0"/>
                    <w:rPr>
                      <w:rFonts w:hint="default" w:ascii="Times New Roman" w:hAnsi="Times New Roman"/>
                      <w:color w:val="auto"/>
                      <w:sz w:val="21"/>
                      <w:szCs w:val="21"/>
                    </w:rPr>
                  </w:pPr>
                </w:p>
              </w:tc>
              <w:tc>
                <w:tcPr>
                  <w:tcW w:w="257" w:type="pct"/>
                  <w:vMerge w:val="continue"/>
                  <w:tcBorders>
                    <w:tl2br w:val="nil"/>
                    <w:tr2bl w:val="nil"/>
                  </w:tcBorders>
                  <w:noWrap w:val="0"/>
                  <w:vAlign w:val="center"/>
                </w:tcPr>
                <w:p w14:paraId="7DC54D45">
                  <w:pPr>
                    <w:keepNext w:val="0"/>
                    <w:keepLines w:val="0"/>
                    <w:suppressLineNumbers w:val="0"/>
                    <w:autoSpaceDE w:val="0"/>
                    <w:autoSpaceDN w:val="0"/>
                    <w:spacing w:before="0" w:beforeAutospacing="0" w:after="0" w:afterAutospacing="0"/>
                    <w:ind w:left="0" w:right="0"/>
                    <w:rPr>
                      <w:rFonts w:hint="default" w:ascii="Times New Roman" w:hAnsi="Times New Roman"/>
                      <w:color w:val="auto"/>
                      <w:sz w:val="21"/>
                      <w:szCs w:val="21"/>
                    </w:rPr>
                  </w:pPr>
                </w:p>
              </w:tc>
              <w:tc>
                <w:tcPr>
                  <w:tcW w:w="318" w:type="pct"/>
                  <w:vMerge w:val="continue"/>
                  <w:tcBorders>
                    <w:tl2br w:val="nil"/>
                    <w:tr2bl w:val="nil"/>
                  </w:tcBorders>
                  <w:noWrap w:val="0"/>
                  <w:vAlign w:val="center"/>
                </w:tcPr>
                <w:p w14:paraId="2315349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42" w:leftChars="-20" w:right="-42" w:rightChars="-20"/>
                    <w:textAlignment w:val="auto"/>
                    <w:rPr>
                      <w:rFonts w:hint="default" w:ascii="Times New Roman" w:hAnsi="Times New Roman"/>
                      <w:color w:val="auto"/>
                      <w:sz w:val="21"/>
                      <w:szCs w:val="21"/>
                    </w:rPr>
                  </w:pPr>
                </w:p>
              </w:tc>
              <w:tc>
                <w:tcPr>
                  <w:tcW w:w="2425" w:type="pct"/>
                  <w:tcBorders>
                    <w:tl2br w:val="nil"/>
                    <w:tr2bl w:val="nil"/>
                  </w:tcBorders>
                  <w:noWrap w:val="0"/>
                  <w:vAlign w:val="center"/>
                </w:tcPr>
                <w:p w14:paraId="366546DB">
                  <w:pPr>
                    <w:keepNext w:val="0"/>
                    <w:keepLines w:val="0"/>
                    <w:suppressLineNumbers w:val="0"/>
                    <w:autoSpaceDE w:val="0"/>
                    <w:autoSpaceDN w:val="0"/>
                    <w:spacing w:before="0" w:beforeAutospacing="0" w:after="0" w:afterAutospacing="0"/>
                    <w:ind w:left="0" w:right="0"/>
                    <w:rPr>
                      <w:rFonts w:hint="default" w:ascii="Times New Roman" w:hAnsi="Times New Roman"/>
                      <w:color w:val="auto"/>
                      <w:sz w:val="21"/>
                      <w:szCs w:val="21"/>
                      <w:lang w:eastAsia="zh-CN"/>
                    </w:rPr>
                  </w:pPr>
                  <w:r>
                    <w:rPr>
                      <w:rFonts w:hint="default" w:ascii="Times New Roman" w:hAnsi="Times New Roman"/>
                      <w:color w:val="auto"/>
                      <w:sz w:val="21"/>
                      <w:szCs w:val="21"/>
                      <w:lang w:eastAsia="zh-CN"/>
                    </w:rPr>
                    <w:t>16在燃气管网和集中供热管网覆盖的区域，不得新建、扩建、改建燃烧煤炭、重油、渣油的供热设施；原有分散的中小型燃煤供热锅炉应当限期拆除</w:t>
                  </w:r>
                </w:p>
              </w:tc>
              <w:tc>
                <w:tcPr>
                  <w:tcW w:w="1503" w:type="pct"/>
                  <w:tcBorders>
                    <w:tl2br w:val="nil"/>
                    <w:tr2bl w:val="nil"/>
                  </w:tcBorders>
                  <w:noWrap w:val="0"/>
                  <w:vAlign w:val="center"/>
                </w:tcPr>
                <w:p w14:paraId="04CCFD49">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z w:val="21"/>
                      <w:szCs w:val="21"/>
                      <w:lang w:eastAsia="zh-CN"/>
                    </w:rPr>
                  </w:pPr>
                  <w:r>
                    <w:rPr>
                      <w:rFonts w:hint="default" w:ascii="Times New Roman" w:hAnsi="Times New Roman"/>
                      <w:color w:val="auto"/>
                      <w:sz w:val="21"/>
                      <w:szCs w:val="21"/>
                      <w:lang w:eastAsia="zh-CN"/>
                    </w:rPr>
                    <w:t>本项目不涉及使用燃烧煤炭、重油、渣油的供热设施。</w:t>
                  </w:r>
                </w:p>
              </w:tc>
              <w:tc>
                <w:tcPr>
                  <w:tcW w:w="246" w:type="pct"/>
                  <w:tcBorders>
                    <w:tl2br w:val="nil"/>
                    <w:tr2bl w:val="nil"/>
                  </w:tcBorders>
                  <w:noWrap w:val="0"/>
                  <w:vAlign w:val="center"/>
                </w:tcPr>
                <w:p w14:paraId="27D3567B">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z w:val="21"/>
                      <w:szCs w:val="21"/>
                    </w:rPr>
                  </w:pPr>
                  <w:r>
                    <w:rPr>
                      <w:rFonts w:hint="default" w:ascii="Times New Roman" w:hAnsi="Times New Roman"/>
                      <w:color w:val="auto"/>
                      <w:sz w:val="21"/>
                      <w:szCs w:val="21"/>
                    </w:rPr>
                    <w:t>符合</w:t>
                  </w:r>
                </w:p>
              </w:tc>
            </w:tr>
            <w:tr w14:paraId="38132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249" w:type="pct"/>
                  <w:vMerge w:val="continue"/>
                  <w:tcBorders>
                    <w:tl2br w:val="nil"/>
                    <w:tr2bl w:val="nil"/>
                  </w:tcBorders>
                  <w:noWrap w:val="0"/>
                  <w:vAlign w:val="center"/>
                </w:tcPr>
                <w:p w14:paraId="2AE5A96A">
                  <w:pPr>
                    <w:keepNext w:val="0"/>
                    <w:keepLines w:val="0"/>
                    <w:suppressLineNumbers w:val="0"/>
                    <w:autoSpaceDE w:val="0"/>
                    <w:autoSpaceDN w:val="0"/>
                    <w:spacing w:before="0" w:beforeAutospacing="0" w:after="0" w:afterAutospacing="0"/>
                    <w:ind w:left="0" w:right="0"/>
                    <w:rPr>
                      <w:rFonts w:hint="default" w:ascii="Times New Roman" w:hAnsi="Times New Roman"/>
                      <w:color w:val="auto"/>
                      <w:sz w:val="21"/>
                      <w:szCs w:val="21"/>
                    </w:rPr>
                  </w:pPr>
                </w:p>
              </w:tc>
              <w:tc>
                <w:tcPr>
                  <w:tcW w:w="257" w:type="pct"/>
                  <w:vMerge w:val="continue"/>
                  <w:tcBorders>
                    <w:tl2br w:val="nil"/>
                    <w:tr2bl w:val="nil"/>
                  </w:tcBorders>
                  <w:noWrap w:val="0"/>
                  <w:vAlign w:val="center"/>
                </w:tcPr>
                <w:p w14:paraId="41AAEFE5">
                  <w:pPr>
                    <w:keepNext w:val="0"/>
                    <w:keepLines w:val="0"/>
                    <w:suppressLineNumbers w:val="0"/>
                    <w:autoSpaceDE w:val="0"/>
                    <w:autoSpaceDN w:val="0"/>
                    <w:spacing w:before="0" w:beforeAutospacing="0" w:after="0" w:afterAutospacing="0"/>
                    <w:ind w:left="0" w:right="0"/>
                    <w:rPr>
                      <w:rFonts w:hint="default" w:ascii="Times New Roman" w:hAnsi="Times New Roman"/>
                      <w:color w:val="auto"/>
                      <w:sz w:val="21"/>
                      <w:szCs w:val="21"/>
                    </w:rPr>
                  </w:pPr>
                </w:p>
              </w:tc>
              <w:tc>
                <w:tcPr>
                  <w:tcW w:w="318" w:type="pct"/>
                  <w:vMerge w:val="continue"/>
                  <w:tcBorders>
                    <w:tl2br w:val="nil"/>
                    <w:tr2bl w:val="nil"/>
                  </w:tcBorders>
                  <w:noWrap w:val="0"/>
                  <w:vAlign w:val="center"/>
                </w:tcPr>
                <w:p w14:paraId="07494A7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42" w:leftChars="-20" w:right="-42" w:rightChars="-20"/>
                    <w:textAlignment w:val="auto"/>
                    <w:rPr>
                      <w:rFonts w:hint="default" w:ascii="Times New Roman" w:hAnsi="Times New Roman"/>
                      <w:color w:val="auto"/>
                      <w:sz w:val="21"/>
                      <w:szCs w:val="21"/>
                    </w:rPr>
                  </w:pPr>
                </w:p>
              </w:tc>
              <w:tc>
                <w:tcPr>
                  <w:tcW w:w="2425" w:type="pct"/>
                  <w:tcBorders>
                    <w:tl2br w:val="nil"/>
                    <w:tr2bl w:val="nil"/>
                  </w:tcBorders>
                  <w:noWrap w:val="0"/>
                  <w:vAlign w:val="center"/>
                </w:tcPr>
                <w:p w14:paraId="5BBC5461">
                  <w:pPr>
                    <w:keepNext w:val="0"/>
                    <w:keepLines w:val="0"/>
                    <w:suppressLineNumbers w:val="0"/>
                    <w:autoSpaceDE w:val="0"/>
                    <w:autoSpaceDN w:val="0"/>
                    <w:spacing w:before="0" w:beforeAutospacing="0" w:after="0" w:afterAutospacing="0"/>
                    <w:ind w:left="0" w:right="0"/>
                    <w:rPr>
                      <w:rFonts w:hint="default" w:ascii="Times New Roman" w:hAnsi="Times New Roman"/>
                      <w:color w:val="auto"/>
                      <w:sz w:val="21"/>
                      <w:szCs w:val="21"/>
                      <w:lang w:eastAsia="zh-CN"/>
                    </w:rPr>
                  </w:pPr>
                  <w:r>
                    <w:rPr>
                      <w:rFonts w:hint="eastAsia" w:ascii="Times New Roman" w:hAnsi="Times New Roman"/>
                      <w:color w:val="auto"/>
                      <w:sz w:val="21"/>
                      <w:szCs w:val="21"/>
                      <w:lang w:eastAsia="zh-CN"/>
                    </w:rPr>
                    <w:t>22</w:t>
                  </w:r>
                  <w:r>
                    <w:rPr>
                      <w:rFonts w:hint="default" w:ascii="Times New Roman" w:hAnsi="Times New Roman"/>
                      <w:color w:val="auto"/>
                      <w:sz w:val="21"/>
                      <w:szCs w:val="21"/>
                      <w:lang w:eastAsia="zh-CN"/>
                    </w:rPr>
                    <w:t>城市建成区排放污水的工业企业应依法持有排污许可证，并严格按证排污。排入城镇水体的工业污水应符合相关行业标准及地方标准要求，严禁任何企业、单位超标和超总量排污，对超标或超总量的排污单位一律限制生产或停产整顿。</w:t>
                  </w:r>
                </w:p>
              </w:tc>
              <w:tc>
                <w:tcPr>
                  <w:tcW w:w="1503" w:type="pct"/>
                  <w:tcBorders>
                    <w:tl2br w:val="nil"/>
                    <w:tr2bl w:val="nil"/>
                  </w:tcBorders>
                  <w:noWrap w:val="0"/>
                  <w:vAlign w:val="center"/>
                </w:tcPr>
                <w:p w14:paraId="323EC543">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z w:val="21"/>
                      <w:szCs w:val="21"/>
                      <w:lang w:eastAsia="zh-CN"/>
                    </w:rPr>
                  </w:pPr>
                  <w:r>
                    <w:rPr>
                      <w:rFonts w:hint="default" w:ascii="Times New Roman" w:hAnsi="Times New Roman"/>
                      <w:color w:val="auto"/>
                      <w:sz w:val="21"/>
                      <w:szCs w:val="21"/>
                      <w:lang w:eastAsia="zh-CN"/>
                    </w:rPr>
                    <w:t>本项目</w:t>
                  </w:r>
                  <w:r>
                    <w:rPr>
                      <w:rFonts w:hint="eastAsia" w:ascii="Times New Roman" w:hAnsi="Times New Roman"/>
                      <w:color w:val="auto"/>
                      <w:sz w:val="21"/>
                      <w:szCs w:val="21"/>
                      <w:lang w:eastAsia="zh-CN" w:bidi="zh-CN"/>
                    </w:rPr>
                    <w:t>生活污水经厂区化粪池预处理后</w:t>
                  </w:r>
                  <w:r>
                    <w:rPr>
                      <w:rFonts w:hint="eastAsia" w:ascii="Times New Roman" w:hAnsi="Times New Roman"/>
                      <w:bCs/>
                      <w:color w:val="auto"/>
                      <w:sz w:val="21"/>
                      <w:szCs w:val="21"/>
                      <w:lang w:eastAsia="zh-CN"/>
                    </w:rPr>
                    <w:t>通过厂区总排口进入市政管网，最终排入</w:t>
                  </w:r>
                  <w:r>
                    <w:rPr>
                      <w:rFonts w:hint="default" w:ascii="Times New Roman" w:hAnsi="Times New Roman"/>
                      <w:color w:val="auto"/>
                      <w:sz w:val="21"/>
                      <w:szCs w:val="21"/>
                      <w:lang w:eastAsia="zh-CN" w:bidi="zh-CN"/>
                    </w:rPr>
                    <w:t>淮南经济技术开发区污水处理厂</w:t>
                  </w:r>
                  <w:r>
                    <w:rPr>
                      <w:rFonts w:hint="eastAsia" w:ascii="Times New Roman" w:hAnsi="Times New Roman"/>
                      <w:bCs/>
                      <w:color w:val="auto"/>
                      <w:sz w:val="21"/>
                      <w:szCs w:val="21"/>
                      <w:lang w:eastAsia="zh-CN"/>
                    </w:rPr>
                    <w:t>处理</w:t>
                  </w:r>
                  <w:r>
                    <w:rPr>
                      <w:rFonts w:hint="default" w:ascii="Times New Roman" w:hAnsi="Times New Roman"/>
                      <w:color w:val="auto"/>
                      <w:sz w:val="21"/>
                      <w:szCs w:val="21"/>
                      <w:lang w:eastAsia="zh-CN"/>
                    </w:rPr>
                    <w:t>。</w:t>
                  </w:r>
                </w:p>
              </w:tc>
              <w:tc>
                <w:tcPr>
                  <w:tcW w:w="246" w:type="pct"/>
                  <w:tcBorders>
                    <w:tl2br w:val="nil"/>
                    <w:tr2bl w:val="nil"/>
                  </w:tcBorders>
                  <w:noWrap w:val="0"/>
                  <w:vAlign w:val="center"/>
                </w:tcPr>
                <w:p w14:paraId="6B6261F2">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z w:val="21"/>
                      <w:szCs w:val="21"/>
                    </w:rPr>
                  </w:pPr>
                  <w:r>
                    <w:rPr>
                      <w:rFonts w:hint="default" w:ascii="Times New Roman" w:hAnsi="Times New Roman"/>
                      <w:color w:val="auto"/>
                      <w:sz w:val="21"/>
                      <w:szCs w:val="21"/>
                    </w:rPr>
                    <w:t>符合</w:t>
                  </w:r>
                </w:p>
              </w:tc>
            </w:tr>
            <w:tr w14:paraId="3066D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249" w:type="pct"/>
                  <w:vMerge w:val="continue"/>
                  <w:tcBorders>
                    <w:tl2br w:val="nil"/>
                    <w:tr2bl w:val="nil"/>
                  </w:tcBorders>
                  <w:noWrap w:val="0"/>
                  <w:vAlign w:val="center"/>
                </w:tcPr>
                <w:p w14:paraId="713CBB8D">
                  <w:pPr>
                    <w:keepNext w:val="0"/>
                    <w:keepLines w:val="0"/>
                    <w:suppressLineNumbers w:val="0"/>
                    <w:autoSpaceDE w:val="0"/>
                    <w:autoSpaceDN w:val="0"/>
                    <w:spacing w:before="0" w:beforeAutospacing="0" w:after="0" w:afterAutospacing="0"/>
                    <w:ind w:left="0" w:right="0"/>
                    <w:rPr>
                      <w:rFonts w:hint="default" w:ascii="Times New Roman" w:hAnsi="Times New Roman"/>
                      <w:color w:val="auto"/>
                      <w:sz w:val="21"/>
                      <w:szCs w:val="21"/>
                      <w:lang w:eastAsia="zh-CN"/>
                    </w:rPr>
                  </w:pPr>
                </w:p>
              </w:tc>
              <w:tc>
                <w:tcPr>
                  <w:tcW w:w="257" w:type="pct"/>
                  <w:vMerge w:val="continue"/>
                  <w:tcBorders>
                    <w:tl2br w:val="nil"/>
                    <w:tr2bl w:val="nil"/>
                  </w:tcBorders>
                  <w:noWrap w:val="0"/>
                  <w:vAlign w:val="center"/>
                </w:tcPr>
                <w:p w14:paraId="6985B66A">
                  <w:pPr>
                    <w:keepNext w:val="0"/>
                    <w:keepLines w:val="0"/>
                    <w:suppressLineNumbers w:val="0"/>
                    <w:autoSpaceDE w:val="0"/>
                    <w:autoSpaceDN w:val="0"/>
                    <w:spacing w:before="0" w:beforeAutospacing="0" w:after="0" w:afterAutospacing="0"/>
                    <w:ind w:left="0" w:right="0"/>
                    <w:rPr>
                      <w:rFonts w:hint="default" w:ascii="Times New Roman" w:hAnsi="Times New Roman"/>
                      <w:color w:val="auto"/>
                      <w:sz w:val="21"/>
                      <w:szCs w:val="21"/>
                      <w:lang w:eastAsia="zh-CN"/>
                    </w:rPr>
                  </w:pPr>
                </w:p>
              </w:tc>
              <w:tc>
                <w:tcPr>
                  <w:tcW w:w="318" w:type="pct"/>
                  <w:tcBorders>
                    <w:tl2br w:val="nil"/>
                    <w:tr2bl w:val="nil"/>
                  </w:tcBorders>
                  <w:noWrap w:val="0"/>
                  <w:vAlign w:val="center"/>
                </w:tcPr>
                <w:p w14:paraId="461DC70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42" w:leftChars="-20" w:right="-42" w:rightChars="-20"/>
                    <w:jc w:val="center"/>
                    <w:textAlignment w:val="auto"/>
                    <w:rPr>
                      <w:rFonts w:hint="default" w:ascii="Times New Roman" w:hAnsi="Times New Roman"/>
                      <w:color w:val="auto"/>
                      <w:sz w:val="21"/>
                      <w:szCs w:val="21"/>
                    </w:rPr>
                  </w:pPr>
                  <w:r>
                    <w:rPr>
                      <w:rFonts w:hint="default" w:ascii="Times New Roman" w:hAnsi="Times New Roman"/>
                      <w:color w:val="auto"/>
                      <w:sz w:val="21"/>
                      <w:szCs w:val="21"/>
                    </w:rPr>
                    <w:t>污染物排放管</w:t>
                  </w:r>
                </w:p>
                <w:p w14:paraId="6D94852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42" w:leftChars="-20" w:right="-42" w:rightChars="-20"/>
                    <w:jc w:val="center"/>
                    <w:textAlignment w:val="auto"/>
                    <w:rPr>
                      <w:rFonts w:hint="default" w:ascii="Times New Roman" w:hAnsi="Times New Roman"/>
                      <w:color w:val="auto"/>
                      <w:sz w:val="21"/>
                      <w:szCs w:val="21"/>
                    </w:rPr>
                  </w:pPr>
                  <w:r>
                    <w:rPr>
                      <w:rFonts w:hint="default" w:ascii="Times New Roman" w:hAnsi="Times New Roman"/>
                      <w:color w:val="auto"/>
                      <w:sz w:val="21"/>
                      <w:szCs w:val="21"/>
                    </w:rPr>
                    <w:t>控</w:t>
                  </w:r>
                </w:p>
              </w:tc>
              <w:tc>
                <w:tcPr>
                  <w:tcW w:w="2425" w:type="pct"/>
                  <w:tcBorders>
                    <w:tl2br w:val="nil"/>
                    <w:tr2bl w:val="nil"/>
                  </w:tcBorders>
                  <w:noWrap w:val="0"/>
                  <w:vAlign w:val="center"/>
                </w:tcPr>
                <w:p w14:paraId="1AB99AFB">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z w:val="21"/>
                      <w:szCs w:val="21"/>
                      <w:lang w:eastAsia="zh-CN"/>
                    </w:rPr>
                  </w:pPr>
                  <w:r>
                    <w:rPr>
                      <w:rFonts w:hint="default" w:ascii="Times New Roman" w:hAnsi="Times New Roman"/>
                      <w:color w:val="auto"/>
                      <w:sz w:val="21"/>
                      <w:szCs w:val="21"/>
                      <w:lang w:eastAsia="zh-CN"/>
                    </w:rPr>
                    <w:t>55</w:t>
                  </w:r>
                  <w:r>
                    <w:rPr>
                      <w:rFonts w:hint="default" w:ascii="Times New Roman"/>
                      <w:color w:val="auto"/>
                      <w:sz w:val="21"/>
                      <w:szCs w:val="21"/>
                      <w:lang w:eastAsia="zh-CN"/>
                    </w:rPr>
                    <w:t>实行重点排放源排放浓度与去除效率双重控制。车间或生产设施收集排放的废气，</w:t>
                  </w:r>
                  <w:r>
                    <w:rPr>
                      <w:rFonts w:hint="default" w:ascii="Times New Roman" w:hAnsi="Times New Roman"/>
                      <w:color w:val="auto"/>
                      <w:sz w:val="21"/>
                      <w:szCs w:val="21"/>
                      <w:lang w:eastAsia="zh-CN"/>
                    </w:rPr>
                    <w:t>VOCs</w:t>
                  </w:r>
                  <w:r>
                    <w:rPr>
                      <w:rFonts w:hint="default" w:ascii="Times New Roman"/>
                      <w:color w:val="auto"/>
                      <w:sz w:val="21"/>
                      <w:szCs w:val="21"/>
                      <w:lang w:eastAsia="zh-CN"/>
                    </w:rPr>
                    <w:t>初始排放速率大于等于</w:t>
                  </w:r>
                  <w:r>
                    <w:rPr>
                      <w:rFonts w:hint="default" w:ascii="Times New Roman" w:hAnsi="Times New Roman"/>
                      <w:color w:val="auto"/>
                      <w:sz w:val="21"/>
                      <w:szCs w:val="21"/>
                      <w:lang w:eastAsia="zh-CN"/>
                    </w:rPr>
                    <w:t>2</w:t>
                  </w:r>
                  <w:r>
                    <w:rPr>
                      <w:rFonts w:hint="default" w:ascii="Times New Roman"/>
                      <w:color w:val="auto"/>
                      <w:sz w:val="21"/>
                      <w:szCs w:val="21"/>
                      <w:lang w:eastAsia="zh-CN"/>
                    </w:rPr>
                    <w:t>千克</w:t>
                  </w:r>
                  <w:r>
                    <w:rPr>
                      <w:rFonts w:hint="default" w:ascii="Times New Roman" w:hAnsi="Times New Roman"/>
                      <w:color w:val="auto"/>
                      <w:sz w:val="21"/>
                      <w:szCs w:val="21"/>
                      <w:lang w:eastAsia="zh-CN"/>
                    </w:rPr>
                    <w:t>/</w:t>
                  </w:r>
                  <w:r>
                    <w:rPr>
                      <w:rFonts w:hint="default" w:ascii="Times New Roman"/>
                      <w:color w:val="auto"/>
                      <w:sz w:val="21"/>
                      <w:szCs w:val="21"/>
                      <w:lang w:eastAsia="zh-CN"/>
                    </w:rPr>
                    <w:t>小时的，应加大控制力度，除确保排放浓度稳定达标外，还应实行去除效率控制，去除效率不低于</w:t>
                  </w:r>
                  <w:r>
                    <w:rPr>
                      <w:rFonts w:hint="default" w:ascii="Times New Roman" w:hAnsi="Times New Roman"/>
                      <w:color w:val="auto"/>
                      <w:sz w:val="21"/>
                      <w:szCs w:val="21"/>
                      <w:lang w:eastAsia="zh-CN"/>
                    </w:rPr>
                    <w:t>80%</w:t>
                  </w:r>
                  <w:r>
                    <w:rPr>
                      <w:rFonts w:hint="default" w:ascii="Times New Roman"/>
                      <w:color w:val="auto"/>
                      <w:sz w:val="21"/>
                      <w:szCs w:val="21"/>
                      <w:lang w:eastAsia="zh-CN"/>
                    </w:rPr>
                    <w:t>；采用的原辅材料符合国家有关低</w:t>
                  </w:r>
                  <w:r>
                    <w:rPr>
                      <w:rFonts w:hint="default" w:ascii="Times New Roman" w:hAnsi="Times New Roman"/>
                      <w:color w:val="auto"/>
                      <w:sz w:val="21"/>
                      <w:szCs w:val="21"/>
                      <w:lang w:eastAsia="zh-CN"/>
                    </w:rPr>
                    <w:t>VOCs</w:t>
                  </w:r>
                  <w:r>
                    <w:rPr>
                      <w:rFonts w:hint="default" w:ascii="Times New Roman"/>
                      <w:color w:val="auto"/>
                      <w:sz w:val="21"/>
                      <w:szCs w:val="21"/>
                      <w:lang w:eastAsia="zh-CN"/>
                    </w:rPr>
                    <w:t>含量产品规定的除外，有行业排放标准的按其相关规定执行。</w:t>
                  </w:r>
                </w:p>
              </w:tc>
              <w:tc>
                <w:tcPr>
                  <w:tcW w:w="1503" w:type="pct"/>
                  <w:tcBorders>
                    <w:tl2br w:val="nil"/>
                    <w:tr2bl w:val="nil"/>
                  </w:tcBorders>
                  <w:noWrap w:val="0"/>
                  <w:vAlign w:val="center"/>
                </w:tcPr>
                <w:p w14:paraId="4DC3B6DD">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z w:val="21"/>
                      <w:szCs w:val="21"/>
                      <w:lang w:eastAsia="zh-CN"/>
                    </w:rPr>
                  </w:pPr>
                  <w:r>
                    <w:rPr>
                      <w:rFonts w:hint="default" w:ascii="Times New Roman" w:hAnsi="Times New Roman"/>
                      <w:color w:val="auto"/>
                      <w:sz w:val="21"/>
                      <w:szCs w:val="21"/>
                      <w:lang w:eastAsia="zh-CN"/>
                    </w:rPr>
                    <w:t>本</w:t>
                  </w:r>
                  <w:r>
                    <w:rPr>
                      <w:rFonts w:hint="default" w:ascii="Times New Roman" w:hAnsi="宋体"/>
                      <w:color w:val="auto"/>
                      <w:sz w:val="21"/>
                      <w:szCs w:val="21"/>
                      <w:lang w:eastAsia="zh-CN"/>
                    </w:rPr>
                    <w:t>项目</w:t>
                  </w:r>
                  <w:r>
                    <w:rPr>
                      <w:rFonts w:hint="default" w:ascii="Times New Roman" w:hAnsi="Times New Roman" w:cs="Times New Roman"/>
                      <w:color w:val="auto"/>
                      <w:lang w:val="en-US" w:eastAsia="zh-CN"/>
                    </w:rPr>
                    <w:t>箱式渗碳、淬火回火废气经废气间接冷却装置+静电吸附油雾净化装置+</w:t>
                  </w:r>
                  <w:r>
                    <w:rPr>
                      <w:rFonts w:hint="eastAsia" w:ascii="Times New Roman" w:hAnsi="Times New Roman" w:cs="Times New Roman"/>
                      <w:color w:val="auto"/>
                      <w:lang w:val="en-US" w:eastAsia="zh-CN"/>
                    </w:rPr>
                    <w:t>三级干式过滤器+</w:t>
                  </w:r>
                  <w:r>
                    <w:rPr>
                      <w:rFonts w:hint="default" w:ascii="Times New Roman" w:hAnsi="Times New Roman" w:cs="Times New Roman"/>
                      <w:color w:val="auto"/>
                      <w:lang w:val="en-US" w:eastAsia="zh-CN"/>
                    </w:rPr>
                    <w:t>二级活性炭吸附装置</w:t>
                  </w:r>
                  <w:r>
                    <w:rPr>
                      <w:rFonts w:hint="default" w:ascii="Times New Roman" w:hAnsi="Times New Roman" w:cs="Times New Roman"/>
                      <w:color w:val="auto"/>
                    </w:rPr>
                    <w:t>处理</w:t>
                  </w:r>
                  <w:r>
                    <w:rPr>
                      <w:rFonts w:hint="default" w:ascii="Times New Roman" w:hAnsi="Times New Roman" w:cs="Times New Roman"/>
                      <w:color w:val="auto"/>
                      <w:lang w:val="en-US" w:eastAsia="zh-CN"/>
                    </w:rPr>
                    <w:t>后由</w:t>
                  </w:r>
                  <w:r>
                    <w:rPr>
                      <w:rFonts w:hint="default" w:ascii="Times New Roman" w:hAnsi="Times New Roman" w:cs="Times New Roman"/>
                      <w:color w:val="auto"/>
                    </w:rPr>
                    <w:t>1根15m高排气筒排放</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对</w:t>
                  </w:r>
                  <w:r>
                    <w:rPr>
                      <w:rFonts w:hint="default" w:ascii="Times New Roman" w:hAnsi="Times New Roman" w:eastAsia="宋体" w:cs="Times New Roman"/>
                      <w:b w:val="0"/>
                      <w:bCs w:val="0"/>
                      <w:i w:val="0"/>
                      <w:iCs w:val="0"/>
                      <w:color w:val="auto"/>
                      <w:kern w:val="0"/>
                      <w:sz w:val="21"/>
                      <w:szCs w:val="21"/>
                      <w:u w:val="none"/>
                      <w:lang w:val="en-US" w:eastAsia="zh-CN" w:bidi="ar"/>
                    </w:rPr>
                    <w:t>VOCs处理效率达90%</w:t>
                  </w:r>
                </w:p>
              </w:tc>
              <w:tc>
                <w:tcPr>
                  <w:tcW w:w="246" w:type="pct"/>
                  <w:tcBorders>
                    <w:tl2br w:val="nil"/>
                    <w:tr2bl w:val="nil"/>
                  </w:tcBorders>
                  <w:noWrap w:val="0"/>
                  <w:vAlign w:val="center"/>
                </w:tcPr>
                <w:p w14:paraId="15F7544B">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z w:val="21"/>
                      <w:szCs w:val="21"/>
                      <w:lang w:eastAsia="zh-CN"/>
                    </w:rPr>
                  </w:pPr>
                  <w:r>
                    <w:rPr>
                      <w:rFonts w:hint="default" w:ascii="Times New Roman" w:hAnsi="Times New Roman"/>
                      <w:color w:val="auto"/>
                      <w:sz w:val="21"/>
                      <w:szCs w:val="21"/>
                    </w:rPr>
                    <w:t>符合</w:t>
                  </w:r>
                </w:p>
              </w:tc>
            </w:tr>
            <w:tr w14:paraId="45AE9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249" w:type="pct"/>
                  <w:vMerge w:val="continue"/>
                  <w:tcBorders>
                    <w:tl2br w:val="nil"/>
                    <w:tr2bl w:val="nil"/>
                  </w:tcBorders>
                  <w:noWrap w:val="0"/>
                  <w:vAlign w:val="center"/>
                </w:tcPr>
                <w:p w14:paraId="5F2C8417">
                  <w:pPr>
                    <w:keepNext w:val="0"/>
                    <w:keepLines w:val="0"/>
                    <w:suppressLineNumbers w:val="0"/>
                    <w:autoSpaceDE w:val="0"/>
                    <w:autoSpaceDN w:val="0"/>
                    <w:spacing w:before="0" w:beforeAutospacing="0" w:after="0" w:afterAutospacing="0"/>
                    <w:ind w:left="0" w:right="0"/>
                    <w:rPr>
                      <w:rFonts w:hint="default" w:ascii="Times New Roman" w:hAnsi="Times New Roman"/>
                      <w:color w:val="auto"/>
                      <w:sz w:val="21"/>
                      <w:szCs w:val="21"/>
                      <w:lang w:eastAsia="zh-CN"/>
                    </w:rPr>
                  </w:pPr>
                </w:p>
              </w:tc>
              <w:tc>
                <w:tcPr>
                  <w:tcW w:w="257" w:type="pct"/>
                  <w:vMerge w:val="continue"/>
                  <w:tcBorders>
                    <w:tl2br w:val="nil"/>
                    <w:tr2bl w:val="nil"/>
                  </w:tcBorders>
                  <w:noWrap w:val="0"/>
                  <w:vAlign w:val="center"/>
                </w:tcPr>
                <w:p w14:paraId="22F638A4">
                  <w:pPr>
                    <w:keepNext w:val="0"/>
                    <w:keepLines w:val="0"/>
                    <w:suppressLineNumbers w:val="0"/>
                    <w:autoSpaceDE w:val="0"/>
                    <w:autoSpaceDN w:val="0"/>
                    <w:spacing w:before="0" w:beforeAutospacing="0" w:after="0" w:afterAutospacing="0"/>
                    <w:ind w:left="0" w:right="0"/>
                    <w:rPr>
                      <w:rFonts w:hint="default" w:ascii="Times New Roman" w:hAnsi="Times New Roman"/>
                      <w:color w:val="auto"/>
                      <w:sz w:val="21"/>
                      <w:szCs w:val="21"/>
                      <w:lang w:eastAsia="zh-CN"/>
                    </w:rPr>
                  </w:pPr>
                </w:p>
              </w:tc>
              <w:tc>
                <w:tcPr>
                  <w:tcW w:w="318" w:type="pct"/>
                  <w:tcBorders>
                    <w:tl2br w:val="nil"/>
                    <w:tr2bl w:val="nil"/>
                  </w:tcBorders>
                  <w:noWrap w:val="0"/>
                  <w:vAlign w:val="center"/>
                </w:tcPr>
                <w:p w14:paraId="447B265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42" w:leftChars="-20" w:right="-42" w:rightChars="-20"/>
                    <w:jc w:val="center"/>
                    <w:textAlignment w:val="auto"/>
                    <w:rPr>
                      <w:rFonts w:hint="default" w:ascii="Times New Roman" w:hAnsi="Times New Roman"/>
                      <w:color w:val="auto"/>
                      <w:sz w:val="21"/>
                      <w:szCs w:val="21"/>
                      <w:lang w:eastAsia="zh-CN"/>
                    </w:rPr>
                  </w:pPr>
                  <w:r>
                    <w:rPr>
                      <w:rFonts w:hint="default" w:ascii="Times New Roman" w:hAnsi="Times New Roman"/>
                      <w:color w:val="auto"/>
                      <w:sz w:val="21"/>
                      <w:szCs w:val="21"/>
                      <w:lang w:eastAsia="zh-CN"/>
                    </w:rPr>
                    <w:t>资源开发效率</w:t>
                  </w:r>
                </w:p>
                <w:p w14:paraId="18FCEB3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42" w:leftChars="-20" w:right="-42" w:rightChars="-20"/>
                    <w:jc w:val="center"/>
                    <w:textAlignment w:val="auto"/>
                    <w:rPr>
                      <w:rFonts w:hint="default" w:ascii="Times New Roman" w:hAnsi="Times New Roman"/>
                      <w:color w:val="auto"/>
                      <w:sz w:val="21"/>
                      <w:szCs w:val="21"/>
                      <w:lang w:eastAsia="zh-CN"/>
                    </w:rPr>
                  </w:pPr>
                  <w:r>
                    <w:rPr>
                      <w:rFonts w:hint="default" w:ascii="Times New Roman" w:hAnsi="Times New Roman"/>
                      <w:color w:val="auto"/>
                      <w:sz w:val="21"/>
                      <w:szCs w:val="21"/>
                      <w:lang w:eastAsia="zh-CN"/>
                    </w:rPr>
                    <w:t>要求</w:t>
                  </w:r>
                </w:p>
              </w:tc>
              <w:tc>
                <w:tcPr>
                  <w:tcW w:w="2425" w:type="pct"/>
                  <w:tcBorders>
                    <w:tl2br w:val="nil"/>
                    <w:tr2bl w:val="nil"/>
                  </w:tcBorders>
                  <w:noWrap w:val="0"/>
                  <w:vAlign w:val="center"/>
                </w:tcPr>
                <w:p w14:paraId="5FC80912">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z w:val="21"/>
                      <w:szCs w:val="21"/>
                      <w:lang w:eastAsia="zh-CN"/>
                    </w:rPr>
                  </w:pPr>
                  <w:r>
                    <w:rPr>
                      <w:rFonts w:hint="default" w:ascii="Times New Roman" w:hAnsi="Times New Roman"/>
                      <w:color w:val="auto"/>
                      <w:sz w:val="21"/>
                      <w:szCs w:val="21"/>
                      <w:lang w:eastAsia="zh-CN"/>
                    </w:rPr>
                    <w:t>/</w:t>
                  </w:r>
                </w:p>
              </w:tc>
              <w:tc>
                <w:tcPr>
                  <w:tcW w:w="1503" w:type="pct"/>
                  <w:tcBorders>
                    <w:tl2br w:val="nil"/>
                    <w:tr2bl w:val="nil"/>
                  </w:tcBorders>
                  <w:noWrap w:val="0"/>
                  <w:vAlign w:val="center"/>
                </w:tcPr>
                <w:p w14:paraId="5A115367">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z w:val="21"/>
                      <w:szCs w:val="21"/>
                      <w:lang w:eastAsia="zh-CN"/>
                    </w:rPr>
                  </w:pPr>
                  <w:r>
                    <w:rPr>
                      <w:rFonts w:hint="default" w:ascii="Times New Roman" w:hAnsi="Times New Roman"/>
                      <w:color w:val="auto"/>
                      <w:sz w:val="21"/>
                      <w:szCs w:val="21"/>
                      <w:lang w:eastAsia="zh-CN"/>
                    </w:rPr>
                    <w:t>/</w:t>
                  </w:r>
                </w:p>
              </w:tc>
              <w:tc>
                <w:tcPr>
                  <w:tcW w:w="246" w:type="pct"/>
                  <w:tcBorders>
                    <w:tl2br w:val="nil"/>
                    <w:tr2bl w:val="nil"/>
                  </w:tcBorders>
                  <w:noWrap w:val="0"/>
                  <w:vAlign w:val="center"/>
                </w:tcPr>
                <w:p w14:paraId="6743F6EE">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z w:val="21"/>
                      <w:szCs w:val="21"/>
                      <w:lang w:eastAsia="zh-CN"/>
                    </w:rPr>
                  </w:pPr>
                  <w:r>
                    <w:rPr>
                      <w:rFonts w:hint="default" w:ascii="Times New Roman" w:hAnsi="Times New Roman"/>
                      <w:color w:val="auto"/>
                      <w:sz w:val="21"/>
                      <w:szCs w:val="21"/>
                      <w:lang w:eastAsia="zh-CN"/>
                    </w:rPr>
                    <w:t>符合</w:t>
                  </w:r>
                </w:p>
              </w:tc>
            </w:tr>
          </w:tbl>
          <w:p w14:paraId="5A375D30">
            <w:pPr>
              <w:pStyle w:val="62"/>
              <w:keepNext w:val="0"/>
              <w:keepLines w:val="0"/>
              <w:suppressLineNumbers w:val="0"/>
              <w:bidi w:val="0"/>
              <w:spacing w:before="0" w:beforeAutospacing="0" w:after="0" w:afterAutospacing="0"/>
              <w:ind w:left="0" w:leftChars="0" w:right="0" w:firstLine="0" w:firstLineChars="0"/>
              <w:rPr>
                <w:rFonts w:hint="default"/>
                <w:b/>
                <w:bCs/>
                <w:color w:val="auto"/>
                <w:lang w:eastAsia="zh-CN"/>
              </w:rPr>
            </w:pPr>
            <w:r>
              <w:rPr>
                <w:rFonts w:hint="eastAsia"/>
                <w:b/>
                <w:bCs/>
                <w:color w:val="auto"/>
                <w:lang w:val="en-US" w:eastAsia="zh-CN"/>
              </w:rPr>
              <w:t>8</w:t>
            </w:r>
            <w:r>
              <w:rPr>
                <w:rFonts w:hint="eastAsia"/>
                <w:b/>
                <w:bCs/>
                <w:color w:val="auto"/>
                <w:lang w:eastAsia="zh-CN"/>
              </w:rPr>
              <w:t>、与《淮南市涉气建设项目环评审批负面清单》对比分析</w:t>
            </w:r>
          </w:p>
          <w:p w14:paraId="6EAED290">
            <w:pPr>
              <w:pStyle w:val="63"/>
              <w:keepNext w:val="0"/>
              <w:keepLines w:val="0"/>
              <w:suppressLineNumbers w:val="0"/>
              <w:bidi w:val="0"/>
              <w:spacing w:before="0" w:beforeAutospacing="0" w:after="0" w:afterAutospacing="0"/>
              <w:ind w:left="0" w:right="0"/>
              <w:rPr>
                <w:rFonts w:ascii="Times New Roman" w:hAnsi="Times New Roman" w:eastAsia="黑体"/>
                <w:color w:val="auto"/>
                <w:szCs w:val="24"/>
                <w:lang w:eastAsia="zh-CN"/>
              </w:rPr>
            </w:pPr>
            <w:r>
              <w:rPr>
                <w:color w:val="auto"/>
                <w:lang w:eastAsia="zh-CN"/>
              </w:rPr>
              <w:t>表1-</w:t>
            </w:r>
            <w:r>
              <w:rPr>
                <w:rFonts w:hint="eastAsia"/>
                <w:color w:val="auto"/>
                <w:lang w:val="en-US" w:eastAsia="zh-CN"/>
              </w:rPr>
              <w:t>9</w:t>
            </w:r>
            <w:r>
              <w:rPr>
                <w:rFonts w:hint="eastAsia"/>
                <w:color w:val="auto"/>
                <w:lang w:eastAsia="zh-CN"/>
              </w:rPr>
              <w:t xml:space="preserve"> </w:t>
            </w:r>
            <w:r>
              <w:rPr>
                <w:color w:val="auto"/>
                <w:lang w:eastAsia="zh-CN"/>
              </w:rPr>
              <w:t>与《淮南市涉气建设项目环评审批负面清单》</w:t>
            </w:r>
            <w:r>
              <w:rPr>
                <w:rFonts w:hint="eastAsia"/>
                <w:color w:val="auto"/>
                <w:lang w:eastAsia="zh-CN"/>
              </w:rPr>
              <w:t>对比分析一览表</w:t>
            </w:r>
          </w:p>
          <w:tbl>
            <w:tblPr>
              <w:tblStyle w:val="52"/>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76"/>
              <w:gridCol w:w="1692"/>
              <w:gridCol w:w="3581"/>
              <w:gridCol w:w="3034"/>
              <w:gridCol w:w="2914"/>
              <w:gridCol w:w="1323"/>
            </w:tblGrid>
            <w:tr w14:paraId="17583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 w:type="pct"/>
                  <w:tcBorders>
                    <w:tl2br w:val="nil"/>
                    <w:tr2bl w:val="nil"/>
                  </w:tcBorders>
                  <w:noWrap w:val="0"/>
                  <w:vAlign w:val="center"/>
                </w:tcPr>
                <w:p w14:paraId="068F9776">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rPr>
                  </w:pPr>
                  <w:r>
                    <w:rPr>
                      <w:rFonts w:hint="default" w:ascii="Times New Roman"/>
                      <w:b/>
                      <w:color w:val="auto"/>
                      <w:sz w:val="21"/>
                      <w:szCs w:val="21"/>
                    </w:rPr>
                    <w:t>序号</w:t>
                  </w:r>
                </w:p>
              </w:tc>
              <w:tc>
                <w:tcPr>
                  <w:tcW w:w="650" w:type="pct"/>
                  <w:tcBorders>
                    <w:tl2br w:val="nil"/>
                    <w:tr2bl w:val="nil"/>
                  </w:tcBorders>
                  <w:noWrap w:val="0"/>
                  <w:vAlign w:val="center"/>
                </w:tcPr>
                <w:p w14:paraId="79CA4514">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rPr>
                  </w:pPr>
                  <w:r>
                    <w:rPr>
                      <w:rFonts w:hint="default" w:ascii="Times New Roman"/>
                      <w:b/>
                      <w:color w:val="auto"/>
                      <w:sz w:val="21"/>
                      <w:szCs w:val="21"/>
                    </w:rPr>
                    <w:t>重点工作任务</w:t>
                  </w:r>
                </w:p>
              </w:tc>
              <w:tc>
                <w:tcPr>
                  <w:tcW w:w="1375" w:type="pct"/>
                  <w:tcBorders>
                    <w:tl2br w:val="nil"/>
                    <w:tr2bl w:val="nil"/>
                  </w:tcBorders>
                  <w:noWrap w:val="0"/>
                  <w:vAlign w:val="center"/>
                </w:tcPr>
                <w:p w14:paraId="3EE90249">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rPr>
                  </w:pPr>
                  <w:r>
                    <w:rPr>
                      <w:rFonts w:hint="default" w:ascii="Times New Roman"/>
                      <w:b/>
                      <w:color w:val="auto"/>
                      <w:sz w:val="21"/>
                      <w:szCs w:val="21"/>
                    </w:rPr>
                    <w:t>推进举措</w:t>
                  </w:r>
                </w:p>
              </w:tc>
              <w:tc>
                <w:tcPr>
                  <w:tcW w:w="1165" w:type="pct"/>
                  <w:tcBorders>
                    <w:tl2br w:val="nil"/>
                    <w:tr2bl w:val="nil"/>
                  </w:tcBorders>
                  <w:noWrap w:val="0"/>
                  <w:vAlign w:val="center"/>
                </w:tcPr>
                <w:p w14:paraId="745CECF9">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rPr>
                  </w:pPr>
                  <w:r>
                    <w:rPr>
                      <w:rFonts w:hint="default" w:ascii="Times New Roman"/>
                      <w:b/>
                      <w:color w:val="auto"/>
                      <w:sz w:val="21"/>
                      <w:szCs w:val="21"/>
                    </w:rPr>
                    <w:t>环评审批的负面清单</w:t>
                  </w:r>
                </w:p>
              </w:tc>
              <w:tc>
                <w:tcPr>
                  <w:tcW w:w="1119" w:type="pct"/>
                  <w:tcBorders>
                    <w:tl2br w:val="nil"/>
                    <w:tr2bl w:val="nil"/>
                  </w:tcBorders>
                  <w:noWrap w:val="0"/>
                  <w:vAlign w:val="center"/>
                </w:tcPr>
                <w:p w14:paraId="3A1224E4">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rPr>
                  </w:pPr>
                  <w:r>
                    <w:rPr>
                      <w:rFonts w:hint="default" w:ascii="Times New Roman"/>
                      <w:b/>
                      <w:color w:val="auto"/>
                      <w:sz w:val="21"/>
                      <w:szCs w:val="21"/>
                    </w:rPr>
                    <w:t>本项目情况</w:t>
                  </w:r>
                </w:p>
              </w:tc>
              <w:tc>
                <w:tcPr>
                  <w:tcW w:w="506" w:type="pct"/>
                  <w:tcBorders>
                    <w:tl2br w:val="nil"/>
                    <w:tr2bl w:val="nil"/>
                  </w:tcBorders>
                  <w:noWrap w:val="0"/>
                  <w:vAlign w:val="center"/>
                </w:tcPr>
                <w:p w14:paraId="77DEDA11">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lang w:eastAsia="zh-CN"/>
                    </w:rPr>
                  </w:pPr>
                  <w:r>
                    <w:rPr>
                      <w:rFonts w:hint="default" w:ascii="Times New Roman" w:hAnsi="Times New Roman"/>
                      <w:b/>
                      <w:color w:val="auto"/>
                      <w:sz w:val="21"/>
                      <w:szCs w:val="21"/>
                      <w:lang w:eastAsia="zh-CN"/>
                    </w:rPr>
                    <w:t>是否属于负面清单情形</w:t>
                  </w:r>
                </w:p>
              </w:tc>
            </w:tr>
            <w:tr w14:paraId="1FCBA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6"/>
                  <w:tcBorders>
                    <w:tl2br w:val="nil"/>
                    <w:tr2bl w:val="nil"/>
                  </w:tcBorders>
                  <w:noWrap w:val="0"/>
                  <w:vAlign w:val="center"/>
                </w:tcPr>
                <w:p w14:paraId="38DAC374">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lang w:eastAsia="zh-CN"/>
                    </w:rPr>
                  </w:pPr>
                  <w:r>
                    <w:rPr>
                      <w:rFonts w:hint="default" w:ascii="Times New Roman" w:hAnsi="宋体"/>
                      <w:color w:val="auto"/>
                      <w:sz w:val="21"/>
                      <w:szCs w:val="21"/>
                      <w:lang w:eastAsia="zh-CN"/>
                    </w:rPr>
                    <w:t>（一）坚决遏制高耗能、高排放、低水平项目盲目上马</w:t>
                  </w:r>
                </w:p>
              </w:tc>
            </w:tr>
            <w:tr w14:paraId="025CC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 w:type="pct"/>
                  <w:tcBorders>
                    <w:tl2br w:val="nil"/>
                    <w:tr2bl w:val="nil"/>
                  </w:tcBorders>
                  <w:noWrap w:val="0"/>
                  <w:vAlign w:val="center"/>
                </w:tcPr>
                <w:p w14:paraId="063C4ED8">
                  <w:pPr>
                    <w:keepNext w:val="0"/>
                    <w:keepLines w:val="0"/>
                    <w:suppressLineNumbers w:val="0"/>
                    <w:autoSpaceDE w:val="0"/>
                    <w:autoSpaceDN w:val="0"/>
                    <w:spacing w:before="0" w:beforeAutospacing="0" w:after="0" w:afterAutospacing="0"/>
                    <w:ind w:left="0" w:right="0"/>
                    <w:contextualSpacing/>
                    <w:jc w:val="center"/>
                    <w:rPr>
                      <w:rFonts w:hint="default" w:ascii="Times New Roman" w:hAnsi="Times New Roman"/>
                      <w:color w:val="auto"/>
                      <w:sz w:val="21"/>
                      <w:szCs w:val="21"/>
                    </w:rPr>
                  </w:pPr>
                  <w:r>
                    <w:rPr>
                      <w:rFonts w:hint="default" w:ascii="Times New Roman" w:hAnsi="Times New Roman"/>
                      <w:color w:val="auto"/>
                      <w:sz w:val="21"/>
                      <w:szCs w:val="21"/>
                    </w:rPr>
                    <w:t>1</w:t>
                  </w:r>
                </w:p>
              </w:tc>
              <w:tc>
                <w:tcPr>
                  <w:tcW w:w="650" w:type="pct"/>
                  <w:tcBorders>
                    <w:tl2br w:val="nil"/>
                    <w:tr2bl w:val="nil"/>
                  </w:tcBorders>
                  <w:noWrap w:val="0"/>
                  <w:vAlign w:val="center"/>
                </w:tcPr>
                <w:p w14:paraId="6482A82F">
                  <w:pPr>
                    <w:keepNext w:val="0"/>
                    <w:keepLines w:val="0"/>
                    <w:suppressLineNumbers w:val="0"/>
                    <w:autoSpaceDE w:val="0"/>
                    <w:autoSpaceDN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color w:val="auto"/>
                      <w:sz w:val="21"/>
                      <w:szCs w:val="21"/>
                      <w:lang w:eastAsia="zh-CN"/>
                    </w:rPr>
                    <w:t>新改扩建项目严格落实国家产业政策要求，严把</w:t>
                  </w:r>
                  <w:r>
                    <w:rPr>
                      <w:rFonts w:hint="default" w:ascii="Times New Roman" w:hAnsi="Times New Roman"/>
                      <w:color w:val="auto"/>
                      <w:sz w:val="21"/>
                      <w:szCs w:val="21"/>
                      <w:lang w:eastAsia="zh-CN"/>
                    </w:rPr>
                    <w:t>“</w:t>
                  </w:r>
                  <w:r>
                    <w:rPr>
                      <w:rFonts w:hint="default" w:ascii="Times New Roman"/>
                      <w:color w:val="auto"/>
                      <w:sz w:val="21"/>
                      <w:szCs w:val="21"/>
                      <w:lang w:eastAsia="zh-CN"/>
                    </w:rPr>
                    <w:t>两高</w:t>
                  </w:r>
                  <w:r>
                    <w:rPr>
                      <w:rFonts w:hint="default" w:ascii="Times New Roman" w:hAnsi="Times New Roman"/>
                      <w:color w:val="auto"/>
                      <w:sz w:val="21"/>
                      <w:szCs w:val="21"/>
                      <w:lang w:eastAsia="zh-CN"/>
                    </w:rPr>
                    <w:t>”</w:t>
                  </w:r>
                  <w:r>
                    <w:rPr>
                      <w:rFonts w:hint="default" w:ascii="Times New Roman"/>
                      <w:color w:val="auto"/>
                      <w:sz w:val="21"/>
                      <w:szCs w:val="21"/>
                      <w:lang w:eastAsia="zh-CN"/>
                    </w:rPr>
                    <w:t>项目审批</w:t>
                  </w:r>
                </w:p>
              </w:tc>
              <w:tc>
                <w:tcPr>
                  <w:tcW w:w="1375" w:type="pct"/>
                  <w:tcBorders>
                    <w:tl2br w:val="nil"/>
                    <w:tr2bl w:val="nil"/>
                  </w:tcBorders>
                  <w:noWrap w:val="0"/>
                  <w:vAlign w:val="center"/>
                </w:tcPr>
                <w:p w14:paraId="784CAA47">
                  <w:pPr>
                    <w:keepNext w:val="0"/>
                    <w:keepLines w:val="0"/>
                    <w:suppressLineNumbers w:val="0"/>
                    <w:autoSpaceDE w:val="0"/>
                    <w:autoSpaceDN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color w:val="auto"/>
                      <w:sz w:val="21"/>
                      <w:szCs w:val="21"/>
                      <w:lang w:eastAsia="zh-CN"/>
                    </w:rPr>
                    <w:t>新改扩建项目严格落实国家产业规划、产业政策、生态环境分区管控方案、规划环评、项目环评、节能审查、产能置换、重点污染物总量控制、污染物排放区域削减、碳排放达峰目标等相关要求，原则上采用清洁运输方式。实施</w:t>
                  </w:r>
                  <w:r>
                    <w:rPr>
                      <w:rFonts w:hint="default" w:ascii="Times New Roman" w:hAnsi="Times New Roman"/>
                      <w:color w:val="auto"/>
                      <w:sz w:val="21"/>
                      <w:szCs w:val="21"/>
                      <w:lang w:eastAsia="zh-CN"/>
                    </w:rPr>
                    <w:t>“</w:t>
                  </w:r>
                  <w:r>
                    <w:rPr>
                      <w:rFonts w:hint="default" w:ascii="Times New Roman"/>
                      <w:color w:val="auto"/>
                      <w:sz w:val="21"/>
                      <w:szCs w:val="21"/>
                      <w:lang w:eastAsia="zh-CN"/>
                    </w:rPr>
                    <w:t>高污染、高耗能</w:t>
                  </w:r>
                  <w:r>
                    <w:rPr>
                      <w:rFonts w:hint="default" w:ascii="Times New Roman" w:hAnsi="Times New Roman"/>
                      <w:color w:val="auto"/>
                      <w:sz w:val="21"/>
                      <w:szCs w:val="21"/>
                      <w:lang w:eastAsia="zh-CN"/>
                    </w:rPr>
                    <w:t>”</w:t>
                  </w:r>
                  <w:r>
                    <w:rPr>
                      <w:rFonts w:hint="default" w:ascii="Times New Roman"/>
                      <w:color w:val="auto"/>
                      <w:sz w:val="21"/>
                      <w:szCs w:val="21"/>
                      <w:lang w:eastAsia="zh-CN"/>
                    </w:rPr>
                    <w:t>项目部门联审，严格论证项目建设必要性、可行性，推动行业集约发展和绿色转型</w:t>
                  </w:r>
                </w:p>
              </w:tc>
              <w:tc>
                <w:tcPr>
                  <w:tcW w:w="1165" w:type="pct"/>
                  <w:tcBorders>
                    <w:tl2br w:val="nil"/>
                    <w:tr2bl w:val="nil"/>
                  </w:tcBorders>
                  <w:noWrap w:val="0"/>
                  <w:vAlign w:val="center"/>
                </w:tcPr>
                <w:p w14:paraId="470B4828">
                  <w:pPr>
                    <w:keepNext w:val="0"/>
                    <w:keepLines w:val="0"/>
                    <w:suppressLineNumbers w:val="0"/>
                    <w:autoSpaceDE w:val="0"/>
                    <w:autoSpaceDN w:val="0"/>
                    <w:spacing w:before="0" w:beforeAutospacing="0" w:after="0" w:afterAutospacing="0"/>
                    <w:ind w:left="0" w:right="0"/>
                    <w:contextualSpacing/>
                    <w:rPr>
                      <w:rFonts w:hint="default" w:ascii="Times New Roman" w:hAnsi="Times New Roman"/>
                      <w:color w:val="auto"/>
                      <w:sz w:val="21"/>
                      <w:szCs w:val="21"/>
                      <w:lang w:eastAsia="zh-CN"/>
                    </w:rPr>
                  </w:pPr>
                  <w:r>
                    <w:rPr>
                      <w:rFonts w:hint="default" w:ascii="Times New Roman" w:hAnsi="Times New Roman"/>
                      <w:color w:val="auto"/>
                      <w:sz w:val="21"/>
                      <w:szCs w:val="21"/>
                      <w:lang w:eastAsia="zh-CN"/>
                    </w:rPr>
                    <w:t>1</w:t>
                  </w:r>
                  <w:r>
                    <w:rPr>
                      <w:rFonts w:hint="default" w:ascii="Times New Roman"/>
                      <w:color w:val="auto"/>
                      <w:sz w:val="21"/>
                      <w:szCs w:val="21"/>
                      <w:lang w:eastAsia="zh-CN"/>
                    </w:rPr>
                    <w:t>、新改扩建项目严格落实国家产业规划、产业政策、生态环境分区管控方案、规划环评、项目环评、节能审查、产能置换、重点污染物总量控制、污染物排放区域削减、碳排放达峰目标等相关要求；</w:t>
                  </w:r>
                </w:p>
                <w:p w14:paraId="0AC64E83">
                  <w:pPr>
                    <w:keepNext w:val="0"/>
                    <w:keepLines w:val="0"/>
                    <w:suppressLineNumbers w:val="0"/>
                    <w:autoSpaceDE w:val="0"/>
                    <w:autoSpaceDN w:val="0"/>
                    <w:spacing w:before="0" w:beforeAutospacing="0" w:after="0" w:afterAutospacing="0"/>
                    <w:ind w:left="0" w:right="0"/>
                    <w:contextualSpacing/>
                    <w:rPr>
                      <w:rFonts w:hint="default" w:ascii="Times New Roman" w:hAnsi="Times New Roman"/>
                      <w:color w:val="auto"/>
                      <w:sz w:val="21"/>
                      <w:szCs w:val="21"/>
                      <w:lang w:eastAsia="zh-CN"/>
                    </w:rPr>
                  </w:pPr>
                  <w:r>
                    <w:rPr>
                      <w:rFonts w:hint="default" w:ascii="Times New Roman" w:hAnsi="Times New Roman"/>
                      <w:color w:val="auto"/>
                      <w:sz w:val="21"/>
                      <w:szCs w:val="21"/>
                      <w:lang w:eastAsia="zh-CN"/>
                    </w:rPr>
                    <w:t>2</w:t>
                  </w:r>
                  <w:r>
                    <w:rPr>
                      <w:rFonts w:hint="default" w:ascii="Times New Roman"/>
                      <w:color w:val="auto"/>
                      <w:sz w:val="21"/>
                      <w:szCs w:val="21"/>
                      <w:lang w:eastAsia="zh-CN"/>
                    </w:rPr>
                    <w:t>、两高项目应实施部门联审</w:t>
                  </w:r>
                </w:p>
              </w:tc>
              <w:tc>
                <w:tcPr>
                  <w:tcW w:w="1119" w:type="pct"/>
                  <w:tcBorders>
                    <w:tl2br w:val="nil"/>
                    <w:tr2bl w:val="nil"/>
                  </w:tcBorders>
                  <w:noWrap w:val="0"/>
                  <w:vAlign w:val="center"/>
                </w:tcPr>
                <w:p w14:paraId="0AADB7E4">
                  <w:pPr>
                    <w:keepNext w:val="0"/>
                    <w:keepLines w:val="0"/>
                    <w:suppressLineNumbers w:val="0"/>
                    <w:autoSpaceDE w:val="0"/>
                    <w:autoSpaceDN w:val="0"/>
                    <w:spacing w:before="0" w:beforeAutospacing="0" w:after="0" w:afterAutospacing="0"/>
                    <w:ind w:left="0" w:right="0"/>
                    <w:contextualSpacing/>
                    <w:jc w:val="center"/>
                    <w:rPr>
                      <w:rFonts w:hint="default" w:ascii="Times New Roman" w:hAnsi="Times New Roman"/>
                      <w:color w:val="auto"/>
                      <w:sz w:val="21"/>
                      <w:szCs w:val="21"/>
                      <w:lang w:eastAsia="zh-CN"/>
                    </w:rPr>
                  </w:pPr>
                  <w:r>
                    <w:rPr>
                      <w:rStyle w:val="103"/>
                      <w:rFonts w:hint="default" w:ascii="Times New Roman" w:hAnsi="Times New Roman" w:cs="Times New Roman"/>
                      <w:color w:val="auto"/>
                      <w:lang w:eastAsia="zh-CN"/>
                    </w:rPr>
                    <w:t>本项目属于</w:t>
                  </w:r>
                  <w:r>
                    <w:rPr>
                      <w:rStyle w:val="103"/>
                      <w:rFonts w:hint="default" w:ascii="Times New Roman" w:hAnsi="Times New Roman" w:cs="Times New Roman"/>
                      <w:color w:val="auto"/>
                      <w:lang w:val="en-US" w:eastAsia="zh-CN"/>
                    </w:rPr>
                    <w:t>C3360金属表面处理及热处理加工</w:t>
                  </w:r>
                  <w:r>
                    <w:rPr>
                      <w:rFonts w:hint="default" w:ascii="Times New Roman" w:hAnsi="Times New Roman" w:cs="Times New Roman"/>
                      <w:color w:val="auto"/>
                      <w:sz w:val="21"/>
                      <w:szCs w:val="21"/>
                      <w:shd w:val="clear" w:color="auto" w:fill="FFFFFF"/>
                      <w:lang w:eastAsia="zh-CN"/>
                    </w:rPr>
                    <w:t>，</w:t>
                  </w:r>
                  <w:r>
                    <w:rPr>
                      <w:rFonts w:hint="default" w:ascii="Times New Roman" w:hAnsi="Times New Roman" w:cs="Times New Roman"/>
                      <w:color w:val="auto"/>
                      <w:sz w:val="21"/>
                      <w:szCs w:val="21"/>
                      <w:lang w:eastAsia="zh-CN"/>
                    </w:rPr>
                    <w:t>查阅《产业结构调整指导目录（2024年本）》，本项目不属于限制类或淘汰类项目，视为允许建设项目，本项目建设符合国家产业政策要求；对照《安徽省“两高”项目管理目录（试行）》，本项目不属于高耗能、高排放项目</w:t>
                  </w:r>
                </w:p>
              </w:tc>
              <w:tc>
                <w:tcPr>
                  <w:tcW w:w="506" w:type="pct"/>
                  <w:tcBorders>
                    <w:tl2br w:val="nil"/>
                    <w:tr2bl w:val="nil"/>
                  </w:tcBorders>
                  <w:noWrap w:val="0"/>
                  <w:vAlign w:val="center"/>
                </w:tcPr>
                <w:p w14:paraId="775DD5FD">
                  <w:pPr>
                    <w:keepNext w:val="0"/>
                    <w:keepLines w:val="0"/>
                    <w:suppressLineNumbers w:val="0"/>
                    <w:autoSpaceDE w:val="0"/>
                    <w:autoSpaceDN w:val="0"/>
                    <w:spacing w:before="0" w:beforeAutospacing="0" w:after="0" w:afterAutospacing="0"/>
                    <w:ind w:left="0" w:right="0"/>
                    <w:contextualSpacing/>
                    <w:jc w:val="center"/>
                    <w:rPr>
                      <w:rFonts w:hint="default" w:ascii="Times New Roman" w:hAnsi="Times New Roman"/>
                      <w:color w:val="auto"/>
                      <w:sz w:val="21"/>
                      <w:szCs w:val="21"/>
                    </w:rPr>
                  </w:pPr>
                  <w:r>
                    <w:rPr>
                      <w:rFonts w:hint="eastAsia" w:ascii="Times New Roman"/>
                      <w:color w:val="auto"/>
                      <w:sz w:val="21"/>
                      <w:szCs w:val="21"/>
                    </w:rPr>
                    <w:t>不属于</w:t>
                  </w:r>
                </w:p>
              </w:tc>
            </w:tr>
            <w:tr w14:paraId="2FCF0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 w:type="pct"/>
                  <w:vMerge w:val="restart"/>
                  <w:tcBorders>
                    <w:tl2br w:val="nil"/>
                    <w:tr2bl w:val="nil"/>
                  </w:tcBorders>
                  <w:noWrap w:val="0"/>
                  <w:vAlign w:val="center"/>
                </w:tcPr>
                <w:p w14:paraId="31166137">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rPr>
                  </w:pPr>
                  <w:r>
                    <w:rPr>
                      <w:rFonts w:hint="default" w:ascii="Times New Roman" w:hAnsi="Times New Roman"/>
                      <w:color w:val="auto"/>
                      <w:sz w:val="21"/>
                      <w:szCs w:val="21"/>
                    </w:rPr>
                    <w:t>2</w:t>
                  </w:r>
                </w:p>
              </w:tc>
              <w:tc>
                <w:tcPr>
                  <w:tcW w:w="650" w:type="pct"/>
                  <w:vMerge w:val="restart"/>
                  <w:tcBorders>
                    <w:tl2br w:val="nil"/>
                    <w:tr2bl w:val="nil"/>
                  </w:tcBorders>
                  <w:noWrap w:val="0"/>
                  <w:vAlign w:val="center"/>
                </w:tcPr>
                <w:p w14:paraId="20EBD84D">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严格落实产能置换要求</w:t>
                  </w:r>
                </w:p>
              </w:tc>
              <w:tc>
                <w:tcPr>
                  <w:tcW w:w="1375" w:type="pct"/>
                  <w:tcBorders>
                    <w:tl2br w:val="nil"/>
                    <w:tr2bl w:val="nil"/>
                  </w:tcBorders>
                  <w:noWrap w:val="0"/>
                  <w:vAlign w:val="center"/>
                </w:tcPr>
                <w:p w14:paraId="317305AC">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推动产能过剩行业减量发展、优化布局。不以任何名义、任何方式核准、备案产能严重过剩行业新增产能项目</w:t>
                  </w:r>
                </w:p>
              </w:tc>
              <w:tc>
                <w:tcPr>
                  <w:tcW w:w="1165" w:type="pct"/>
                  <w:tcBorders>
                    <w:tl2br w:val="nil"/>
                    <w:tr2bl w:val="nil"/>
                  </w:tcBorders>
                  <w:noWrap w:val="0"/>
                  <w:vAlign w:val="center"/>
                </w:tcPr>
                <w:p w14:paraId="2CA26BCF">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严重过剩行业新增产能项目环评不予审批</w:t>
                  </w:r>
                </w:p>
              </w:tc>
              <w:tc>
                <w:tcPr>
                  <w:tcW w:w="1119" w:type="pct"/>
                  <w:tcBorders>
                    <w:tl2br w:val="nil"/>
                    <w:tr2bl w:val="nil"/>
                  </w:tcBorders>
                  <w:noWrap w:val="0"/>
                  <w:vAlign w:val="center"/>
                </w:tcPr>
                <w:p w14:paraId="543A6A59">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本项目不属于过剩行业</w:t>
                  </w:r>
                </w:p>
              </w:tc>
              <w:tc>
                <w:tcPr>
                  <w:tcW w:w="506" w:type="pct"/>
                  <w:tcBorders>
                    <w:tl2br w:val="nil"/>
                    <w:tr2bl w:val="nil"/>
                  </w:tcBorders>
                  <w:noWrap w:val="0"/>
                  <w:vAlign w:val="center"/>
                </w:tcPr>
                <w:p w14:paraId="1A35CFD5">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rPr>
                  </w:pPr>
                  <w:r>
                    <w:rPr>
                      <w:rFonts w:hint="eastAsia" w:ascii="Times New Roman"/>
                      <w:color w:val="auto"/>
                      <w:sz w:val="21"/>
                      <w:szCs w:val="21"/>
                    </w:rPr>
                    <w:t>不属于</w:t>
                  </w:r>
                </w:p>
              </w:tc>
            </w:tr>
            <w:tr w14:paraId="66E73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 w:type="pct"/>
                  <w:vMerge w:val="continue"/>
                  <w:tcBorders>
                    <w:tl2br w:val="nil"/>
                    <w:tr2bl w:val="nil"/>
                  </w:tcBorders>
                  <w:noWrap w:val="0"/>
                  <w:vAlign w:val="center"/>
                </w:tcPr>
                <w:p w14:paraId="0A167972">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rPr>
                  </w:pPr>
                </w:p>
              </w:tc>
              <w:tc>
                <w:tcPr>
                  <w:tcW w:w="650" w:type="pct"/>
                  <w:vMerge w:val="continue"/>
                  <w:tcBorders>
                    <w:tl2br w:val="nil"/>
                    <w:tr2bl w:val="nil"/>
                  </w:tcBorders>
                  <w:noWrap w:val="0"/>
                  <w:vAlign w:val="center"/>
                </w:tcPr>
                <w:p w14:paraId="52849D61">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rPr>
                  </w:pPr>
                </w:p>
              </w:tc>
              <w:tc>
                <w:tcPr>
                  <w:tcW w:w="1375" w:type="pct"/>
                  <w:tcBorders>
                    <w:tl2br w:val="nil"/>
                    <w:tr2bl w:val="nil"/>
                  </w:tcBorders>
                  <w:noWrap w:val="0"/>
                  <w:vAlign w:val="center"/>
                </w:tcPr>
                <w:p w14:paraId="2BEA2322">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被置换产能及其配套设施关停后，新建项目方可投产</w:t>
                  </w:r>
                </w:p>
              </w:tc>
              <w:tc>
                <w:tcPr>
                  <w:tcW w:w="1165" w:type="pct"/>
                  <w:tcBorders>
                    <w:tl2br w:val="nil"/>
                    <w:tr2bl w:val="nil"/>
                  </w:tcBorders>
                  <w:noWrap w:val="0"/>
                  <w:vAlign w:val="center"/>
                </w:tcPr>
                <w:p w14:paraId="575FE710">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涉及产能置换项目环评阶段应取得置换产能</w:t>
                  </w:r>
                </w:p>
              </w:tc>
              <w:tc>
                <w:tcPr>
                  <w:tcW w:w="1119" w:type="pct"/>
                  <w:tcBorders>
                    <w:tl2br w:val="nil"/>
                    <w:tr2bl w:val="nil"/>
                  </w:tcBorders>
                  <w:noWrap w:val="0"/>
                  <w:vAlign w:val="center"/>
                </w:tcPr>
                <w:p w14:paraId="21F8B5A4">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本项目不涉及产能置换</w:t>
                  </w:r>
                </w:p>
              </w:tc>
              <w:tc>
                <w:tcPr>
                  <w:tcW w:w="506" w:type="pct"/>
                  <w:tcBorders>
                    <w:tl2br w:val="nil"/>
                    <w:tr2bl w:val="nil"/>
                  </w:tcBorders>
                  <w:noWrap w:val="0"/>
                  <w:vAlign w:val="center"/>
                </w:tcPr>
                <w:p w14:paraId="3093592A">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rPr>
                  </w:pPr>
                  <w:r>
                    <w:rPr>
                      <w:rFonts w:hint="eastAsia" w:ascii="Times New Roman"/>
                      <w:color w:val="auto"/>
                      <w:sz w:val="21"/>
                      <w:szCs w:val="21"/>
                    </w:rPr>
                    <w:t>不属于</w:t>
                  </w:r>
                </w:p>
              </w:tc>
            </w:tr>
            <w:tr w14:paraId="36138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6"/>
                  <w:tcBorders>
                    <w:tl2br w:val="nil"/>
                    <w:tr2bl w:val="nil"/>
                  </w:tcBorders>
                  <w:noWrap w:val="0"/>
                  <w:vAlign w:val="center"/>
                </w:tcPr>
                <w:p w14:paraId="35F12B31">
                  <w:pPr>
                    <w:keepNext w:val="0"/>
                    <w:keepLines w:val="0"/>
                    <w:suppressLineNumbers w:val="0"/>
                    <w:spacing w:before="0" w:beforeAutospacing="0" w:after="0" w:afterAutospacing="0"/>
                    <w:ind w:left="0" w:right="0"/>
                    <w:contextualSpacing/>
                    <w:jc w:val="center"/>
                    <w:rPr>
                      <w:rFonts w:hint="default" w:ascii="Times New Roman" w:hAnsi="Times New Roman"/>
                      <w:b/>
                      <w:color w:val="FF0000"/>
                      <w:sz w:val="21"/>
                      <w:szCs w:val="21"/>
                      <w:lang w:eastAsia="zh-CN"/>
                    </w:rPr>
                  </w:pPr>
                  <w:r>
                    <w:rPr>
                      <w:rFonts w:hint="default" w:ascii="Times New Roman" w:hAnsi="宋体"/>
                      <w:color w:val="auto"/>
                      <w:sz w:val="21"/>
                      <w:szCs w:val="21"/>
                      <w:lang w:eastAsia="zh-CN"/>
                    </w:rPr>
                    <w:t>（二）有序推动落后产能淘汰</w:t>
                  </w:r>
                </w:p>
              </w:tc>
            </w:tr>
            <w:tr w14:paraId="4C855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 w:type="pct"/>
                  <w:vMerge w:val="restart"/>
                  <w:tcBorders>
                    <w:tl2br w:val="nil"/>
                    <w:tr2bl w:val="nil"/>
                  </w:tcBorders>
                  <w:noWrap w:val="0"/>
                  <w:vAlign w:val="center"/>
                </w:tcPr>
                <w:p w14:paraId="48A814C1">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rPr>
                  </w:pPr>
                  <w:r>
                    <w:rPr>
                      <w:rFonts w:hint="default" w:ascii="Times New Roman" w:hAnsi="Times New Roman"/>
                      <w:color w:val="auto"/>
                      <w:sz w:val="21"/>
                      <w:szCs w:val="21"/>
                    </w:rPr>
                    <w:t>5</w:t>
                  </w:r>
                </w:p>
              </w:tc>
              <w:tc>
                <w:tcPr>
                  <w:tcW w:w="650" w:type="pct"/>
                  <w:vMerge w:val="restart"/>
                  <w:tcBorders>
                    <w:tl2br w:val="nil"/>
                    <w:tr2bl w:val="nil"/>
                  </w:tcBorders>
                  <w:noWrap w:val="0"/>
                  <w:vAlign w:val="center"/>
                </w:tcPr>
                <w:p w14:paraId="19F55556">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有序推动生产设施老旧、工艺水平落后、环境管理水平低下等企业退出市场</w:t>
                  </w:r>
                </w:p>
              </w:tc>
              <w:tc>
                <w:tcPr>
                  <w:tcW w:w="1375" w:type="pct"/>
                  <w:tcBorders>
                    <w:tl2br w:val="nil"/>
                    <w:tr2bl w:val="nil"/>
                  </w:tcBorders>
                  <w:noWrap w:val="0"/>
                  <w:vAlign w:val="center"/>
                </w:tcPr>
                <w:p w14:paraId="2CCC9B32">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逐步淘汰步进式烧结机和球团竖炉以及半封闭式硅锰合金、镍铁、高碳铬铁、高碳锰铁电炉。有序推动落后煤炭洗选企业退出市场。禁止铝加工（深井铸造）企业新改扩建项目采用固定式保温炉组、钢丝绳铸造机</w:t>
                  </w:r>
                </w:p>
              </w:tc>
              <w:tc>
                <w:tcPr>
                  <w:tcW w:w="1165" w:type="pct"/>
                  <w:tcBorders>
                    <w:tl2br w:val="nil"/>
                    <w:tr2bl w:val="nil"/>
                  </w:tcBorders>
                  <w:noWrap w:val="0"/>
                  <w:vAlign w:val="center"/>
                </w:tcPr>
                <w:p w14:paraId="3278BEFF">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采用步进式烧结机和球团竖炉以及半封闭式硅锰合金、镍铁、高碳铬铁、高碳锰铁电炉新建项目环评不予审批</w:t>
                  </w:r>
                </w:p>
              </w:tc>
              <w:tc>
                <w:tcPr>
                  <w:tcW w:w="1119" w:type="pct"/>
                  <w:tcBorders>
                    <w:tl2br w:val="nil"/>
                    <w:tr2bl w:val="nil"/>
                  </w:tcBorders>
                  <w:noWrap w:val="0"/>
                  <w:vAlign w:val="center"/>
                </w:tcPr>
                <w:p w14:paraId="210D93E2">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本项目不涉及步进式烧结机和球团竖炉以及半封闭式硅锰合金、镍铁、高碳铬铁、高碳锰铁电炉</w:t>
                  </w:r>
                </w:p>
              </w:tc>
              <w:tc>
                <w:tcPr>
                  <w:tcW w:w="506" w:type="pct"/>
                  <w:tcBorders>
                    <w:tl2br w:val="nil"/>
                    <w:tr2bl w:val="nil"/>
                  </w:tcBorders>
                  <w:noWrap w:val="0"/>
                  <w:vAlign w:val="center"/>
                </w:tcPr>
                <w:p w14:paraId="60A40C27">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rPr>
                  </w:pPr>
                  <w:r>
                    <w:rPr>
                      <w:rFonts w:hint="eastAsia" w:ascii="Times New Roman"/>
                      <w:color w:val="auto"/>
                      <w:sz w:val="21"/>
                      <w:szCs w:val="21"/>
                    </w:rPr>
                    <w:t>不属于</w:t>
                  </w:r>
                </w:p>
              </w:tc>
            </w:tr>
            <w:tr w14:paraId="37AD3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 w:type="pct"/>
                  <w:vMerge w:val="continue"/>
                  <w:tcBorders>
                    <w:tl2br w:val="nil"/>
                    <w:tr2bl w:val="nil"/>
                  </w:tcBorders>
                  <w:noWrap w:val="0"/>
                  <w:vAlign w:val="center"/>
                </w:tcPr>
                <w:p w14:paraId="624057B8">
                  <w:pPr>
                    <w:keepNext w:val="0"/>
                    <w:keepLines w:val="0"/>
                    <w:suppressLineNumbers w:val="0"/>
                    <w:spacing w:before="0" w:beforeAutospacing="0" w:after="0" w:afterAutospacing="0"/>
                    <w:ind w:left="0" w:right="0"/>
                    <w:contextualSpacing/>
                    <w:jc w:val="center"/>
                    <w:rPr>
                      <w:rFonts w:hint="default" w:ascii="Times New Roman" w:hAnsi="Times New Roman"/>
                      <w:b/>
                      <w:color w:val="FF0000"/>
                      <w:sz w:val="21"/>
                      <w:szCs w:val="21"/>
                    </w:rPr>
                  </w:pPr>
                </w:p>
              </w:tc>
              <w:tc>
                <w:tcPr>
                  <w:tcW w:w="650" w:type="pct"/>
                  <w:vMerge w:val="continue"/>
                  <w:tcBorders>
                    <w:tl2br w:val="nil"/>
                    <w:tr2bl w:val="nil"/>
                  </w:tcBorders>
                  <w:noWrap w:val="0"/>
                  <w:vAlign w:val="center"/>
                </w:tcPr>
                <w:p w14:paraId="544C323E">
                  <w:pPr>
                    <w:keepNext w:val="0"/>
                    <w:keepLines w:val="0"/>
                    <w:suppressLineNumbers w:val="0"/>
                    <w:spacing w:before="0" w:beforeAutospacing="0" w:after="0" w:afterAutospacing="0"/>
                    <w:ind w:left="0" w:right="0"/>
                    <w:contextualSpacing/>
                    <w:jc w:val="center"/>
                    <w:rPr>
                      <w:rFonts w:hint="default" w:ascii="Times New Roman" w:hAnsi="Times New Roman"/>
                      <w:b/>
                      <w:color w:val="FF0000"/>
                      <w:sz w:val="21"/>
                      <w:szCs w:val="21"/>
                    </w:rPr>
                  </w:pPr>
                </w:p>
              </w:tc>
              <w:tc>
                <w:tcPr>
                  <w:tcW w:w="1375" w:type="pct"/>
                  <w:tcBorders>
                    <w:tl2br w:val="nil"/>
                    <w:tr2bl w:val="nil"/>
                  </w:tcBorders>
                  <w:noWrap w:val="0"/>
                  <w:vAlign w:val="center"/>
                </w:tcPr>
                <w:p w14:paraId="3BD221A8">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lang w:eastAsia="zh-CN"/>
                    </w:rPr>
                  </w:pPr>
                  <w:r>
                    <w:rPr>
                      <w:rFonts w:hint="default" w:ascii="Times New Roman" w:hAnsi="宋体"/>
                      <w:color w:val="auto"/>
                      <w:sz w:val="21"/>
                      <w:szCs w:val="21"/>
                      <w:lang w:eastAsia="zh-CN"/>
                    </w:rPr>
                    <w:t>落后煤炭洗选项目不予审批</w:t>
                  </w:r>
                </w:p>
              </w:tc>
              <w:tc>
                <w:tcPr>
                  <w:tcW w:w="1165" w:type="pct"/>
                  <w:tcBorders>
                    <w:tl2br w:val="nil"/>
                    <w:tr2bl w:val="nil"/>
                  </w:tcBorders>
                  <w:noWrap w:val="0"/>
                  <w:vAlign w:val="center"/>
                </w:tcPr>
                <w:p w14:paraId="172F2D7E">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落后煤炭洗选项目不予审批</w:t>
                  </w:r>
                </w:p>
              </w:tc>
              <w:tc>
                <w:tcPr>
                  <w:tcW w:w="1119" w:type="pct"/>
                  <w:tcBorders>
                    <w:tl2br w:val="nil"/>
                    <w:tr2bl w:val="nil"/>
                  </w:tcBorders>
                  <w:noWrap w:val="0"/>
                  <w:vAlign w:val="center"/>
                </w:tcPr>
                <w:p w14:paraId="56CF4CC5">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不属于煤炭洗选项目</w:t>
                  </w:r>
                </w:p>
              </w:tc>
              <w:tc>
                <w:tcPr>
                  <w:tcW w:w="506" w:type="pct"/>
                  <w:tcBorders>
                    <w:tl2br w:val="nil"/>
                    <w:tr2bl w:val="nil"/>
                  </w:tcBorders>
                  <w:noWrap w:val="0"/>
                  <w:vAlign w:val="center"/>
                </w:tcPr>
                <w:p w14:paraId="34D34C76">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rPr>
                  </w:pPr>
                  <w:r>
                    <w:rPr>
                      <w:rFonts w:hint="eastAsia" w:ascii="Times New Roman"/>
                      <w:color w:val="auto"/>
                      <w:sz w:val="21"/>
                      <w:szCs w:val="21"/>
                    </w:rPr>
                    <w:t>不属于</w:t>
                  </w:r>
                </w:p>
              </w:tc>
            </w:tr>
            <w:tr w14:paraId="6DC92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 w:type="pct"/>
                  <w:vMerge w:val="continue"/>
                  <w:tcBorders>
                    <w:tl2br w:val="nil"/>
                    <w:tr2bl w:val="nil"/>
                  </w:tcBorders>
                  <w:noWrap w:val="0"/>
                  <w:vAlign w:val="center"/>
                </w:tcPr>
                <w:p w14:paraId="1C01ED55">
                  <w:pPr>
                    <w:keepNext w:val="0"/>
                    <w:keepLines w:val="0"/>
                    <w:suppressLineNumbers w:val="0"/>
                    <w:spacing w:before="0" w:beforeAutospacing="0" w:after="0" w:afterAutospacing="0"/>
                    <w:ind w:left="0" w:right="0"/>
                    <w:contextualSpacing/>
                    <w:jc w:val="center"/>
                    <w:rPr>
                      <w:rFonts w:hint="default" w:ascii="Times New Roman" w:hAnsi="Times New Roman"/>
                      <w:b/>
                      <w:color w:val="FF0000"/>
                      <w:sz w:val="21"/>
                      <w:szCs w:val="21"/>
                    </w:rPr>
                  </w:pPr>
                </w:p>
              </w:tc>
              <w:tc>
                <w:tcPr>
                  <w:tcW w:w="650" w:type="pct"/>
                  <w:vMerge w:val="continue"/>
                  <w:tcBorders>
                    <w:tl2br w:val="nil"/>
                    <w:tr2bl w:val="nil"/>
                  </w:tcBorders>
                  <w:noWrap w:val="0"/>
                  <w:vAlign w:val="center"/>
                </w:tcPr>
                <w:p w14:paraId="143F7663">
                  <w:pPr>
                    <w:keepNext w:val="0"/>
                    <w:keepLines w:val="0"/>
                    <w:suppressLineNumbers w:val="0"/>
                    <w:spacing w:before="0" w:beforeAutospacing="0" w:after="0" w:afterAutospacing="0"/>
                    <w:ind w:left="0" w:right="0"/>
                    <w:contextualSpacing/>
                    <w:jc w:val="center"/>
                    <w:rPr>
                      <w:rFonts w:hint="default" w:ascii="Times New Roman" w:hAnsi="Times New Roman"/>
                      <w:b/>
                      <w:color w:val="FF0000"/>
                      <w:sz w:val="21"/>
                      <w:szCs w:val="21"/>
                    </w:rPr>
                  </w:pPr>
                </w:p>
              </w:tc>
              <w:tc>
                <w:tcPr>
                  <w:tcW w:w="1375" w:type="pct"/>
                  <w:tcBorders>
                    <w:tl2br w:val="nil"/>
                    <w:tr2bl w:val="nil"/>
                  </w:tcBorders>
                  <w:noWrap w:val="0"/>
                  <w:vAlign w:val="center"/>
                </w:tcPr>
                <w:p w14:paraId="2FBB216A">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lang w:eastAsia="zh-CN"/>
                    </w:rPr>
                  </w:pPr>
                  <w:r>
                    <w:rPr>
                      <w:rFonts w:hint="default" w:ascii="Times New Roman" w:hAnsi="宋体"/>
                      <w:color w:val="auto"/>
                      <w:sz w:val="21"/>
                      <w:szCs w:val="21"/>
                      <w:lang w:eastAsia="zh-CN"/>
                    </w:rPr>
                    <w:t>采用固定式保温炉组、钢丝绳铸造机的新改扩建铝加工（深井铸造）项目环评不予审批</w:t>
                  </w:r>
                </w:p>
              </w:tc>
              <w:tc>
                <w:tcPr>
                  <w:tcW w:w="1165" w:type="pct"/>
                  <w:tcBorders>
                    <w:tl2br w:val="nil"/>
                    <w:tr2bl w:val="nil"/>
                  </w:tcBorders>
                  <w:noWrap w:val="0"/>
                  <w:vAlign w:val="center"/>
                </w:tcPr>
                <w:p w14:paraId="5DF52516">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采用固定式保温炉组、钢丝绳铸造机的新改扩建铝加工（深井铸造）项目环评不予审批</w:t>
                  </w:r>
                </w:p>
              </w:tc>
              <w:tc>
                <w:tcPr>
                  <w:tcW w:w="1119" w:type="pct"/>
                  <w:tcBorders>
                    <w:tl2br w:val="nil"/>
                    <w:tr2bl w:val="nil"/>
                  </w:tcBorders>
                  <w:noWrap w:val="0"/>
                  <w:vAlign w:val="center"/>
                </w:tcPr>
                <w:p w14:paraId="090FC142">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不属于采用固定式保温炉组、钢丝绳铸造机的新改扩建铝加工（深井铸造）项目</w:t>
                  </w:r>
                </w:p>
              </w:tc>
              <w:tc>
                <w:tcPr>
                  <w:tcW w:w="506" w:type="pct"/>
                  <w:tcBorders>
                    <w:tl2br w:val="nil"/>
                    <w:tr2bl w:val="nil"/>
                  </w:tcBorders>
                  <w:noWrap w:val="0"/>
                  <w:vAlign w:val="center"/>
                </w:tcPr>
                <w:p w14:paraId="0351E603">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rPr>
                  </w:pPr>
                  <w:r>
                    <w:rPr>
                      <w:rFonts w:hint="eastAsia" w:ascii="Times New Roman"/>
                      <w:color w:val="auto"/>
                      <w:sz w:val="21"/>
                      <w:szCs w:val="21"/>
                    </w:rPr>
                    <w:t>不属于</w:t>
                  </w:r>
                </w:p>
              </w:tc>
            </w:tr>
            <w:tr w14:paraId="2F931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 w:type="pct"/>
                  <w:tcBorders>
                    <w:tl2br w:val="nil"/>
                    <w:tr2bl w:val="nil"/>
                  </w:tcBorders>
                  <w:noWrap w:val="0"/>
                  <w:vAlign w:val="center"/>
                </w:tcPr>
                <w:p w14:paraId="65B07962">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rPr>
                  </w:pPr>
                  <w:r>
                    <w:rPr>
                      <w:rFonts w:hint="default" w:ascii="Times New Roman" w:hAnsi="Times New Roman"/>
                      <w:color w:val="auto"/>
                      <w:sz w:val="21"/>
                      <w:szCs w:val="21"/>
                    </w:rPr>
                    <w:t>6</w:t>
                  </w:r>
                </w:p>
              </w:tc>
              <w:tc>
                <w:tcPr>
                  <w:tcW w:w="650" w:type="pct"/>
                  <w:tcBorders>
                    <w:tl2br w:val="nil"/>
                    <w:tr2bl w:val="nil"/>
                  </w:tcBorders>
                  <w:noWrap w:val="0"/>
                  <w:vAlign w:val="center"/>
                </w:tcPr>
                <w:p w14:paraId="7FDE80EC">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rPr>
                  </w:pPr>
                  <w:r>
                    <w:rPr>
                      <w:rFonts w:hint="default" w:ascii="Times New Roman" w:hAnsi="宋体"/>
                      <w:color w:val="auto"/>
                      <w:sz w:val="21"/>
                      <w:szCs w:val="21"/>
                    </w:rPr>
                    <w:t>严禁违规新增产能</w:t>
                  </w:r>
                </w:p>
              </w:tc>
              <w:tc>
                <w:tcPr>
                  <w:tcW w:w="1375" w:type="pct"/>
                  <w:tcBorders>
                    <w:tl2br w:val="nil"/>
                    <w:tr2bl w:val="nil"/>
                  </w:tcBorders>
                  <w:noWrap w:val="0"/>
                  <w:vAlign w:val="center"/>
                </w:tcPr>
                <w:p w14:paraId="44E1EA58">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严禁违规新增钢铁、水泥（熟料）、焦化、电解铝、平板玻璃（不含光伏压延玻璃）产能</w:t>
                  </w:r>
                </w:p>
              </w:tc>
              <w:tc>
                <w:tcPr>
                  <w:tcW w:w="1165" w:type="pct"/>
                  <w:tcBorders>
                    <w:tl2br w:val="nil"/>
                    <w:tr2bl w:val="nil"/>
                  </w:tcBorders>
                  <w:noWrap w:val="0"/>
                  <w:vAlign w:val="center"/>
                </w:tcPr>
                <w:p w14:paraId="501A54CD">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违规新增钢铁、水泥（熟料）、焦化、电解铝、平板玻璃（不含光伏压延玻璃）产能项目环评不予审批</w:t>
                  </w:r>
                </w:p>
              </w:tc>
              <w:tc>
                <w:tcPr>
                  <w:tcW w:w="1119" w:type="pct"/>
                  <w:tcBorders>
                    <w:tl2br w:val="nil"/>
                    <w:tr2bl w:val="nil"/>
                  </w:tcBorders>
                  <w:noWrap w:val="0"/>
                  <w:vAlign w:val="center"/>
                </w:tcPr>
                <w:p w14:paraId="35295AB1">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Times New Roman"/>
                      <w:color w:val="auto"/>
                      <w:sz w:val="21"/>
                      <w:szCs w:val="21"/>
                      <w:lang w:eastAsia="zh-CN"/>
                    </w:rPr>
                    <w:t>本</w:t>
                  </w:r>
                  <w:r>
                    <w:rPr>
                      <w:rFonts w:hint="default" w:ascii="Times New Roman" w:hAnsi="宋体"/>
                      <w:color w:val="auto"/>
                      <w:sz w:val="21"/>
                      <w:szCs w:val="21"/>
                      <w:lang w:eastAsia="zh-CN"/>
                    </w:rPr>
                    <w:t>项目</w:t>
                  </w:r>
                  <w:r>
                    <w:rPr>
                      <w:rFonts w:hint="default" w:ascii="Times New Roman" w:hAnsi="Times New Roman"/>
                      <w:color w:val="auto"/>
                      <w:sz w:val="21"/>
                      <w:szCs w:val="21"/>
                      <w:lang w:eastAsia="zh-CN"/>
                    </w:rPr>
                    <w:t>属于</w:t>
                  </w:r>
                  <w:r>
                    <w:rPr>
                      <w:rStyle w:val="103"/>
                      <w:rFonts w:hint="default"/>
                      <w:color w:val="auto"/>
                      <w:lang w:val="en-US" w:eastAsia="zh-CN"/>
                    </w:rPr>
                    <w:t>C</w:t>
                  </w:r>
                  <w:r>
                    <w:rPr>
                      <w:rStyle w:val="103"/>
                      <w:rFonts w:hint="eastAsia"/>
                      <w:color w:val="auto"/>
                      <w:lang w:val="en-US" w:eastAsia="zh-CN"/>
                    </w:rPr>
                    <w:t>3360金属表面处理及热处理加工</w:t>
                  </w:r>
                  <w:r>
                    <w:rPr>
                      <w:rFonts w:hint="default" w:ascii="Times New Roman" w:hAnsi="宋体"/>
                      <w:color w:val="auto"/>
                      <w:sz w:val="21"/>
                      <w:szCs w:val="21"/>
                      <w:lang w:eastAsia="zh-CN"/>
                    </w:rPr>
                    <w:t>，不属于钢铁、水泥（熟料）、焦化、电解铝、平板玻璃（不含光伏压延玻璃）行业</w:t>
                  </w:r>
                </w:p>
              </w:tc>
              <w:tc>
                <w:tcPr>
                  <w:tcW w:w="506" w:type="pct"/>
                  <w:tcBorders>
                    <w:tl2br w:val="nil"/>
                    <w:tr2bl w:val="nil"/>
                  </w:tcBorders>
                  <w:noWrap w:val="0"/>
                  <w:vAlign w:val="center"/>
                </w:tcPr>
                <w:p w14:paraId="5153013E">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rPr>
                  </w:pPr>
                  <w:r>
                    <w:rPr>
                      <w:rFonts w:hint="eastAsia" w:ascii="Times New Roman"/>
                      <w:color w:val="auto"/>
                      <w:sz w:val="21"/>
                      <w:szCs w:val="21"/>
                    </w:rPr>
                    <w:t>不属于</w:t>
                  </w:r>
                </w:p>
              </w:tc>
            </w:tr>
            <w:tr w14:paraId="2F9B0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6"/>
                  <w:tcBorders>
                    <w:tl2br w:val="nil"/>
                    <w:tr2bl w:val="nil"/>
                  </w:tcBorders>
                  <w:noWrap w:val="0"/>
                  <w:vAlign w:val="center"/>
                </w:tcPr>
                <w:p w14:paraId="7C1C1FB2">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lang w:eastAsia="zh-CN"/>
                    </w:rPr>
                  </w:pPr>
                  <w:r>
                    <w:rPr>
                      <w:rFonts w:hint="default" w:ascii="Times New Roman" w:hAnsi="宋体"/>
                      <w:color w:val="auto"/>
                      <w:sz w:val="21"/>
                      <w:szCs w:val="21"/>
                      <w:lang w:eastAsia="zh-CN"/>
                    </w:rPr>
                    <w:t>（六）推动煤炭消费减量替代</w:t>
                  </w:r>
                </w:p>
              </w:tc>
            </w:tr>
            <w:tr w14:paraId="495E1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 w:type="pct"/>
                  <w:tcBorders>
                    <w:tl2br w:val="nil"/>
                    <w:tr2bl w:val="nil"/>
                  </w:tcBorders>
                  <w:noWrap w:val="0"/>
                  <w:vAlign w:val="center"/>
                </w:tcPr>
                <w:p w14:paraId="042E0D84">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rPr>
                  </w:pPr>
                  <w:r>
                    <w:rPr>
                      <w:rFonts w:hint="default" w:ascii="Times New Roman" w:hAnsi="Times New Roman"/>
                      <w:color w:val="auto"/>
                      <w:sz w:val="21"/>
                      <w:szCs w:val="21"/>
                    </w:rPr>
                    <w:t>16</w:t>
                  </w:r>
                </w:p>
              </w:tc>
              <w:tc>
                <w:tcPr>
                  <w:tcW w:w="650" w:type="pct"/>
                  <w:tcBorders>
                    <w:tl2br w:val="nil"/>
                    <w:tr2bl w:val="nil"/>
                  </w:tcBorders>
                  <w:noWrap w:val="0"/>
                  <w:vAlign w:val="center"/>
                </w:tcPr>
                <w:p w14:paraId="53925CC6">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推动煤炭等量或减量替代</w:t>
                  </w:r>
                </w:p>
              </w:tc>
              <w:tc>
                <w:tcPr>
                  <w:tcW w:w="1375" w:type="pct"/>
                  <w:tcBorders>
                    <w:tl2br w:val="nil"/>
                    <w:tr2bl w:val="nil"/>
                  </w:tcBorders>
                  <w:noWrap w:val="0"/>
                  <w:vAlign w:val="center"/>
                </w:tcPr>
                <w:p w14:paraId="25C76DD2">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重点区域新改扩建用煤项目，依法实行煤炭等量或减量替代，替代方案不完善的能评、环评等不予审批；不得使用石油焦、焦炭、兰炭等高污染燃料作为煤炭减量替代措施</w:t>
                  </w:r>
                </w:p>
              </w:tc>
              <w:tc>
                <w:tcPr>
                  <w:tcW w:w="1165" w:type="pct"/>
                  <w:tcBorders>
                    <w:tl2br w:val="nil"/>
                    <w:tr2bl w:val="nil"/>
                  </w:tcBorders>
                  <w:noWrap w:val="0"/>
                  <w:vAlign w:val="center"/>
                </w:tcPr>
                <w:p w14:paraId="72E2BBD8">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重点区域新改扩建用煤项目，依法实行煤炭等量或减量替代，替代方案不完善的环评不予审批；不得使用石油焦、焦炭、兰炭等高污染燃料作为煤炭减量替代措施</w:t>
                  </w:r>
                </w:p>
              </w:tc>
              <w:tc>
                <w:tcPr>
                  <w:tcW w:w="1119" w:type="pct"/>
                  <w:tcBorders>
                    <w:tl2br w:val="nil"/>
                    <w:tr2bl w:val="nil"/>
                  </w:tcBorders>
                  <w:noWrap w:val="0"/>
                  <w:vAlign w:val="center"/>
                </w:tcPr>
                <w:p w14:paraId="3C100665">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本项目不使用煤，不使用石油焦、焦炭、兰炭等高污染燃料</w:t>
                  </w:r>
                </w:p>
              </w:tc>
              <w:tc>
                <w:tcPr>
                  <w:tcW w:w="506" w:type="pct"/>
                  <w:tcBorders>
                    <w:tl2br w:val="nil"/>
                    <w:tr2bl w:val="nil"/>
                  </w:tcBorders>
                  <w:noWrap w:val="0"/>
                  <w:vAlign w:val="center"/>
                </w:tcPr>
                <w:p w14:paraId="4B9BC238">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rPr>
                  </w:pPr>
                  <w:r>
                    <w:rPr>
                      <w:rFonts w:hint="default" w:ascii="Times New Roman"/>
                      <w:color w:val="auto"/>
                      <w:sz w:val="21"/>
                      <w:szCs w:val="21"/>
                    </w:rPr>
                    <w:t>不属于</w:t>
                  </w:r>
                </w:p>
              </w:tc>
            </w:tr>
            <w:tr w14:paraId="30296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 w:hRule="atLeast"/>
                <w:jc w:val="center"/>
              </w:trPr>
              <w:tc>
                <w:tcPr>
                  <w:tcW w:w="5000" w:type="pct"/>
                  <w:gridSpan w:val="6"/>
                  <w:tcBorders>
                    <w:tl2br w:val="nil"/>
                    <w:tr2bl w:val="nil"/>
                  </w:tcBorders>
                  <w:noWrap w:val="0"/>
                  <w:vAlign w:val="center"/>
                </w:tcPr>
                <w:p w14:paraId="17D0CA50">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lang w:eastAsia="zh-CN"/>
                    </w:rPr>
                  </w:pPr>
                  <w:r>
                    <w:rPr>
                      <w:rFonts w:hint="default" w:ascii="Times New Roman" w:hAnsi="宋体"/>
                      <w:color w:val="auto"/>
                      <w:sz w:val="21"/>
                      <w:szCs w:val="21"/>
                      <w:lang w:eastAsia="zh-CN"/>
                    </w:rPr>
                    <w:t>（七）加快推动燃煤锅炉机组升级改造</w:t>
                  </w:r>
                </w:p>
              </w:tc>
            </w:tr>
            <w:tr w14:paraId="32302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 w:type="pct"/>
                  <w:tcBorders>
                    <w:tl2br w:val="nil"/>
                    <w:tr2bl w:val="nil"/>
                  </w:tcBorders>
                  <w:noWrap w:val="0"/>
                  <w:vAlign w:val="center"/>
                </w:tcPr>
                <w:p w14:paraId="6C12BD23">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rPr>
                  </w:pPr>
                  <w:r>
                    <w:rPr>
                      <w:rFonts w:hint="default" w:ascii="Times New Roman" w:hAnsi="Times New Roman"/>
                      <w:color w:val="auto"/>
                      <w:sz w:val="21"/>
                      <w:szCs w:val="21"/>
                    </w:rPr>
                    <w:t>19</w:t>
                  </w:r>
                </w:p>
              </w:tc>
              <w:tc>
                <w:tcPr>
                  <w:tcW w:w="650" w:type="pct"/>
                  <w:tcBorders>
                    <w:tl2br w:val="nil"/>
                    <w:tr2bl w:val="nil"/>
                  </w:tcBorders>
                  <w:noWrap w:val="0"/>
                  <w:vAlign w:val="center"/>
                </w:tcPr>
                <w:p w14:paraId="1F4F2E1B">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严控热源性燃煤设施建设</w:t>
                  </w:r>
                </w:p>
              </w:tc>
              <w:tc>
                <w:tcPr>
                  <w:tcW w:w="1375" w:type="pct"/>
                  <w:tcBorders>
                    <w:tl2br w:val="nil"/>
                    <w:tr2bl w:val="nil"/>
                  </w:tcBorders>
                  <w:noWrap w:val="0"/>
                  <w:vAlign w:val="center"/>
                </w:tcPr>
                <w:p w14:paraId="03A9E646">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重点区域原则上不再新建除集中供暖外的燃煤锅炉</w:t>
                  </w:r>
                </w:p>
              </w:tc>
              <w:tc>
                <w:tcPr>
                  <w:tcW w:w="1165" w:type="pct"/>
                  <w:tcBorders>
                    <w:tl2br w:val="nil"/>
                    <w:tr2bl w:val="nil"/>
                  </w:tcBorders>
                  <w:noWrap w:val="0"/>
                  <w:vAlign w:val="center"/>
                </w:tcPr>
                <w:p w14:paraId="434DF90F">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原则上不得审批除集中供暖外的燃煤锅炉</w:t>
                  </w:r>
                </w:p>
              </w:tc>
              <w:tc>
                <w:tcPr>
                  <w:tcW w:w="1119" w:type="pct"/>
                  <w:tcBorders>
                    <w:tl2br w:val="nil"/>
                    <w:tr2bl w:val="nil"/>
                  </w:tcBorders>
                  <w:noWrap w:val="0"/>
                  <w:vAlign w:val="center"/>
                </w:tcPr>
                <w:p w14:paraId="5FEF13D9">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本项目不涉及燃煤锅炉</w:t>
                  </w:r>
                </w:p>
              </w:tc>
              <w:tc>
                <w:tcPr>
                  <w:tcW w:w="506" w:type="pct"/>
                  <w:tcBorders>
                    <w:tl2br w:val="nil"/>
                    <w:tr2bl w:val="nil"/>
                  </w:tcBorders>
                  <w:noWrap w:val="0"/>
                  <w:vAlign w:val="center"/>
                </w:tcPr>
                <w:p w14:paraId="0EB763A4">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rPr>
                  </w:pPr>
                  <w:r>
                    <w:rPr>
                      <w:rFonts w:hint="default" w:ascii="Times New Roman"/>
                      <w:color w:val="auto"/>
                      <w:sz w:val="21"/>
                      <w:szCs w:val="21"/>
                    </w:rPr>
                    <w:t>不属于</w:t>
                  </w:r>
                </w:p>
              </w:tc>
            </w:tr>
            <w:tr w14:paraId="5B117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 w:type="pct"/>
                  <w:tcBorders>
                    <w:tl2br w:val="nil"/>
                    <w:tr2bl w:val="nil"/>
                  </w:tcBorders>
                  <w:noWrap w:val="0"/>
                  <w:vAlign w:val="center"/>
                </w:tcPr>
                <w:p w14:paraId="5B7E02C7">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rPr>
                  </w:pPr>
                  <w:r>
                    <w:rPr>
                      <w:rFonts w:hint="default" w:ascii="Times New Roman" w:hAnsi="Times New Roman"/>
                      <w:color w:val="auto"/>
                      <w:sz w:val="21"/>
                      <w:szCs w:val="21"/>
                    </w:rPr>
                    <w:t>21</w:t>
                  </w:r>
                </w:p>
              </w:tc>
              <w:tc>
                <w:tcPr>
                  <w:tcW w:w="650" w:type="pct"/>
                  <w:tcBorders>
                    <w:tl2br w:val="nil"/>
                    <w:tr2bl w:val="nil"/>
                  </w:tcBorders>
                  <w:noWrap w:val="0"/>
                  <w:vAlign w:val="center"/>
                </w:tcPr>
                <w:p w14:paraId="37B1B726">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推动现有燃煤机组升级改造</w:t>
                  </w:r>
                </w:p>
              </w:tc>
              <w:tc>
                <w:tcPr>
                  <w:tcW w:w="1375" w:type="pct"/>
                  <w:tcBorders>
                    <w:tl2br w:val="nil"/>
                    <w:tr2bl w:val="nil"/>
                  </w:tcBorders>
                  <w:noWrap w:val="0"/>
                  <w:vAlign w:val="center"/>
                </w:tcPr>
                <w:p w14:paraId="67CC35AA">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禁止新建自备燃煤机组，鼓励自备燃煤机组积极开展清洁能源替代。大力推动现有煤电机组开展节能降碳改造、灵活性改造、供热改造</w:t>
                  </w:r>
                  <w:r>
                    <w:rPr>
                      <w:rFonts w:hint="default" w:ascii="Times New Roman" w:hAnsi="Times New Roman"/>
                      <w:color w:val="auto"/>
                      <w:sz w:val="21"/>
                      <w:szCs w:val="21"/>
                      <w:lang w:eastAsia="zh-CN"/>
                    </w:rPr>
                    <w:t>“</w:t>
                  </w:r>
                  <w:r>
                    <w:rPr>
                      <w:rFonts w:hint="default" w:ascii="Times New Roman" w:hAnsi="宋体"/>
                      <w:color w:val="auto"/>
                      <w:sz w:val="21"/>
                      <w:szCs w:val="21"/>
                      <w:lang w:eastAsia="zh-CN"/>
                    </w:rPr>
                    <w:t>三改联动</w:t>
                  </w:r>
                  <w:r>
                    <w:rPr>
                      <w:rFonts w:hint="default" w:ascii="Times New Roman" w:hAnsi="Times New Roman"/>
                      <w:color w:val="auto"/>
                      <w:sz w:val="21"/>
                      <w:szCs w:val="21"/>
                      <w:lang w:eastAsia="zh-CN"/>
                    </w:rPr>
                    <w:t>”</w:t>
                  </w:r>
                </w:p>
              </w:tc>
              <w:tc>
                <w:tcPr>
                  <w:tcW w:w="1165" w:type="pct"/>
                  <w:tcBorders>
                    <w:tl2br w:val="nil"/>
                    <w:tr2bl w:val="nil"/>
                  </w:tcBorders>
                  <w:noWrap w:val="0"/>
                  <w:vAlign w:val="center"/>
                </w:tcPr>
                <w:p w14:paraId="20D2F15A">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新建自备燃煤机组环评项目不予审批</w:t>
                  </w:r>
                </w:p>
              </w:tc>
              <w:tc>
                <w:tcPr>
                  <w:tcW w:w="1119" w:type="pct"/>
                  <w:tcBorders>
                    <w:tl2br w:val="nil"/>
                    <w:tr2bl w:val="nil"/>
                  </w:tcBorders>
                  <w:noWrap w:val="0"/>
                  <w:vAlign w:val="center"/>
                </w:tcPr>
                <w:p w14:paraId="43AC12E2">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color w:val="auto"/>
                      <w:sz w:val="21"/>
                      <w:szCs w:val="21"/>
                      <w:lang w:eastAsia="zh-CN"/>
                    </w:rPr>
                    <w:t>本项目不</w:t>
                  </w:r>
                  <w:r>
                    <w:rPr>
                      <w:rFonts w:hint="default" w:ascii="Times New Roman" w:hAnsi="宋体"/>
                      <w:color w:val="auto"/>
                      <w:sz w:val="21"/>
                      <w:szCs w:val="21"/>
                      <w:lang w:eastAsia="zh-CN"/>
                    </w:rPr>
                    <w:t>新建自备燃煤机组</w:t>
                  </w:r>
                </w:p>
              </w:tc>
              <w:tc>
                <w:tcPr>
                  <w:tcW w:w="506" w:type="pct"/>
                  <w:tcBorders>
                    <w:tl2br w:val="nil"/>
                    <w:tr2bl w:val="nil"/>
                  </w:tcBorders>
                  <w:noWrap w:val="0"/>
                  <w:vAlign w:val="center"/>
                </w:tcPr>
                <w:p w14:paraId="0FDB884B">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rPr>
                  </w:pPr>
                  <w:r>
                    <w:rPr>
                      <w:rFonts w:hint="default" w:ascii="Times New Roman"/>
                      <w:color w:val="auto"/>
                      <w:sz w:val="21"/>
                      <w:szCs w:val="21"/>
                    </w:rPr>
                    <w:t>不属于</w:t>
                  </w:r>
                </w:p>
              </w:tc>
            </w:tr>
            <w:tr w14:paraId="455A7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6"/>
                  <w:tcBorders>
                    <w:tl2br w:val="nil"/>
                    <w:tr2bl w:val="nil"/>
                  </w:tcBorders>
                  <w:noWrap w:val="0"/>
                  <w:vAlign w:val="center"/>
                </w:tcPr>
                <w:p w14:paraId="709D7E8B">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lang w:eastAsia="zh-CN"/>
                    </w:rPr>
                  </w:pPr>
                  <w:r>
                    <w:rPr>
                      <w:rFonts w:hint="default" w:ascii="Times New Roman" w:hAnsi="宋体"/>
                      <w:color w:val="auto"/>
                      <w:sz w:val="21"/>
                      <w:szCs w:val="21"/>
                      <w:lang w:eastAsia="zh-CN"/>
                    </w:rPr>
                    <w:t>（八）推动工业炉窑清洁能源替代</w:t>
                  </w:r>
                </w:p>
              </w:tc>
            </w:tr>
            <w:tr w14:paraId="19C59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 w:type="pct"/>
                  <w:tcBorders>
                    <w:tl2br w:val="nil"/>
                    <w:tr2bl w:val="nil"/>
                  </w:tcBorders>
                  <w:noWrap w:val="0"/>
                  <w:vAlign w:val="center"/>
                </w:tcPr>
                <w:p w14:paraId="210C403A">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rPr>
                  </w:pPr>
                  <w:r>
                    <w:rPr>
                      <w:rFonts w:hint="default" w:ascii="Times New Roman" w:hAnsi="Times New Roman"/>
                      <w:color w:val="auto"/>
                      <w:sz w:val="21"/>
                      <w:szCs w:val="21"/>
                    </w:rPr>
                    <w:t>23</w:t>
                  </w:r>
                </w:p>
              </w:tc>
              <w:tc>
                <w:tcPr>
                  <w:tcW w:w="650" w:type="pct"/>
                  <w:tcBorders>
                    <w:tl2br w:val="nil"/>
                    <w:tr2bl w:val="nil"/>
                  </w:tcBorders>
                  <w:noWrap w:val="0"/>
                  <w:vAlign w:val="center"/>
                </w:tcPr>
                <w:p w14:paraId="09E96E85">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推动煤气发生炉清洁能源替代</w:t>
                  </w:r>
                </w:p>
              </w:tc>
              <w:tc>
                <w:tcPr>
                  <w:tcW w:w="1375" w:type="pct"/>
                  <w:tcBorders>
                    <w:tl2br w:val="nil"/>
                    <w:tr2bl w:val="nil"/>
                  </w:tcBorders>
                  <w:noWrap w:val="0"/>
                  <w:vAlign w:val="center"/>
                </w:tcPr>
                <w:p w14:paraId="6EE308B7">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重点区域不再新增燃料类煤气发生炉</w:t>
                  </w:r>
                </w:p>
              </w:tc>
              <w:tc>
                <w:tcPr>
                  <w:tcW w:w="1165" w:type="pct"/>
                  <w:tcBorders>
                    <w:tl2br w:val="nil"/>
                    <w:tr2bl w:val="nil"/>
                  </w:tcBorders>
                  <w:noWrap w:val="0"/>
                  <w:vAlign w:val="center"/>
                </w:tcPr>
                <w:p w14:paraId="5F2C3E93">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新增燃煤类煤气发生炉项目不予审批</w:t>
                  </w:r>
                </w:p>
              </w:tc>
              <w:tc>
                <w:tcPr>
                  <w:tcW w:w="1119" w:type="pct"/>
                  <w:tcBorders>
                    <w:tl2br w:val="nil"/>
                    <w:tr2bl w:val="nil"/>
                  </w:tcBorders>
                  <w:noWrap w:val="0"/>
                  <w:vAlign w:val="center"/>
                </w:tcPr>
                <w:p w14:paraId="7D6B620D">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lang w:eastAsia="zh-CN"/>
                    </w:rPr>
                  </w:pPr>
                  <w:r>
                    <w:rPr>
                      <w:rFonts w:hint="default" w:ascii="Times New Roman" w:hAnsi="宋体"/>
                      <w:color w:val="auto"/>
                      <w:sz w:val="21"/>
                      <w:szCs w:val="21"/>
                      <w:lang w:eastAsia="zh-CN"/>
                    </w:rPr>
                    <w:t>本项目不新增燃煤类煤气发生炉</w:t>
                  </w:r>
                </w:p>
              </w:tc>
              <w:tc>
                <w:tcPr>
                  <w:tcW w:w="506" w:type="pct"/>
                  <w:tcBorders>
                    <w:tl2br w:val="nil"/>
                    <w:tr2bl w:val="nil"/>
                  </w:tcBorders>
                  <w:noWrap w:val="0"/>
                  <w:vAlign w:val="center"/>
                </w:tcPr>
                <w:p w14:paraId="3ECFE74D">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rPr>
                  </w:pPr>
                  <w:r>
                    <w:rPr>
                      <w:rFonts w:hint="default" w:ascii="Times New Roman"/>
                      <w:color w:val="auto"/>
                      <w:sz w:val="21"/>
                      <w:szCs w:val="21"/>
                    </w:rPr>
                    <w:t>不属于</w:t>
                  </w:r>
                </w:p>
              </w:tc>
            </w:tr>
            <w:tr w14:paraId="3A847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6"/>
                  <w:tcBorders>
                    <w:tl2br w:val="nil"/>
                    <w:tr2bl w:val="nil"/>
                  </w:tcBorders>
                  <w:noWrap w:val="0"/>
                  <w:vAlign w:val="center"/>
                </w:tcPr>
                <w:p w14:paraId="53988FBE">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lang w:eastAsia="zh-CN"/>
                    </w:rPr>
                  </w:pPr>
                  <w:r>
                    <w:rPr>
                      <w:rFonts w:hint="default" w:ascii="Times New Roman" w:hAnsi="宋体"/>
                      <w:color w:val="auto"/>
                      <w:sz w:val="21"/>
                      <w:szCs w:val="21"/>
                      <w:lang w:eastAsia="zh-CN"/>
                    </w:rPr>
                    <w:t>（九）推动货物运输清洁化</w:t>
                  </w:r>
                </w:p>
              </w:tc>
            </w:tr>
            <w:tr w14:paraId="095CD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 w:type="pct"/>
                  <w:tcBorders>
                    <w:tl2br w:val="nil"/>
                    <w:tr2bl w:val="nil"/>
                  </w:tcBorders>
                  <w:noWrap w:val="0"/>
                  <w:vAlign w:val="center"/>
                </w:tcPr>
                <w:p w14:paraId="5F280705">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rPr>
                  </w:pPr>
                  <w:r>
                    <w:rPr>
                      <w:rFonts w:hint="default" w:ascii="Times New Roman" w:hAnsi="Times New Roman"/>
                      <w:color w:val="auto"/>
                      <w:sz w:val="21"/>
                      <w:szCs w:val="21"/>
                    </w:rPr>
                    <w:t>27</w:t>
                  </w:r>
                </w:p>
              </w:tc>
              <w:tc>
                <w:tcPr>
                  <w:tcW w:w="650" w:type="pct"/>
                  <w:tcBorders>
                    <w:tl2br w:val="nil"/>
                    <w:tr2bl w:val="nil"/>
                  </w:tcBorders>
                  <w:noWrap w:val="0"/>
                  <w:vAlign w:val="center"/>
                </w:tcPr>
                <w:p w14:paraId="06B92635">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提高重点行业清洁运输比例</w:t>
                  </w:r>
                </w:p>
              </w:tc>
              <w:tc>
                <w:tcPr>
                  <w:tcW w:w="1375" w:type="pct"/>
                  <w:tcBorders>
                    <w:tl2br w:val="nil"/>
                    <w:tr2bl w:val="nil"/>
                  </w:tcBorders>
                  <w:noWrap w:val="0"/>
                  <w:vAlign w:val="center"/>
                </w:tcPr>
                <w:p w14:paraId="7B672DF1">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将清洁运输作为煤矿、钢铁、火电、水泥、有色、焦化、煤化工等行业新改扩建项目审核和监管重点</w:t>
                  </w:r>
                </w:p>
              </w:tc>
              <w:tc>
                <w:tcPr>
                  <w:tcW w:w="1165" w:type="pct"/>
                  <w:tcBorders>
                    <w:tl2br w:val="nil"/>
                    <w:tr2bl w:val="nil"/>
                  </w:tcBorders>
                  <w:noWrap w:val="0"/>
                  <w:vAlign w:val="center"/>
                </w:tcPr>
                <w:p w14:paraId="43DB4EBF">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宋体"/>
                      <w:color w:val="auto"/>
                      <w:sz w:val="21"/>
                      <w:szCs w:val="21"/>
                      <w:lang w:eastAsia="zh-CN"/>
                    </w:rPr>
                    <w:t>煤矿、钢铁、火电、水泥、有色、焦化、煤化工等行业新改扩建项目环评审核中重点关注清洁运输</w:t>
                  </w:r>
                </w:p>
              </w:tc>
              <w:tc>
                <w:tcPr>
                  <w:tcW w:w="1119" w:type="pct"/>
                  <w:tcBorders>
                    <w:tl2br w:val="nil"/>
                    <w:tr2bl w:val="nil"/>
                  </w:tcBorders>
                  <w:noWrap w:val="0"/>
                  <w:vAlign w:val="center"/>
                </w:tcPr>
                <w:p w14:paraId="04C64A36">
                  <w:pPr>
                    <w:keepNext w:val="0"/>
                    <w:keepLines w:val="0"/>
                    <w:suppressLineNumbers w:val="0"/>
                    <w:spacing w:before="0" w:beforeAutospacing="0" w:after="0" w:afterAutospacing="0"/>
                    <w:ind w:left="0" w:right="0"/>
                    <w:contextualSpacing/>
                    <w:jc w:val="center"/>
                    <w:rPr>
                      <w:rFonts w:hint="default" w:ascii="Times New Roman" w:hAnsi="Times New Roman"/>
                      <w:color w:val="auto"/>
                      <w:sz w:val="21"/>
                      <w:szCs w:val="21"/>
                      <w:lang w:eastAsia="zh-CN"/>
                    </w:rPr>
                  </w:pPr>
                  <w:r>
                    <w:rPr>
                      <w:rFonts w:hint="default" w:ascii="Times New Roman" w:hAnsi="Times New Roman"/>
                      <w:color w:val="auto"/>
                      <w:sz w:val="21"/>
                      <w:szCs w:val="21"/>
                      <w:lang w:eastAsia="zh-CN"/>
                    </w:rPr>
                    <w:t>本</w:t>
                  </w:r>
                  <w:r>
                    <w:rPr>
                      <w:rFonts w:hint="default" w:ascii="Times New Roman" w:hAnsi="宋体"/>
                      <w:color w:val="auto"/>
                      <w:sz w:val="21"/>
                      <w:szCs w:val="21"/>
                      <w:lang w:eastAsia="zh-CN"/>
                    </w:rPr>
                    <w:t>项目</w:t>
                  </w:r>
                  <w:r>
                    <w:rPr>
                      <w:rFonts w:hint="default" w:ascii="Times New Roman" w:hAnsi="Times New Roman"/>
                      <w:color w:val="auto"/>
                      <w:sz w:val="21"/>
                      <w:szCs w:val="21"/>
                      <w:lang w:eastAsia="zh-CN"/>
                    </w:rPr>
                    <w:t>属于</w:t>
                  </w:r>
                  <w:r>
                    <w:rPr>
                      <w:rStyle w:val="103"/>
                      <w:rFonts w:hint="default"/>
                      <w:color w:val="auto"/>
                      <w:lang w:val="en-US" w:eastAsia="zh-CN"/>
                    </w:rPr>
                    <w:t>C</w:t>
                  </w:r>
                  <w:r>
                    <w:rPr>
                      <w:rStyle w:val="103"/>
                      <w:rFonts w:hint="eastAsia"/>
                      <w:color w:val="auto"/>
                      <w:lang w:val="en-US" w:eastAsia="zh-CN"/>
                    </w:rPr>
                    <w:t>3360金属表面处理及热处理加工</w:t>
                  </w:r>
                  <w:r>
                    <w:rPr>
                      <w:rFonts w:hint="default" w:ascii="Times New Roman"/>
                      <w:color w:val="auto"/>
                      <w:sz w:val="21"/>
                      <w:szCs w:val="21"/>
                      <w:lang w:eastAsia="zh-CN"/>
                    </w:rPr>
                    <w:t>，</w:t>
                  </w:r>
                  <w:r>
                    <w:rPr>
                      <w:rFonts w:hint="default" w:ascii="Times New Roman" w:hAnsi="宋体"/>
                      <w:color w:val="auto"/>
                      <w:sz w:val="21"/>
                      <w:szCs w:val="21"/>
                      <w:lang w:eastAsia="zh-CN"/>
                    </w:rPr>
                    <w:t>不属于煤矿、钢铁、火电、水泥、有色、焦化、煤化工等行业</w:t>
                  </w:r>
                </w:p>
              </w:tc>
              <w:tc>
                <w:tcPr>
                  <w:tcW w:w="506" w:type="pct"/>
                  <w:tcBorders>
                    <w:tl2br w:val="nil"/>
                    <w:tr2bl w:val="nil"/>
                  </w:tcBorders>
                  <w:noWrap w:val="0"/>
                  <w:vAlign w:val="center"/>
                </w:tcPr>
                <w:p w14:paraId="5E8C8BF4">
                  <w:pPr>
                    <w:keepNext w:val="0"/>
                    <w:keepLines w:val="0"/>
                    <w:suppressLineNumbers w:val="0"/>
                    <w:spacing w:before="0" w:beforeAutospacing="0" w:after="0" w:afterAutospacing="0"/>
                    <w:ind w:left="0" w:right="0"/>
                    <w:contextualSpacing/>
                    <w:jc w:val="center"/>
                    <w:rPr>
                      <w:rFonts w:hint="default" w:ascii="Times New Roman" w:hAnsi="Times New Roman"/>
                      <w:b/>
                      <w:color w:val="auto"/>
                      <w:sz w:val="21"/>
                      <w:szCs w:val="21"/>
                      <w:lang w:eastAsia="zh-CN"/>
                    </w:rPr>
                  </w:pPr>
                  <w:r>
                    <w:rPr>
                      <w:rFonts w:hint="default" w:ascii="Times New Roman"/>
                      <w:color w:val="auto"/>
                      <w:sz w:val="21"/>
                      <w:szCs w:val="21"/>
                      <w:lang w:eastAsia="zh-CN"/>
                    </w:rPr>
                    <w:t>不属于</w:t>
                  </w:r>
                </w:p>
              </w:tc>
            </w:tr>
          </w:tbl>
          <w:p w14:paraId="7AC372FE">
            <w:pPr>
              <w:keepNext w:val="0"/>
              <w:keepLines w:val="0"/>
              <w:suppressLineNumbers w:val="0"/>
              <w:spacing w:before="0" w:beforeAutospacing="0" w:after="0" w:afterAutospacing="0" w:line="360" w:lineRule="auto"/>
              <w:ind w:left="0" w:right="0" w:firstLine="480" w:firstLineChars="200"/>
              <w:rPr>
                <w:rFonts w:hint="eastAsia" w:ascii="Times New Roman" w:hAnsi="Times New Roman"/>
                <w:b/>
                <w:color w:val="FF0000"/>
                <w:sz w:val="24"/>
                <w:szCs w:val="24"/>
                <w:lang w:eastAsia="zh-CN"/>
              </w:rPr>
            </w:pPr>
            <w:r>
              <w:rPr>
                <w:rFonts w:hint="default" w:ascii="Times New Roman"/>
                <w:color w:val="auto"/>
                <w:sz w:val="24"/>
                <w:szCs w:val="24"/>
                <w:lang w:eastAsia="zh-CN"/>
              </w:rPr>
              <w:t>由上述分析可知，本项目不属于《淮南市涉气建设项目环评审批负面清单》中</w:t>
            </w:r>
            <w:r>
              <w:rPr>
                <w:rFonts w:hint="eastAsia" w:ascii="Times New Roman"/>
                <w:color w:val="auto"/>
                <w:sz w:val="24"/>
                <w:szCs w:val="24"/>
                <w:lang w:eastAsia="zh-CN"/>
              </w:rPr>
              <w:t>相关</w:t>
            </w:r>
            <w:r>
              <w:rPr>
                <w:rFonts w:hint="default" w:ascii="Times New Roman"/>
                <w:color w:val="auto"/>
                <w:sz w:val="24"/>
                <w:szCs w:val="24"/>
                <w:lang w:eastAsia="zh-CN"/>
              </w:rPr>
              <w:t>不予审批项目。</w:t>
            </w:r>
          </w:p>
          <w:p w14:paraId="314A7E6C">
            <w:pPr>
              <w:keepNext w:val="0"/>
              <w:keepLines w:val="0"/>
              <w:suppressLineNumbers w:val="0"/>
              <w:snapToGrid w:val="0"/>
              <w:spacing w:before="0" w:beforeAutospacing="0" w:after="0" w:afterAutospacing="0"/>
              <w:ind w:left="0" w:right="0"/>
              <w:outlineLvl w:val="0"/>
              <w:rPr>
                <w:rFonts w:hint="default" w:ascii="Times New Roman" w:hAnsi="Times New Roman" w:eastAsia="宋体" w:cs="Times New Roman"/>
                <w:color w:val="0000FF"/>
                <w:sz w:val="30"/>
              </w:rPr>
            </w:pPr>
          </w:p>
        </w:tc>
      </w:tr>
    </w:tbl>
    <w:p w14:paraId="1A9F1E44">
      <w:pPr>
        <w:spacing w:line="360" w:lineRule="auto"/>
        <w:outlineLvl w:val="0"/>
        <w:rPr>
          <w:rFonts w:hint="default" w:ascii="Times New Roman" w:hAnsi="Times New Roman" w:eastAsia="宋体" w:cs="Times New Roman"/>
          <w:color w:val="0000FF"/>
        </w:rPr>
        <w:sectPr>
          <w:pgSz w:w="16838" w:h="11906" w:orient="landscape"/>
          <w:pgMar w:top="1440" w:right="1440" w:bottom="1440" w:left="1440" w:header="851" w:footer="850" w:gutter="0"/>
          <w:pgBorders>
            <w:top w:val="none" w:sz="0" w:space="0"/>
            <w:left w:val="none" w:sz="0" w:space="0"/>
            <w:bottom w:val="none" w:sz="0" w:space="0"/>
            <w:right w:val="none" w:sz="0" w:space="0"/>
          </w:pgBorders>
          <w:pgNumType w:fmt="numberInDash"/>
          <w:cols w:space="720" w:num="1"/>
          <w:docGrid w:linePitch="312" w:charSpace="0"/>
        </w:sectPr>
      </w:pPr>
    </w:p>
    <w:p w14:paraId="331C83DB">
      <w:pPr>
        <w:pStyle w:val="46"/>
        <w:spacing w:before="120" w:beforeLines="50" w:beforeAutospacing="0" w:after="0" w:afterAutospacing="0" w:line="360" w:lineRule="auto"/>
        <w:jc w:val="center"/>
        <w:outlineLvl w:val="0"/>
        <w:rPr>
          <w:rFonts w:hint="default" w:ascii="Times New Roman" w:hAnsi="Times New Roman" w:eastAsia="宋体" w:cs="Times New Roman"/>
          <w:b/>
          <w:snapToGrid w:val="0"/>
          <w:color w:val="auto"/>
          <w:sz w:val="28"/>
          <w:szCs w:val="28"/>
        </w:rPr>
      </w:pPr>
      <w:bookmarkStart w:id="6" w:name="_Toc120118373"/>
      <w:r>
        <w:rPr>
          <w:rFonts w:hint="default" w:ascii="Times New Roman" w:hAnsi="Times New Roman" w:eastAsia="宋体" w:cs="Times New Roman"/>
          <w:b/>
          <w:snapToGrid w:val="0"/>
          <w:color w:val="auto"/>
          <w:sz w:val="28"/>
          <w:szCs w:val="28"/>
        </w:rPr>
        <w:t>二、建设项目工程分析</w:t>
      </w:r>
      <w:bookmarkEnd w:id="6"/>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8595"/>
      </w:tblGrid>
      <w:tr w14:paraId="0CB69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1F0E8B5A">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333D0C0F">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3E41F2BC">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B03761C">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A12AF89">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B87CBD8">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19AFE130">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7B72D125">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1CA19686">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1853B91">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7448CC4D">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04DD68C">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1F9F700D">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8373F7F">
            <w:pPr>
              <w:pStyle w:val="46"/>
              <w:keepNext w:val="0"/>
              <w:keepLines w:val="0"/>
              <w:suppressLineNumbers w:val="0"/>
              <w:adjustRightInd w:val="0"/>
              <w:snapToGrid w:val="0"/>
              <w:spacing w:before="0" w:beforeAutospacing="0" w:after="0" w:afterAutospacing="0" w:line="360" w:lineRule="auto"/>
              <w:ind w:left="-105" w:leftChars="-50" w:right="-105" w:rightChars="-50"/>
              <w:jc w:val="center"/>
              <w:rPr>
                <w:rFonts w:hint="default" w:ascii="Times New Roman" w:hAnsi="Times New Roman" w:eastAsia="宋体" w:cs="Times New Roman"/>
                <w:color w:val="auto"/>
                <w:szCs w:val="24"/>
              </w:rPr>
            </w:pPr>
          </w:p>
          <w:p w14:paraId="5124261D">
            <w:pPr>
              <w:pStyle w:val="46"/>
              <w:keepNext w:val="0"/>
              <w:keepLines w:val="0"/>
              <w:suppressLineNumbers w:val="0"/>
              <w:adjustRightInd w:val="0"/>
              <w:snapToGrid w:val="0"/>
              <w:spacing w:before="0" w:beforeAutospacing="0" w:after="0" w:afterAutospacing="0" w:line="360" w:lineRule="auto"/>
              <w:ind w:left="-105" w:leftChars="-50" w:right="-105" w:rightChars="-5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建设内容</w:t>
            </w:r>
          </w:p>
          <w:p w14:paraId="7F7C81EF">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3FEA5CA6">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D0C312D">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724D7B7F">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18E01FAF">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67B49A66">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76B7929">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0DECEEA">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74772C7C">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6390F90">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85F1F83">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1531531C">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14B4493F">
            <w:pPr>
              <w:pStyle w:val="46"/>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szCs w:val="24"/>
              </w:rPr>
            </w:pPr>
          </w:p>
          <w:p w14:paraId="41E515D6">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67E5648">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3F3802EA">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176FFDC">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1AEA448B">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734586B9">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7B2F00C8">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7BD03B6F">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6E2D8BB1">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0C800E35">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0ACAE982">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1122AD6">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F672344">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62488F94">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324BF2FA">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629EA4EB">
            <w:pPr>
              <w:pStyle w:val="46"/>
              <w:keepNext w:val="0"/>
              <w:keepLines w:val="0"/>
              <w:suppressLineNumbers w:val="0"/>
              <w:adjustRightInd w:val="0"/>
              <w:snapToGrid w:val="0"/>
              <w:spacing w:before="0" w:beforeAutospacing="0" w:after="0" w:afterAutospacing="0" w:line="360" w:lineRule="auto"/>
              <w:ind w:left="0" w:right="0"/>
              <w:jc w:val="both"/>
              <w:rPr>
                <w:rFonts w:hint="default" w:ascii="Times New Roman" w:hAnsi="Times New Roman" w:eastAsia="宋体" w:cs="Times New Roman"/>
                <w:color w:val="auto"/>
                <w:szCs w:val="24"/>
              </w:rPr>
            </w:pPr>
          </w:p>
          <w:p w14:paraId="634F62FF">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850A97B">
            <w:pPr>
              <w:pStyle w:val="46"/>
              <w:keepNext w:val="0"/>
              <w:keepLines w:val="0"/>
              <w:suppressLineNumbers w:val="0"/>
              <w:adjustRightInd w:val="0"/>
              <w:snapToGrid w:val="0"/>
              <w:spacing w:before="0" w:beforeAutospacing="0" w:after="0" w:afterAutospacing="0" w:line="360" w:lineRule="auto"/>
              <w:ind w:left="-105" w:leftChars="-50" w:right="-105" w:rightChars="-5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建设内容</w:t>
            </w:r>
          </w:p>
          <w:p w14:paraId="60D38C72">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04F8A318">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65BFB0E0">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66F8DC3">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6322CECA">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71D4685">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186225EB">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2D2D07C">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7BD6316B">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44BE0A0">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0D3A666">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14FCC629">
            <w:pPr>
              <w:pStyle w:val="46"/>
              <w:keepNext w:val="0"/>
              <w:keepLines w:val="0"/>
              <w:suppressLineNumbers w:val="0"/>
              <w:adjustRightInd w:val="0"/>
              <w:snapToGrid w:val="0"/>
              <w:spacing w:before="0" w:beforeAutospacing="0" w:after="0" w:afterAutospacing="0" w:line="360" w:lineRule="auto"/>
              <w:ind w:left="0" w:right="0"/>
              <w:jc w:val="both"/>
              <w:rPr>
                <w:rFonts w:hint="default" w:ascii="Times New Roman" w:hAnsi="Times New Roman" w:eastAsia="宋体" w:cs="Times New Roman"/>
                <w:color w:val="auto"/>
                <w:szCs w:val="24"/>
              </w:rPr>
            </w:pPr>
          </w:p>
          <w:p w14:paraId="3BABD7FD">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6830CB47">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045920FC">
            <w:pPr>
              <w:pStyle w:val="46"/>
              <w:keepNext w:val="0"/>
              <w:keepLines w:val="0"/>
              <w:suppressLineNumbers w:val="0"/>
              <w:spacing w:before="120" w:beforeLines="50" w:beforeAutospacing="0" w:after="0" w:afterAutospacing="0" w:line="360" w:lineRule="auto"/>
              <w:ind w:left="0" w:right="0"/>
              <w:jc w:val="both"/>
              <w:outlineLvl w:val="0"/>
              <w:rPr>
                <w:rFonts w:hint="default" w:ascii="Times New Roman" w:hAnsi="Times New Roman" w:eastAsia="宋体" w:cs="Times New Roman"/>
                <w:b/>
                <w:snapToGrid w:val="0"/>
                <w:color w:val="auto"/>
                <w:sz w:val="28"/>
                <w:szCs w:val="28"/>
              </w:rPr>
            </w:pPr>
          </w:p>
          <w:p w14:paraId="0D97A9E7">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6135AD68">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656BC675">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D1D94AD">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6B538C2A">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68AE069A">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5DB8A2A">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7FD6C3C2">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ADC13AE">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370D00C3">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37B835F1">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1742D751">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236DACC">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37CCB99">
            <w:pPr>
              <w:pStyle w:val="46"/>
              <w:keepNext w:val="0"/>
              <w:keepLines w:val="0"/>
              <w:suppressLineNumbers w:val="0"/>
              <w:adjustRightInd w:val="0"/>
              <w:snapToGrid w:val="0"/>
              <w:spacing w:before="0" w:beforeAutospacing="0" w:after="0" w:afterAutospacing="0" w:line="360" w:lineRule="auto"/>
              <w:ind w:left="0" w:right="0"/>
              <w:jc w:val="both"/>
              <w:rPr>
                <w:rFonts w:hint="default" w:ascii="Times New Roman" w:hAnsi="Times New Roman" w:eastAsia="宋体" w:cs="Times New Roman"/>
                <w:color w:val="auto"/>
                <w:szCs w:val="24"/>
              </w:rPr>
            </w:pPr>
          </w:p>
          <w:p w14:paraId="7CF0AC06">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ADE9401">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8683BCE">
            <w:pPr>
              <w:pStyle w:val="46"/>
              <w:keepNext w:val="0"/>
              <w:keepLines w:val="0"/>
              <w:suppressLineNumbers w:val="0"/>
              <w:adjustRightInd w:val="0"/>
              <w:snapToGrid w:val="0"/>
              <w:spacing w:before="0" w:beforeAutospacing="0" w:after="0" w:afterAutospacing="0" w:line="360" w:lineRule="auto"/>
              <w:ind w:left="-105" w:leftChars="-50" w:right="-105" w:rightChars="-5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建设内容</w:t>
            </w:r>
          </w:p>
          <w:p w14:paraId="5F243705">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61BDCE65">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0E0C6C1D">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33EA07E">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16DFB5F5">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067B81C7">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31B086C5">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31F36ACE">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0E58CA42">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95E58B6">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AD001B8">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D4C5EAC">
            <w:pPr>
              <w:pStyle w:val="46"/>
              <w:keepNext w:val="0"/>
              <w:keepLines w:val="0"/>
              <w:suppressLineNumbers w:val="0"/>
              <w:adjustRightInd w:val="0"/>
              <w:snapToGrid w:val="0"/>
              <w:spacing w:before="0" w:beforeAutospacing="0" w:after="0" w:afterAutospacing="0" w:line="360" w:lineRule="auto"/>
              <w:ind w:left="0" w:right="0"/>
              <w:jc w:val="both"/>
              <w:rPr>
                <w:rFonts w:hint="default" w:ascii="Times New Roman" w:hAnsi="Times New Roman" w:eastAsia="宋体" w:cs="Times New Roman"/>
                <w:color w:val="auto"/>
                <w:szCs w:val="24"/>
              </w:rPr>
            </w:pPr>
          </w:p>
          <w:p w14:paraId="5D85F6DE">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3188445D">
            <w:pPr>
              <w:pStyle w:val="46"/>
              <w:keepNext w:val="0"/>
              <w:keepLines w:val="0"/>
              <w:suppressLineNumbers w:val="0"/>
              <w:spacing w:before="120" w:beforeLines="50" w:beforeAutospacing="0" w:after="0" w:afterAutospacing="0" w:line="360" w:lineRule="auto"/>
              <w:ind w:left="0" w:right="0"/>
              <w:jc w:val="both"/>
              <w:outlineLvl w:val="0"/>
              <w:rPr>
                <w:rFonts w:hint="default" w:ascii="Times New Roman" w:hAnsi="Times New Roman" w:eastAsia="宋体" w:cs="Times New Roman"/>
                <w:b/>
                <w:snapToGrid w:val="0"/>
                <w:color w:val="auto"/>
                <w:sz w:val="28"/>
                <w:szCs w:val="28"/>
              </w:rPr>
            </w:pPr>
          </w:p>
          <w:p w14:paraId="0F10618E">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9883508">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4AFF4D5">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43B207A">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046D03C">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7C6ED40C">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338EA0D">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08775D3E">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74B37AA1">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7BCA9101">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F194ED9">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72618449">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DB95938">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DBCDCE7">
            <w:pPr>
              <w:pStyle w:val="46"/>
              <w:keepNext w:val="0"/>
              <w:keepLines w:val="0"/>
              <w:suppressLineNumbers w:val="0"/>
              <w:adjustRightInd w:val="0"/>
              <w:snapToGrid w:val="0"/>
              <w:spacing w:before="0" w:beforeAutospacing="0" w:after="0" w:afterAutospacing="0" w:line="360" w:lineRule="auto"/>
              <w:ind w:left="0" w:right="0"/>
              <w:jc w:val="both"/>
              <w:rPr>
                <w:rFonts w:hint="default" w:ascii="Times New Roman" w:hAnsi="Times New Roman" w:eastAsia="宋体" w:cs="Times New Roman"/>
                <w:color w:val="auto"/>
                <w:szCs w:val="24"/>
              </w:rPr>
            </w:pPr>
          </w:p>
          <w:p w14:paraId="61676599">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60F43AB">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73DFBD16">
            <w:pPr>
              <w:pStyle w:val="46"/>
              <w:keepNext w:val="0"/>
              <w:keepLines w:val="0"/>
              <w:suppressLineNumbers w:val="0"/>
              <w:adjustRightInd w:val="0"/>
              <w:snapToGrid w:val="0"/>
              <w:spacing w:before="0" w:beforeAutospacing="0" w:after="0" w:afterAutospacing="0" w:line="360" w:lineRule="auto"/>
              <w:ind w:left="-105" w:leftChars="-50" w:right="-105" w:rightChars="-5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建设内容</w:t>
            </w:r>
          </w:p>
          <w:p w14:paraId="423FA3C8">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1B8BD576">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64A620F4">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6A600B6D">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F038042">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00D9DA48">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9DBD6CF">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6A84098">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088862D">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6D2CBA6B">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119F1C6B">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016F6F8">
            <w:pPr>
              <w:pStyle w:val="46"/>
              <w:keepNext w:val="0"/>
              <w:keepLines w:val="0"/>
              <w:suppressLineNumbers w:val="0"/>
              <w:adjustRightInd w:val="0"/>
              <w:snapToGrid w:val="0"/>
              <w:spacing w:before="0" w:beforeAutospacing="0" w:after="0" w:afterAutospacing="0" w:line="360" w:lineRule="auto"/>
              <w:ind w:left="0" w:right="0"/>
              <w:jc w:val="both"/>
              <w:rPr>
                <w:rFonts w:hint="default" w:ascii="Times New Roman" w:hAnsi="Times New Roman" w:eastAsia="宋体" w:cs="Times New Roman"/>
                <w:color w:val="auto"/>
                <w:szCs w:val="24"/>
              </w:rPr>
            </w:pPr>
          </w:p>
          <w:p w14:paraId="092B22BF">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1DEAD693">
            <w:pPr>
              <w:pStyle w:val="46"/>
              <w:keepNext w:val="0"/>
              <w:keepLines w:val="0"/>
              <w:suppressLineNumbers w:val="0"/>
              <w:spacing w:before="120" w:beforeLines="50" w:beforeAutospacing="0" w:after="0" w:afterAutospacing="0" w:line="360" w:lineRule="auto"/>
              <w:ind w:left="0" w:right="0"/>
              <w:jc w:val="both"/>
              <w:outlineLvl w:val="0"/>
              <w:rPr>
                <w:rFonts w:hint="default" w:ascii="Times New Roman" w:hAnsi="Times New Roman" w:eastAsia="宋体" w:cs="Times New Roman"/>
                <w:b/>
                <w:snapToGrid w:val="0"/>
                <w:color w:val="auto"/>
                <w:sz w:val="28"/>
                <w:szCs w:val="28"/>
              </w:rPr>
            </w:pPr>
          </w:p>
          <w:p w14:paraId="171846F5">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091BF72E">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33A8D2E4">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123073CE">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9F1760F">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1C50088B">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9061595">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1B44773C">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19941E5E">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2CDF779">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C8A7E49">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00C44C67">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67C96CA6">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7CFE0208">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9C45F43">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621821F">
            <w:pPr>
              <w:pStyle w:val="46"/>
              <w:keepNext w:val="0"/>
              <w:keepLines w:val="0"/>
              <w:suppressLineNumbers w:val="0"/>
              <w:adjustRightInd w:val="0"/>
              <w:snapToGrid w:val="0"/>
              <w:spacing w:before="0" w:beforeAutospacing="0" w:after="0" w:afterAutospacing="0" w:line="360" w:lineRule="auto"/>
              <w:ind w:left="0" w:right="-105" w:rightChars="-50"/>
              <w:jc w:val="both"/>
              <w:rPr>
                <w:rFonts w:hint="default" w:ascii="Times New Roman" w:hAnsi="Times New Roman" w:eastAsia="宋体" w:cs="Times New Roman"/>
                <w:color w:val="auto"/>
                <w:szCs w:val="24"/>
              </w:rPr>
            </w:pPr>
          </w:p>
          <w:p w14:paraId="4C43BE18">
            <w:pPr>
              <w:pStyle w:val="46"/>
              <w:keepNext w:val="0"/>
              <w:keepLines w:val="0"/>
              <w:suppressLineNumbers w:val="0"/>
              <w:adjustRightInd w:val="0"/>
              <w:snapToGrid w:val="0"/>
              <w:spacing w:before="0" w:beforeAutospacing="0" w:after="0" w:afterAutospacing="0" w:line="360" w:lineRule="auto"/>
              <w:ind w:left="-105" w:leftChars="-50" w:right="-105" w:rightChars="-5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建设内容</w:t>
            </w:r>
          </w:p>
          <w:p w14:paraId="3A8EA901">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114D6F50">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0F9BFDF">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3D1B748">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0454FC72">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76932A04">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9180F04">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04A6FD38">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A357BE7">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0DA611A0">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0989761B">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7527982C">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6C03B26F">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0EA742F1">
            <w:pPr>
              <w:pStyle w:val="46"/>
              <w:keepNext w:val="0"/>
              <w:keepLines w:val="0"/>
              <w:suppressLineNumbers w:val="0"/>
              <w:spacing w:before="120" w:beforeLines="50" w:beforeAutospacing="0" w:after="0" w:afterAutospacing="0" w:line="360" w:lineRule="auto"/>
              <w:ind w:left="0" w:right="0"/>
              <w:jc w:val="both"/>
              <w:outlineLvl w:val="0"/>
              <w:rPr>
                <w:rFonts w:hint="default" w:ascii="Times New Roman" w:hAnsi="Times New Roman" w:eastAsia="宋体" w:cs="Times New Roman"/>
                <w:b/>
                <w:snapToGrid w:val="0"/>
                <w:color w:val="auto"/>
                <w:sz w:val="28"/>
                <w:szCs w:val="28"/>
              </w:rPr>
            </w:pPr>
          </w:p>
          <w:p w14:paraId="5DB1D0F7">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2CA949F">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94AA016">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27D0DC9">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13BD245D">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0F705267">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77B1E0FE">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F9B32E0">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EE1FA7D">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9C1EB48">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183514FF">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366A3C6">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6656325">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66F15C72">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64B2AB90">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741E68A7">
            <w:pPr>
              <w:pStyle w:val="46"/>
              <w:keepNext w:val="0"/>
              <w:keepLines w:val="0"/>
              <w:suppressLineNumbers w:val="0"/>
              <w:adjustRightInd w:val="0"/>
              <w:snapToGrid w:val="0"/>
              <w:spacing w:before="0" w:beforeAutospacing="0" w:after="0" w:afterAutospacing="0" w:line="360" w:lineRule="auto"/>
              <w:ind w:left="0" w:right="-105" w:rightChars="-50"/>
              <w:jc w:val="both"/>
              <w:rPr>
                <w:rFonts w:hint="default" w:ascii="Times New Roman" w:hAnsi="Times New Roman" w:eastAsia="宋体" w:cs="Times New Roman"/>
                <w:color w:val="auto"/>
                <w:szCs w:val="24"/>
              </w:rPr>
            </w:pPr>
          </w:p>
          <w:p w14:paraId="6CFA5FD3">
            <w:pPr>
              <w:pStyle w:val="46"/>
              <w:keepNext w:val="0"/>
              <w:keepLines w:val="0"/>
              <w:suppressLineNumbers w:val="0"/>
              <w:adjustRightInd w:val="0"/>
              <w:snapToGrid w:val="0"/>
              <w:spacing w:before="0" w:beforeAutospacing="0" w:after="0" w:afterAutospacing="0" w:line="360" w:lineRule="auto"/>
              <w:ind w:left="-105" w:leftChars="-50" w:right="-105" w:rightChars="-5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建设内容</w:t>
            </w:r>
          </w:p>
          <w:p w14:paraId="0B3368EC">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05B52F5B">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05F196D">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478B0FC">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0EECC6FC">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091830D3">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6489169B">
            <w:pPr>
              <w:pStyle w:val="46"/>
              <w:keepNext w:val="0"/>
              <w:keepLines w:val="0"/>
              <w:suppressLineNumbers w:val="0"/>
              <w:spacing w:before="120" w:beforeLines="50" w:beforeAutospacing="0" w:after="0" w:afterAutospacing="0" w:line="360" w:lineRule="auto"/>
              <w:ind w:left="0" w:right="0"/>
              <w:jc w:val="both"/>
              <w:outlineLvl w:val="0"/>
              <w:rPr>
                <w:rFonts w:hint="default" w:ascii="Times New Roman" w:hAnsi="Times New Roman" w:eastAsia="宋体" w:cs="Times New Roman"/>
                <w:b/>
                <w:snapToGrid w:val="0"/>
                <w:color w:val="auto"/>
                <w:sz w:val="28"/>
                <w:szCs w:val="28"/>
              </w:rPr>
            </w:pPr>
          </w:p>
        </w:tc>
        <w:tc>
          <w:tcPr>
            <w:tcW w:w="8595" w:type="dxa"/>
            <w:noWrap w:val="0"/>
            <w:vAlign w:val="top"/>
          </w:tcPr>
          <w:p w14:paraId="5F62810A">
            <w:pPr>
              <w:keepNext w:val="0"/>
              <w:keepLines w:val="0"/>
              <w:suppressLineNumbers w:val="0"/>
              <w:spacing w:before="0" w:beforeAutospacing="0" w:after="0" w:afterAutospacing="0" w:line="460" w:lineRule="exact"/>
              <w:ind w:left="0" w:right="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1、项目建设背景</w:t>
            </w:r>
          </w:p>
          <w:p w14:paraId="4A0EC3F1">
            <w:pPr>
              <w:pStyle w:val="62"/>
              <w:keepNext w:val="0"/>
              <w:keepLines w:val="0"/>
              <w:suppressLineNumbers w:val="0"/>
              <w:bidi w:val="0"/>
              <w:spacing w:before="0" w:beforeAutospacing="0" w:after="0" w:afterAutospacing="0"/>
              <w:ind w:left="0" w:right="0"/>
              <w:rPr>
                <w:rFonts w:hint="eastAsia"/>
                <w:color w:val="0000FF"/>
                <w:lang w:eastAsia="zh-CN"/>
              </w:rPr>
            </w:pPr>
            <w:r>
              <w:rPr>
                <w:rFonts w:hint="eastAsia" w:ascii="Times New Roman" w:hAnsi="Times New Roman" w:cs="Times New Roman"/>
                <w:bCs/>
                <w:color w:val="auto"/>
                <w:sz w:val="24"/>
                <w:lang w:val="en-US" w:eastAsia="zh-CN"/>
              </w:rPr>
              <w:t>淮南市双威热处理有限公司</w:t>
            </w:r>
            <w:r>
              <w:rPr>
                <w:rFonts w:hint="default"/>
                <w:color w:val="auto"/>
              </w:rPr>
              <w:t>成立于20</w:t>
            </w:r>
            <w:r>
              <w:rPr>
                <w:rFonts w:hint="eastAsia"/>
                <w:color w:val="auto"/>
                <w:lang w:val="en-US" w:eastAsia="zh-CN"/>
              </w:rPr>
              <w:t>25</w:t>
            </w:r>
            <w:r>
              <w:rPr>
                <w:rFonts w:hint="default"/>
                <w:color w:val="auto"/>
              </w:rPr>
              <w:t>年</w:t>
            </w:r>
            <w:r>
              <w:rPr>
                <w:rFonts w:hint="eastAsia"/>
                <w:color w:val="auto"/>
                <w:lang w:val="en-US" w:eastAsia="zh-CN"/>
              </w:rPr>
              <w:t>7</w:t>
            </w:r>
            <w:r>
              <w:rPr>
                <w:rFonts w:hint="default"/>
                <w:color w:val="auto"/>
              </w:rPr>
              <w:t>月，主要从事</w:t>
            </w:r>
            <w:r>
              <w:rPr>
                <w:rFonts w:hint="eastAsia"/>
                <w:color w:val="auto"/>
                <w:lang w:val="en-US" w:eastAsia="zh-CN"/>
              </w:rPr>
              <w:t>金属表面处理及热处理加工</w:t>
            </w:r>
            <w:r>
              <w:rPr>
                <w:rFonts w:hint="default"/>
                <w:color w:val="auto"/>
              </w:rPr>
              <w:t>等。</w:t>
            </w:r>
            <w:r>
              <w:rPr>
                <w:rFonts w:hint="eastAsia"/>
                <w:color w:val="auto"/>
                <w:lang w:val="en-US" w:eastAsia="zh-CN"/>
              </w:rPr>
              <w:t>根据汽车零配件热处理市场需求，</w:t>
            </w:r>
            <w:r>
              <w:rPr>
                <w:rFonts w:hint="eastAsia" w:ascii="Times New Roman" w:hAnsi="Times New Roman" w:cs="Times New Roman"/>
                <w:bCs/>
                <w:color w:val="auto"/>
                <w:sz w:val="24"/>
                <w:lang w:val="en-US" w:eastAsia="zh-CN"/>
              </w:rPr>
              <w:t>淮南市双威热处理有限公司</w:t>
            </w:r>
            <w:r>
              <w:rPr>
                <w:rFonts w:hint="eastAsia"/>
                <w:color w:val="auto"/>
                <w:lang w:val="en-US" w:eastAsia="zh-CN"/>
              </w:rPr>
              <w:t>租赁</w:t>
            </w:r>
            <w:r>
              <w:rPr>
                <w:rFonts w:hint="eastAsia" w:ascii="Times New Roman" w:hAnsi="Times New Roman" w:cs="Times New Roman"/>
                <w:color w:val="auto"/>
                <w:sz w:val="24"/>
                <w:lang w:val="en-US" w:eastAsia="zh-CN"/>
              </w:rPr>
              <w:t>淮南</w:t>
            </w:r>
            <w:r>
              <w:rPr>
                <w:rFonts w:hint="eastAsia" w:ascii="Times New Roman" w:hAnsi="Times New Roman" w:eastAsia="宋体" w:cs="Times New Roman"/>
                <w:color w:val="auto"/>
                <w:sz w:val="24"/>
                <w:lang w:val="en-US" w:eastAsia="zh-CN"/>
              </w:rPr>
              <w:t>市经开区华兴路东侧、庆兴北侧智慧显示产业园</w:t>
            </w:r>
            <w:r>
              <w:rPr>
                <w:rFonts w:hint="eastAsia" w:ascii="Times New Roman" w:hAnsi="Times New Roman" w:cs="Times New Roman"/>
                <w:color w:val="auto"/>
                <w:sz w:val="24"/>
                <w:lang w:val="en-US" w:eastAsia="zh-CN"/>
              </w:rPr>
              <w:t>5#</w:t>
            </w:r>
            <w:r>
              <w:rPr>
                <w:rFonts w:hint="eastAsia" w:ascii="Times New Roman" w:hAnsi="Times New Roman" w:eastAsia="宋体" w:cs="Times New Roman"/>
                <w:color w:val="auto"/>
                <w:sz w:val="24"/>
                <w:lang w:val="en-US" w:eastAsia="zh-CN"/>
              </w:rPr>
              <w:t>厂房（西侧区域）</w:t>
            </w:r>
            <w:r>
              <w:rPr>
                <w:rFonts w:hint="eastAsia"/>
                <w:color w:val="auto"/>
                <w:lang w:val="en-US" w:eastAsia="zh-CN"/>
              </w:rPr>
              <w:t>拟建“</w:t>
            </w:r>
            <w:r>
              <w:rPr>
                <w:rFonts w:hint="default" w:ascii="Times New Roman" w:hAnsi="Times New Roman" w:cs="Times New Roman"/>
                <w:bCs/>
                <w:color w:val="auto"/>
                <w:sz w:val="24"/>
                <w:lang w:val="en-US" w:eastAsia="zh-CN"/>
              </w:rPr>
              <w:t>汽车零配件热处理生产线项目</w:t>
            </w:r>
            <w:r>
              <w:rPr>
                <w:rFonts w:hint="eastAsia"/>
                <w:color w:val="auto"/>
                <w:lang w:val="en-US" w:eastAsia="zh-CN"/>
              </w:rPr>
              <w:t>”</w:t>
            </w:r>
            <w:r>
              <w:rPr>
                <w:rFonts w:hint="eastAsia"/>
                <w:color w:val="auto"/>
                <w:lang w:eastAsia="zh-CN"/>
              </w:rPr>
              <w:t>，</w:t>
            </w:r>
            <w:r>
              <w:rPr>
                <w:rFonts w:hint="default"/>
                <w:color w:val="auto"/>
              </w:rPr>
              <w:t>该项目已经于202</w:t>
            </w:r>
            <w:r>
              <w:rPr>
                <w:rFonts w:hint="eastAsia"/>
                <w:color w:val="auto"/>
                <w:lang w:val="en-US" w:eastAsia="zh-CN"/>
              </w:rPr>
              <w:t>6</w:t>
            </w:r>
            <w:r>
              <w:rPr>
                <w:rFonts w:hint="default"/>
                <w:color w:val="auto"/>
              </w:rPr>
              <w:t>年</w:t>
            </w:r>
            <w:r>
              <w:rPr>
                <w:rFonts w:hint="eastAsia"/>
                <w:color w:val="auto"/>
                <w:lang w:val="en-US" w:eastAsia="zh-CN"/>
              </w:rPr>
              <w:t>2</w:t>
            </w:r>
            <w:r>
              <w:rPr>
                <w:rFonts w:hint="default"/>
                <w:color w:val="auto"/>
              </w:rPr>
              <w:t>月</w:t>
            </w:r>
            <w:r>
              <w:rPr>
                <w:rFonts w:hint="eastAsia"/>
                <w:color w:val="auto"/>
                <w:lang w:val="en-US" w:eastAsia="zh-CN"/>
              </w:rPr>
              <w:t>5</w:t>
            </w:r>
            <w:r>
              <w:rPr>
                <w:rFonts w:hint="default"/>
                <w:color w:val="auto"/>
              </w:rPr>
              <w:t>日获得了</w:t>
            </w:r>
            <w:r>
              <w:rPr>
                <w:rFonts w:hint="eastAsia"/>
                <w:color w:val="auto"/>
                <w:lang w:val="en-US" w:eastAsia="zh-CN"/>
              </w:rPr>
              <w:t>淮南经开区经济发展局</w:t>
            </w:r>
            <w:r>
              <w:rPr>
                <w:rFonts w:hint="default"/>
                <w:color w:val="auto"/>
              </w:rPr>
              <w:t>备案表</w:t>
            </w:r>
            <w:r>
              <w:rPr>
                <w:rFonts w:hint="eastAsia"/>
                <w:color w:val="auto"/>
                <w:lang w:eastAsia="zh-CN"/>
              </w:rPr>
              <w:t>（</w:t>
            </w:r>
            <w:r>
              <w:rPr>
                <w:rFonts w:hint="default"/>
                <w:color w:val="auto"/>
              </w:rPr>
              <w:t>项目代码：</w:t>
            </w:r>
            <w:r>
              <w:rPr>
                <w:rFonts w:hint="eastAsia"/>
                <w:color w:val="auto"/>
                <w:lang w:val="en-US" w:eastAsia="zh-CN"/>
              </w:rPr>
              <w:t>2602-340461-04-01-608021</w:t>
            </w:r>
            <w:r>
              <w:rPr>
                <w:rFonts w:hint="eastAsia"/>
                <w:color w:val="auto"/>
                <w:lang w:eastAsia="zh-CN"/>
              </w:rPr>
              <w:t>）。</w:t>
            </w:r>
          </w:p>
          <w:p w14:paraId="74C281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Cs/>
                <w:color w:val="0000FF"/>
                <w:sz w:val="24"/>
              </w:rPr>
            </w:pPr>
            <w:r>
              <w:rPr>
                <w:rFonts w:hint="default" w:ascii="Times New Roman" w:hAnsi="Times New Roman" w:eastAsia="宋体" w:cs="Times New Roman"/>
                <w:color w:val="auto"/>
                <w:sz w:val="24"/>
              </w:rPr>
              <w:t>按照《中华人民共和国环境影响评价法》和《建设项目环境保护管理条例》的有关规定，建设项目需履行环境影响评价手续。</w:t>
            </w:r>
            <w:r>
              <w:rPr>
                <w:rStyle w:val="67"/>
                <w:rFonts w:hint="default"/>
                <w:color w:val="auto"/>
              </w:rPr>
              <w:t>根据《国民经济行业分类》（GB/T4754-2017），项目行业类别为</w:t>
            </w:r>
            <w:r>
              <w:rPr>
                <w:rFonts w:hint="default" w:ascii="Times New Roman" w:hAnsi="Times New Roman" w:eastAsia="宋体" w:cs="Times New Roman"/>
                <w:color w:val="auto"/>
                <w:sz w:val="24"/>
                <w:szCs w:val="24"/>
                <w:lang w:val="en-US" w:eastAsia="zh-CN"/>
              </w:rPr>
              <w:t>C</w:t>
            </w:r>
            <w:r>
              <w:rPr>
                <w:rFonts w:hint="eastAsia" w:ascii="Times New Roman" w:hAnsi="Times New Roman" w:cs="Times New Roman"/>
                <w:color w:val="auto"/>
                <w:sz w:val="24"/>
                <w:szCs w:val="24"/>
                <w:lang w:val="en-US" w:eastAsia="zh-CN"/>
              </w:rPr>
              <w:t>3360金属表面处理及热处理加工</w:t>
            </w:r>
            <w:r>
              <w:rPr>
                <w:rStyle w:val="67"/>
                <w:rFonts w:hint="default" w:ascii="Times New Roman" w:hAnsi="Times New Roman" w:eastAsia="宋体" w:cs="Times New Roman"/>
                <w:color w:val="auto"/>
                <w:lang w:eastAsia="zh-CN"/>
              </w:rPr>
              <w:t>。</w:t>
            </w:r>
            <w:r>
              <w:rPr>
                <w:rStyle w:val="67"/>
                <w:rFonts w:hint="default" w:ascii="Times New Roman" w:hAnsi="Times New Roman" w:eastAsia="宋体" w:cs="Times New Roman"/>
                <w:color w:val="auto"/>
              </w:rPr>
              <w:t>依据《建设项目环境影响评价分类管理名录》（2021年版）的有关规定，本项目属于名录中</w:t>
            </w:r>
            <w:r>
              <w:rPr>
                <w:rStyle w:val="67"/>
                <w:rFonts w:hint="default"/>
                <w:color w:val="auto"/>
              </w:rPr>
              <w:t>：</w:t>
            </w:r>
            <w:r>
              <w:rPr>
                <w:rStyle w:val="67"/>
                <w:rFonts w:hint="eastAsia"/>
                <w:color w:val="auto"/>
                <w:lang w:eastAsia="zh-CN"/>
              </w:rPr>
              <w:t>“</w:t>
            </w:r>
            <w:r>
              <w:rPr>
                <w:rStyle w:val="67"/>
                <w:rFonts w:hint="default"/>
                <w:color w:val="auto"/>
              </w:rPr>
              <w:t>三十、金属制品业</w:t>
            </w:r>
            <w:r>
              <w:rPr>
                <w:rStyle w:val="67"/>
                <w:rFonts w:hint="eastAsia"/>
                <w:color w:val="auto"/>
                <w:lang w:val="en-US" w:eastAsia="zh-CN"/>
              </w:rPr>
              <w:t>33</w:t>
            </w:r>
            <w:r>
              <w:rPr>
                <w:rStyle w:val="67"/>
                <w:rFonts w:hint="eastAsia"/>
                <w:color w:val="auto"/>
                <w:lang w:eastAsia="zh-CN"/>
              </w:rPr>
              <w:t>”</w:t>
            </w:r>
            <w:r>
              <w:rPr>
                <w:rStyle w:val="67"/>
                <w:rFonts w:hint="default"/>
                <w:color w:val="auto"/>
              </w:rPr>
              <w:t>中</w:t>
            </w:r>
            <w:r>
              <w:rPr>
                <w:rStyle w:val="67"/>
                <w:rFonts w:hint="eastAsia"/>
                <w:color w:val="auto"/>
                <w:lang w:eastAsia="zh-CN"/>
              </w:rPr>
              <w:t>“</w:t>
            </w:r>
            <w:r>
              <w:rPr>
                <w:rStyle w:val="67"/>
                <w:rFonts w:hint="default"/>
                <w:color w:val="auto"/>
              </w:rPr>
              <w:t>金属表面处理及热处理加工</w:t>
            </w:r>
            <w:r>
              <w:rPr>
                <w:rStyle w:val="67"/>
                <w:rFonts w:hint="eastAsia"/>
                <w:color w:val="auto"/>
                <w:lang w:eastAsia="zh-CN"/>
              </w:rPr>
              <w:t>”</w:t>
            </w:r>
            <w:r>
              <w:rPr>
                <w:rStyle w:val="67"/>
                <w:rFonts w:hint="default"/>
                <w:color w:val="auto"/>
              </w:rPr>
              <w:t>中</w:t>
            </w:r>
            <w:r>
              <w:rPr>
                <w:rStyle w:val="67"/>
                <w:rFonts w:hint="eastAsia"/>
                <w:color w:val="auto"/>
                <w:lang w:eastAsia="zh-CN"/>
              </w:rPr>
              <w:t>“</w:t>
            </w:r>
            <w:r>
              <w:rPr>
                <w:rStyle w:val="67"/>
                <w:rFonts w:hint="default"/>
                <w:color w:val="auto"/>
              </w:rPr>
              <w:t>其他（</w:t>
            </w:r>
            <w:r>
              <w:rPr>
                <w:rStyle w:val="67"/>
                <w:rFonts w:hint="default"/>
                <w:color w:val="auto"/>
                <w:lang w:val="en-US" w:eastAsia="zh-CN"/>
              </w:rPr>
              <w:t>年用非溶剂型低V0Cs含量涂料10吨以下的除外</w:t>
            </w:r>
            <w:r>
              <w:rPr>
                <w:rStyle w:val="67"/>
                <w:rFonts w:hint="default"/>
                <w:color w:val="auto"/>
              </w:rPr>
              <w:t>）</w:t>
            </w:r>
            <w:r>
              <w:rPr>
                <w:rStyle w:val="67"/>
                <w:rFonts w:hint="eastAsia"/>
                <w:color w:val="auto"/>
                <w:lang w:eastAsia="zh-CN"/>
              </w:rPr>
              <w:t>”</w:t>
            </w:r>
            <w:r>
              <w:rPr>
                <w:rStyle w:val="67"/>
                <w:rFonts w:hint="default"/>
                <w:color w:val="auto"/>
              </w:rPr>
              <w:t>类别，应编制环境影响报告表。</w:t>
            </w:r>
          </w:p>
          <w:p w14:paraId="7C8C6F0B">
            <w:pPr>
              <w:keepNext w:val="0"/>
              <w:keepLines w:val="0"/>
              <w:suppressLineNumbers w:val="0"/>
              <w:spacing w:before="0" w:beforeAutospacing="0" w:after="0" w:afterAutospacing="0" w:line="44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表2-1 建设项目环境影响评价分类管理名录（2021年版，摘录）</w:t>
            </w:r>
          </w:p>
          <w:tbl>
            <w:tblPr>
              <w:tblStyle w:val="52"/>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65"/>
              <w:gridCol w:w="1285"/>
              <w:gridCol w:w="4026"/>
              <w:gridCol w:w="1660"/>
              <w:gridCol w:w="730"/>
            </w:tblGrid>
            <w:tr w14:paraId="143B83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4" w:hRule="atLeast"/>
                <w:jc w:val="center"/>
              </w:trPr>
              <w:tc>
                <w:tcPr>
                  <w:tcW w:w="1165" w:type="pct"/>
                  <w:gridSpan w:val="2"/>
                  <w:tcBorders>
                    <w:tl2br w:val="nil"/>
                    <w:tr2bl w:val="nil"/>
                  </w:tcBorders>
                  <w:noWrap w:val="0"/>
                  <w:vAlign w:val="top"/>
                  <mc:AlternateContent>
                    <mc:Choice Requires="wpsCustomData">
                      <wpsCustomData:diagonals>
                        <wpsCustomData:diagonal from="10000" to="30000">
                          <wpsCustomData:border w:val="single" w:color="auto" w:sz="4" w:space="0"/>
                        </wpsCustomData:diagonal>
                      </wpsCustomData:diagonals>
                    </mc:Choice>
                  </mc:AlternateContent>
                </w:tcPr>
                <w:p w14:paraId="3E00CD7A">
                  <w:pPr>
                    <w:pStyle w:val="30"/>
                    <w:keepNext w:val="0"/>
                    <w:keepLines w:val="0"/>
                    <w:suppressLineNumbers w:val="0"/>
                    <w:spacing w:before="0" w:beforeAutospacing="0" w:after="0" w:afterAutospacing="0" w:line="240" w:lineRule="auto"/>
                    <w:ind w:left="0" w:leftChars="0" w:right="0"/>
                    <w:jc w:val="right"/>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 xml:space="preserve">    </w:t>
                  </w:r>
                </w:p>
                <w:p w14:paraId="663CDC4E">
                  <w:pPr>
                    <w:pStyle w:val="30"/>
                    <w:keepNext w:val="0"/>
                    <w:keepLines w:val="0"/>
                    <w:suppressLineNumbers w:val="0"/>
                    <w:tabs>
                      <w:tab w:val="left" w:pos="255"/>
                    </w:tabs>
                    <w:snapToGrid w:val="0"/>
                    <w:spacing w:before="0" w:beforeAutospacing="0" w:after="0" w:afterAutospacing="0" w:line="240" w:lineRule="auto"/>
                    <w:ind w:left="0" w:leftChars="0" w:right="0" w:firstLine="0" w:firstLineChars="0"/>
                    <mc:AlternateContent>
                      <mc:Choice Requires="wpsCustomData">
                        <wpsCustomData:diagonalParaType/>
                      </mc:Choice>
                    </mc:AlternateContent>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项目类别</w:t>
                  </w:r>
                </w:p>
                <w:p w14:paraId="124F6779">
                  <w:pPr>
                    <w:pStyle w:val="30"/>
                    <w:keepNext w:val="0"/>
                    <w:keepLines w:val="0"/>
                    <w:suppressLineNumbers w:val="0"/>
                    <w:spacing w:before="0" w:beforeAutospacing="0" w:after="0" w:afterAutospacing="0" w:line="240" w:lineRule="auto"/>
                    <w:ind w:left="0" w:leftChars="0" w:right="0" w:firstLine="0" w:firstLineChars="0"/>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环评类别</w:t>
                  </w:r>
                </w:p>
              </w:tc>
              <w:tc>
                <w:tcPr>
                  <w:tcW w:w="2406" w:type="pct"/>
                  <w:tcBorders>
                    <w:tl2br w:val="nil"/>
                    <w:tr2bl w:val="nil"/>
                  </w:tcBorders>
                  <w:noWrap w:val="0"/>
                  <w:vAlign w:val="center"/>
                </w:tcPr>
                <w:p w14:paraId="5E87D21E">
                  <w:pPr>
                    <w:pStyle w:val="30"/>
                    <w:keepNext w:val="0"/>
                    <w:keepLines w:val="0"/>
                    <w:suppressLineNumbers w:val="0"/>
                    <w:spacing w:before="0" w:beforeAutospacing="0" w:after="0" w:afterAutospacing="0" w:line="240" w:lineRule="auto"/>
                    <w:ind w:left="0" w:leftChars="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报告书</w:t>
                  </w:r>
                </w:p>
              </w:tc>
              <w:tc>
                <w:tcPr>
                  <w:tcW w:w="992" w:type="pct"/>
                  <w:tcBorders>
                    <w:tl2br w:val="nil"/>
                    <w:tr2bl w:val="nil"/>
                  </w:tcBorders>
                  <w:noWrap w:val="0"/>
                  <w:vAlign w:val="center"/>
                </w:tcPr>
                <w:p w14:paraId="14C83CEF">
                  <w:pPr>
                    <w:pStyle w:val="30"/>
                    <w:keepNext w:val="0"/>
                    <w:keepLines w:val="0"/>
                    <w:suppressLineNumbers w:val="0"/>
                    <w:spacing w:before="0" w:beforeAutospacing="0" w:after="0" w:afterAutospacing="0" w:line="240" w:lineRule="auto"/>
                    <w:ind w:left="0" w:leftChars="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报告表</w:t>
                  </w:r>
                </w:p>
              </w:tc>
              <w:tc>
                <w:tcPr>
                  <w:tcW w:w="436" w:type="pct"/>
                  <w:tcBorders>
                    <w:tl2br w:val="nil"/>
                    <w:tr2bl w:val="nil"/>
                  </w:tcBorders>
                  <w:noWrap w:val="0"/>
                  <w:vAlign w:val="center"/>
                </w:tcPr>
                <w:p w14:paraId="79DFFE8F">
                  <w:pPr>
                    <w:pStyle w:val="30"/>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登记表</w:t>
                  </w:r>
                </w:p>
              </w:tc>
            </w:tr>
            <w:tr w14:paraId="6088AB6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5000" w:type="pct"/>
                  <w:gridSpan w:val="5"/>
                  <w:tcBorders>
                    <w:tl2br w:val="nil"/>
                    <w:tr2bl w:val="nil"/>
                  </w:tcBorders>
                  <w:noWrap w:val="0"/>
                  <w:vAlign w:val="center"/>
                </w:tcPr>
                <w:p w14:paraId="2C7D957A">
                  <w:pPr>
                    <w:pStyle w:val="64"/>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left"/>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bCs/>
                      <w:color w:val="auto"/>
                      <w:sz w:val="21"/>
                      <w:szCs w:val="21"/>
                      <w:highlight w:val="none"/>
                      <w:lang w:val="en-US" w:eastAsia="zh-CN"/>
                    </w:rPr>
                    <w:t>三十、金属制品业33</w:t>
                  </w:r>
                </w:p>
              </w:tc>
            </w:tr>
            <w:tr w14:paraId="102EDF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397" w:type="pct"/>
                  <w:tcBorders>
                    <w:tl2br w:val="nil"/>
                    <w:tr2bl w:val="nil"/>
                  </w:tcBorders>
                  <w:shd w:val="clear" w:color="auto" w:fill="auto"/>
                  <w:noWrap w:val="0"/>
                  <w:vAlign w:val="center"/>
                </w:tcPr>
                <w:p w14:paraId="54C3F7A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cs="Times New Roman"/>
                      <w:b w:val="0"/>
                      <w:bCs w:val="0"/>
                      <w:color w:val="auto"/>
                      <w:sz w:val="21"/>
                      <w:szCs w:val="21"/>
                      <w:highlight w:val="none"/>
                      <w:lang w:val="en-US" w:eastAsia="zh-CN"/>
                    </w:rPr>
                    <w:t>6</w:t>
                  </w:r>
                  <w:r>
                    <w:rPr>
                      <w:rFonts w:hint="eastAsia" w:ascii="Times New Roman" w:hAnsi="Times New Roman" w:cs="Times New Roman"/>
                      <w:b w:val="0"/>
                      <w:bCs w:val="0"/>
                      <w:color w:val="auto"/>
                      <w:sz w:val="21"/>
                      <w:szCs w:val="21"/>
                      <w:highlight w:val="none"/>
                      <w:lang w:val="en-US" w:eastAsia="zh-CN"/>
                    </w:rPr>
                    <w:t>7</w:t>
                  </w:r>
                </w:p>
              </w:tc>
              <w:tc>
                <w:tcPr>
                  <w:tcW w:w="767" w:type="pct"/>
                  <w:tcBorders>
                    <w:tl2br w:val="nil"/>
                    <w:tr2bl w:val="nil"/>
                  </w:tcBorders>
                  <w:shd w:val="clear" w:color="auto" w:fill="auto"/>
                  <w:noWrap w:val="0"/>
                  <w:vAlign w:val="center"/>
                </w:tcPr>
                <w:p w14:paraId="069037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kern w:val="0"/>
                      <w:sz w:val="21"/>
                      <w:szCs w:val="21"/>
                      <w:lang w:eastAsia="zh-CN"/>
                    </w:rPr>
                  </w:pPr>
                  <w:r>
                    <w:rPr>
                      <w:rFonts w:hint="default" w:ascii="Times New Roman" w:hAnsi="Times New Roman" w:cs="Times New Roman"/>
                      <w:bCs/>
                      <w:color w:val="auto"/>
                      <w:sz w:val="21"/>
                      <w:szCs w:val="21"/>
                      <w:highlight w:val="none"/>
                    </w:rPr>
                    <w:t>金属表面处理及热处理加工</w:t>
                  </w:r>
                </w:p>
              </w:tc>
              <w:tc>
                <w:tcPr>
                  <w:tcW w:w="2406" w:type="pct"/>
                  <w:tcBorders>
                    <w:tl2br w:val="nil"/>
                    <w:tr2bl w:val="nil"/>
                  </w:tcBorders>
                  <w:shd w:val="clear" w:color="auto" w:fill="auto"/>
                  <w:noWrap w:val="0"/>
                  <w:vAlign w:val="center"/>
                </w:tcPr>
                <w:p w14:paraId="2CA36A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cs="Times New Roman"/>
                      <w:b w:val="0"/>
                      <w:bCs w:val="0"/>
                      <w:color w:val="auto"/>
                      <w:sz w:val="21"/>
                      <w:szCs w:val="21"/>
                      <w:highlight w:val="none"/>
                      <w:lang w:val="en-US" w:eastAsia="zh-CN"/>
                    </w:rPr>
                    <w:t>有电镀工艺的</w:t>
                  </w:r>
                  <w:r>
                    <w:rPr>
                      <w:rFonts w:hint="eastAsia" w:ascii="Times New Roman" w:hAnsi="Times New Roman" w:cs="Times New Roman"/>
                      <w:b w:val="0"/>
                      <w:bCs w:val="0"/>
                      <w:color w:val="auto"/>
                      <w:sz w:val="21"/>
                      <w:szCs w:val="21"/>
                      <w:highlight w:val="none"/>
                      <w:lang w:val="en-US" w:eastAsia="zh-CN"/>
                    </w:rPr>
                    <w:t>；</w:t>
                  </w:r>
                  <w:r>
                    <w:rPr>
                      <w:rFonts w:hint="default" w:ascii="Times New Roman" w:hAnsi="Times New Roman" w:cs="Times New Roman"/>
                      <w:b w:val="0"/>
                      <w:bCs w:val="0"/>
                      <w:color w:val="auto"/>
                      <w:sz w:val="21"/>
                      <w:szCs w:val="21"/>
                      <w:highlight w:val="none"/>
                      <w:lang w:val="en-US" w:eastAsia="zh-CN"/>
                    </w:rPr>
                    <w:t>有钝化工艺的热镀锌</w:t>
                  </w:r>
                  <w:r>
                    <w:rPr>
                      <w:rFonts w:hint="eastAsia" w:ascii="Times New Roman" w:hAnsi="Times New Roman" w:cs="Times New Roman"/>
                      <w:b w:val="0"/>
                      <w:bCs w:val="0"/>
                      <w:color w:val="auto"/>
                      <w:sz w:val="21"/>
                      <w:szCs w:val="21"/>
                      <w:highlight w:val="none"/>
                      <w:lang w:val="en-US" w:eastAsia="zh-CN"/>
                    </w:rPr>
                    <w:t>；</w:t>
                  </w:r>
                  <w:r>
                    <w:rPr>
                      <w:rFonts w:hint="default" w:ascii="Times New Roman" w:hAnsi="Times New Roman" w:cs="Times New Roman"/>
                      <w:b w:val="0"/>
                      <w:bCs w:val="0"/>
                      <w:color w:val="auto"/>
                      <w:sz w:val="21"/>
                      <w:szCs w:val="21"/>
                      <w:highlight w:val="none"/>
                      <w:lang w:val="en-US" w:eastAsia="zh-CN"/>
                    </w:rPr>
                    <w:t>使用有机涂层的</w:t>
                  </w:r>
                  <w:r>
                    <w:rPr>
                      <w:rFonts w:hint="eastAsia" w:ascii="Times New Roman" w:hAnsi="Times New Roman" w:cs="Times New Roman"/>
                      <w:b w:val="0"/>
                      <w:bCs w:val="0"/>
                      <w:color w:val="auto"/>
                      <w:sz w:val="21"/>
                      <w:szCs w:val="21"/>
                      <w:highlight w:val="none"/>
                      <w:lang w:val="en-US" w:eastAsia="zh-CN"/>
                    </w:rPr>
                    <w:t>（</w:t>
                  </w:r>
                  <w:r>
                    <w:rPr>
                      <w:rFonts w:hint="default" w:ascii="Times New Roman" w:hAnsi="Times New Roman" w:cs="Times New Roman"/>
                      <w:b w:val="0"/>
                      <w:bCs w:val="0"/>
                      <w:color w:val="auto"/>
                      <w:sz w:val="21"/>
                      <w:szCs w:val="21"/>
                      <w:highlight w:val="none"/>
                      <w:lang w:val="en-US" w:eastAsia="zh-CN"/>
                    </w:rPr>
                    <w:t>喷粉、喷塑、浸塑和电泳除外</w:t>
                  </w:r>
                  <w:r>
                    <w:rPr>
                      <w:rFonts w:hint="eastAsia" w:ascii="Times New Roman" w:hAnsi="Times New Roman" w:cs="Times New Roman"/>
                      <w:b w:val="0"/>
                      <w:bCs w:val="0"/>
                      <w:color w:val="auto"/>
                      <w:sz w:val="21"/>
                      <w:szCs w:val="21"/>
                      <w:highlight w:val="none"/>
                      <w:lang w:val="en-US" w:eastAsia="zh-CN"/>
                    </w:rPr>
                    <w:t>；</w:t>
                  </w:r>
                  <w:r>
                    <w:rPr>
                      <w:rFonts w:hint="default" w:ascii="Times New Roman" w:hAnsi="Times New Roman" w:cs="Times New Roman"/>
                      <w:b w:val="0"/>
                      <w:bCs w:val="0"/>
                      <w:color w:val="auto"/>
                      <w:sz w:val="21"/>
                      <w:szCs w:val="21"/>
                      <w:highlight w:val="none"/>
                      <w:lang w:val="en-US" w:eastAsia="zh-CN"/>
                    </w:rPr>
                    <w:t>年用溶剂型涂料</w:t>
                  </w:r>
                  <w:r>
                    <w:rPr>
                      <w:rFonts w:hint="eastAsia" w:ascii="Times New Roman" w:hAnsi="Times New Roman" w:cs="Times New Roman"/>
                      <w:b w:val="0"/>
                      <w:bCs w:val="0"/>
                      <w:color w:val="auto"/>
                      <w:sz w:val="21"/>
                      <w:szCs w:val="21"/>
                      <w:highlight w:val="none"/>
                      <w:lang w:val="en-US" w:eastAsia="zh-CN"/>
                    </w:rPr>
                    <w:t>（</w:t>
                  </w:r>
                  <w:r>
                    <w:rPr>
                      <w:rFonts w:hint="default" w:ascii="Times New Roman" w:hAnsi="Times New Roman" w:cs="Times New Roman"/>
                      <w:b w:val="0"/>
                      <w:bCs w:val="0"/>
                      <w:color w:val="auto"/>
                      <w:sz w:val="21"/>
                      <w:szCs w:val="21"/>
                      <w:highlight w:val="none"/>
                      <w:lang w:val="en-US" w:eastAsia="zh-CN"/>
                    </w:rPr>
                    <w:t>含稀释剂</w:t>
                  </w:r>
                  <w:r>
                    <w:rPr>
                      <w:rFonts w:hint="eastAsia" w:ascii="Times New Roman" w:hAnsi="Times New Roman" w:cs="Times New Roman"/>
                      <w:b w:val="0"/>
                      <w:bCs w:val="0"/>
                      <w:color w:val="auto"/>
                      <w:sz w:val="21"/>
                      <w:szCs w:val="21"/>
                      <w:highlight w:val="none"/>
                      <w:lang w:val="en-US" w:eastAsia="zh-CN"/>
                    </w:rPr>
                    <w:t>）</w:t>
                  </w:r>
                  <w:r>
                    <w:rPr>
                      <w:rFonts w:hint="default" w:ascii="Times New Roman" w:hAnsi="Times New Roman" w:cs="Times New Roman"/>
                      <w:b w:val="0"/>
                      <w:bCs w:val="0"/>
                      <w:color w:val="auto"/>
                      <w:sz w:val="21"/>
                      <w:szCs w:val="21"/>
                      <w:highlight w:val="none"/>
                      <w:lang w:val="en-US" w:eastAsia="zh-CN"/>
                    </w:rPr>
                    <w:t>10吨以下和用非溶剂型低VOCs含量涂料的除外</w:t>
                  </w:r>
                  <w:r>
                    <w:rPr>
                      <w:rFonts w:hint="eastAsia" w:ascii="Times New Roman" w:hAnsi="Times New Roman" w:cs="Times New Roman"/>
                      <w:b w:val="0"/>
                      <w:bCs w:val="0"/>
                      <w:color w:val="auto"/>
                      <w:sz w:val="21"/>
                      <w:szCs w:val="21"/>
                      <w:highlight w:val="none"/>
                      <w:lang w:val="en-US" w:eastAsia="zh-CN"/>
                    </w:rPr>
                    <w:t>）</w:t>
                  </w:r>
                </w:p>
              </w:tc>
              <w:tc>
                <w:tcPr>
                  <w:tcW w:w="992" w:type="pct"/>
                  <w:tcBorders>
                    <w:tl2br w:val="nil"/>
                    <w:tr2bl w:val="nil"/>
                  </w:tcBorders>
                  <w:shd w:val="clear" w:color="auto" w:fill="EEECE1" w:themeFill="background2"/>
                  <w:noWrap w:val="0"/>
                  <w:vAlign w:val="center"/>
                </w:tcPr>
                <w:p w14:paraId="5902FE1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color w:val="auto"/>
                      <w:kern w:val="0"/>
                      <w:sz w:val="21"/>
                      <w:szCs w:val="21"/>
                      <w:shd w:val="clear" w:color="auto" w:fill="auto"/>
                    </w:rPr>
                  </w:pPr>
                  <w:r>
                    <w:rPr>
                      <w:rFonts w:hint="default" w:ascii="Times New Roman" w:hAnsi="Times New Roman" w:eastAsia="宋体" w:cs="Times New Roman"/>
                      <w:b w:val="0"/>
                      <w:bCs w:val="0"/>
                      <w:color w:val="auto"/>
                      <w:sz w:val="21"/>
                      <w:szCs w:val="21"/>
                      <w:highlight w:val="none"/>
                      <w:lang w:val="en-US" w:eastAsia="zh-CN"/>
                    </w:rPr>
                    <w:t>其他</w:t>
                  </w:r>
                  <w:r>
                    <w:rPr>
                      <w:rFonts w:hint="eastAsia" w:ascii="Times New Roman" w:hAnsi="Times New Roman"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年用非溶剂型低V</w:t>
                  </w:r>
                  <w:r>
                    <w:rPr>
                      <w:rFonts w:hint="eastAsia" w:ascii="Times New Roman" w:hAnsi="Times New Roman" w:eastAsia="宋体" w:cs="Times New Roman"/>
                      <w:b w:val="0"/>
                      <w:bCs w:val="0"/>
                      <w:color w:val="auto"/>
                      <w:sz w:val="21"/>
                      <w:szCs w:val="21"/>
                      <w:highlight w:val="none"/>
                      <w:lang w:val="en-US" w:eastAsia="zh-CN"/>
                    </w:rPr>
                    <w:t>O</w:t>
                  </w:r>
                  <w:r>
                    <w:rPr>
                      <w:rFonts w:hint="default" w:ascii="Times New Roman" w:hAnsi="Times New Roman" w:eastAsia="宋体" w:cs="Times New Roman"/>
                      <w:b w:val="0"/>
                      <w:bCs w:val="0"/>
                      <w:color w:val="auto"/>
                      <w:sz w:val="21"/>
                      <w:szCs w:val="21"/>
                      <w:highlight w:val="none"/>
                      <w:lang w:val="en-US" w:eastAsia="zh-CN"/>
                    </w:rPr>
                    <w:t>Cs含量涂料10吨以下的除外</w:t>
                  </w:r>
                  <w:r>
                    <w:rPr>
                      <w:rFonts w:hint="eastAsia" w:ascii="Times New Roman" w:hAnsi="Times New Roman" w:eastAsia="宋体" w:cs="Times New Roman"/>
                      <w:b w:val="0"/>
                      <w:bCs w:val="0"/>
                      <w:color w:val="auto"/>
                      <w:sz w:val="21"/>
                      <w:szCs w:val="21"/>
                      <w:highlight w:val="none"/>
                      <w:lang w:val="en-US" w:eastAsia="zh-CN"/>
                    </w:rPr>
                    <w:t>）</w:t>
                  </w:r>
                </w:p>
              </w:tc>
              <w:tc>
                <w:tcPr>
                  <w:tcW w:w="436" w:type="pct"/>
                  <w:tcBorders>
                    <w:tl2br w:val="nil"/>
                    <w:tr2bl w:val="nil"/>
                  </w:tcBorders>
                  <w:noWrap w:val="0"/>
                  <w:vAlign w:val="center"/>
                </w:tcPr>
                <w:p w14:paraId="050C21C8">
                  <w:pPr>
                    <w:pStyle w:val="64"/>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highlight w:val="none"/>
                      <w:lang w:val="en-US" w:eastAsia="zh-CN"/>
                    </w:rPr>
                    <w:t>/</w:t>
                  </w:r>
                </w:p>
              </w:tc>
            </w:tr>
          </w:tbl>
          <w:p w14:paraId="282281AC">
            <w:pPr>
              <w:pStyle w:val="62"/>
              <w:keepNext w:val="0"/>
              <w:keepLines w:val="0"/>
              <w:suppressLineNumbers w:val="0"/>
              <w:bidi w:val="0"/>
              <w:spacing w:before="0" w:beforeAutospacing="0" w:after="0" w:afterAutospacing="0"/>
              <w:ind w:left="0" w:right="0"/>
              <w:rPr>
                <w:rFonts w:hint="default"/>
                <w:color w:val="auto"/>
              </w:rPr>
            </w:pPr>
            <w:r>
              <w:rPr>
                <w:rFonts w:hint="default"/>
                <w:color w:val="auto"/>
              </w:rPr>
              <w:t>对照《固定污染源排污许可分类管理名录》（2019年版），本项目属于</w:t>
            </w:r>
            <w:r>
              <w:rPr>
                <w:rFonts w:hint="eastAsia"/>
                <w:color w:val="auto"/>
                <w:lang w:eastAsia="zh-CN"/>
              </w:rPr>
              <w:t>“</w:t>
            </w:r>
            <w:r>
              <w:rPr>
                <w:rFonts w:hint="default"/>
                <w:color w:val="auto"/>
              </w:rPr>
              <w:t>二十八、金属制品业</w:t>
            </w:r>
            <w:r>
              <w:rPr>
                <w:rFonts w:hint="eastAsia"/>
                <w:color w:val="auto"/>
                <w:lang w:eastAsia="zh-CN"/>
              </w:rPr>
              <w:t>”</w:t>
            </w:r>
            <w:r>
              <w:rPr>
                <w:rFonts w:hint="default"/>
                <w:color w:val="auto"/>
              </w:rPr>
              <w:t>中</w:t>
            </w:r>
            <w:r>
              <w:rPr>
                <w:rFonts w:hint="eastAsia"/>
                <w:color w:val="auto"/>
                <w:lang w:eastAsia="zh-CN"/>
              </w:rPr>
              <w:t>“</w:t>
            </w:r>
            <w:r>
              <w:rPr>
                <w:rFonts w:hint="default"/>
                <w:color w:val="auto"/>
              </w:rPr>
              <w:t>金属表面处理及热处理加工</w:t>
            </w:r>
            <w:r>
              <w:rPr>
                <w:rFonts w:hint="eastAsia"/>
                <w:color w:val="auto"/>
                <w:lang w:val="en-US" w:eastAsia="zh-CN"/>
              </w:rPr>
              <w:t>336</w:t>
            </w:r>
            <w:r>
              <w:rPr>
                <w:rFonts w:hint="eastAsia"/>
                <w:color w:val="auto"/>
                <w:lang w:eastAsia="zh-CN"/>
              </w:rPr>
              <w:t>”</w:t>
            </w:r>
            <w:r>
              <w:rPr>
                <w:rFonts w:hint="default"/>
                <w:color w:val="auto"/>
              </w:rPr>
              <w:t>中</w:t>
            </w:r>
            <w:r>
              <w:rPr>
                <w:rFonts w:hint="eastAsia"/>
                <w:color w:val="auto"/>
                <w:lang w:eastAsia="zh-CN"/>
              </w:rPr>
              <w:t>“</w:t>
            </w:r>
            <w:r>
              <w:rPr>
                <w:rFonts w:hint="default"/>
                <w:color w:val="auto"/>
              </w:rPr>
              <w:t>除重点管理以外的有酸洗、抛光</w:t>
            </w:r>
            <w:r>
              <w:rPr>
                <w:rFonts w:hint="eastAsia"/>
                <w:color w:val="auto"/>
                <w:lang w:eastAsia="zh-CN"/>
              </w:rPr>
              <w:t>（</w:t>
            </w:r>
            <w:r>
              <w:rPr>
                <w:rFonts w:hint="default"/>
                <w:color w:val="auto"/>
              </w:rPr>
              <w:t>电解抛光和化学抛光</w:t>
            </w:r>
            <w:r>
              <w:rPr>
                <w:rFonts w:hint="eastAsia"/>
                <w:color w:val="auto"/>
                <w:lang w:eastAsia="zh-CN"/>
              </w:rPr>
              <w:t>）</w:t>
            </w:r>
            <w:r>
              <w:rPr>
                <w:rFonts w:hint="default"/>
                <w:color w:val="auto"/>
              </w:rPr>
              <w:t>、热浸镀</w:t>
            </w:r>
            <w:r>
              <w:rPr>
                <w:rFonts w:hint="eastAsia"/>
                <w:color w:val="auto"/>
                <w:lang w:eastAsia="zh-CN"/>
              </w:rPr>
              <w:t>（</w:t>
            </w:r>
            <w:r>
              <w:rPr>
                <w:rFonts w:hint="default"/>
                <w:color w:val="auto"/>
              </w:rPr>
              <w:t>溶剂法</w:t>
            </w:r>
            <w:r>
              <w:rPr>
                <w:rFonts w:hint="eastAsia"/>
                <w:color w:val="auto"/>
                <w:lang w:eastAsia="zh-CN"/>
              </w:rPr>
              <w:t>）</w:t>
            </w:r>
            <w:r>
              <w:rPr>
                <w:rFonts w:hint="default"/>
                <w:color w:val="auto"/>
              </w:rPr>
              <w:t>、淬火或者无铬钝化等工序的、年使用10吨及以上有机溶剂的</w:t>
            </w:r>
            <w:r>
              <w:rPr>
                <w:rFonts w:hint="eastAsia"/>
                <w:color w:val="auto"/>
                <w:lang w:eastAsia="zh-CN"/>
              </w:rPr>
              <w:t>”</w:t>
            </w:r>
            <w:r>
              <w:rPr>
                <w:rFonts w:hint="default"/>
                <w:color w:val="auto"/>
              </w:rPr>
              <w:t>类别，</w:t>
            </w:r>
            <w:r>
              <w:rPr>
                <w:rFonts w:hint="eastAsia"/>
                <w:color w:val="auto"/>
                <w:lang w:val="en-US" w:eastAsia="zh-CN"/>
              </w:rPr>
              <w:t>本项目含淬火工序，</w:t>
            </w:r>
            <w:r>
              <w:rPr>
                <w:rFonts w:hint="default"/>
                <w:color w:val="auto"/>
              </w:rPr>
              <w:t>属于简化管理。相关内容详见下表：</w:t>
            </w:r>
          </w:p>
          <w:p w14:paraId="30F121ED">
            <w:pPr>
              <w:keepNext w:val="0"/>
              <w:keepLines w:val="0"/>
              <w:suppressLineNumbers w:val="0"/>
              <w:adjustRightInd w:val="0"/>
              <w:spacing w:before="0" w:beforeAutospacing="0" w:after="0" w:afterAutospacing="0" w:line="460" w:lineRule="exact"/>
              <w:ind w:left="0" w:right="0"/>
              <w:jc w:val="center"/>
              <w:rPr>
                <w:rFonts w:hint="default" w:ascii="Times New Roman" w:hAnsi="Times New Roman" w:eastAsia="宋体" w:cs="Times New Roman"/>
                <w:b/>
                <w:color w:val="auto"/>
              </w:rPr>
            </w:pPr>
          </w:p>
          <w:p w14:paraId="1759345C">
            <w:pPr>
              <w:keepNext w:val="0"/>
              <w:keepLines w:val="0"/>
              <w:suppressLineNumbers w:val="0"/>
              <w:adjustRightInd w:val="0"/>
              <w:spacing w:before="0" w:beforeAutospacing="0" w:after="0" w:afterAutospacing="0" w:line="460" w:lineRule="exact"/>
              <w:ind w:left="0" w:right="0"/>
              <w:jc w:val="center"/>
              <w:rPr>
                <w:rFonts w:hint="default" w:ascii="Times New Roman" w:hAnsi="Times New Roman" w:eastAsia="宋体" w:cs="Times New Roman"/>
                <w:b/>
                <w:color w:val="auto"/>
              </w:rPr>
            </w:pPr>
          </w:p>
          <w:p w14:paraId="75DD66F5">
            <w:pPr>
              <w:keepNext w:val="0"/>
              <w:keepLines w:val="0"/>
              <w:suppressLineNumbers w:val="0"/>
              <w:adjustRightInd w:val="0"/>
              <w:spacing w:before="0" w:beforeAutospacing="0" w:after="0" w:afterAutospacing="0" w:line="460" w:lineRule="exact"/>
              <w:ind w:left="0" w:right="0"/>
              <w:jc w:val="center"/>
              <w:rPr>
                <w:rFonts w:hint="default" w:ascii="Times New Roman" w:hAnsi="Times New Roman" w:eastAsia="宋体" w:cs="Times New Roman"/>
                <w:b/>
                <w:color w:val="auto"/>
              </w:rPr>
            </w:pPr>
          </w:p>
          <w:p w14:paraId="4AB31CFC">
            <w:pPr>
              <w:keepNext w:val="0"/>
              <w:keepLines w:val="0"/>
              <w:suppressLineNumbers w:val="0"/>
              <w:adjustRightInd w:val="0"/>
              <w:spacing w:before="0" w:beforeAutospacing="0" w:after="0" w:afterAutospacing="0" w:line="460" w:lineRule="exact"/>
              <w:ind w:left="0" w:right="0"/>
              <w:jc w:val="center"/>
              <w:rPr>
                <w:rFonts w:hint="default" w:ascii="Times New Roman" w:hAnsi="Times New Roman" w:eastAsia="宋体" w:cs="Times New Roman"/>
                <w:b/>
                <w:color w:val="auto"/>
              </w:rPr>
            </w:pPr>
          </w:p>
          <w:p w14:paraId="7577CC72">
            <w:pPr>
              <w:keepNext w:val="0"/>
              <w:keepLines w:val="0"/>
              <w:suppressLineNumbers w:val="0"/>
              <w:adjustRightInd w:val="0"/>
              <w:spacing w:before="0" w:beforeAutospacing="0" w:after="0" w:afterAutospacing="0" w:line="460" w:lineRule="exact"/>
              <w:ind w:left="0" w:right="0"/>
              <w:jc w:val="center"/>
              <w:rPr>
                <w:rFonts w:hint="default" w:ascii="Times New Roman" w:hAnsi="Times New Roman" w:eastAsia="宋体" w:cs="Times New Roman"/>
                <w:b/>
                <w:color w:val="auto"/>
              </w:rPr>
            </w:pPr>
          </w:p>
          <w:p w14:paraId="63E1E12F">
            <w:pPr>
              <w:keepNext w:val="0"/>
              <w:keepLines w:val="0"/>
              <w:suppressLineNumbers w:val="0"/>
              <w:adjustRightInd w:val="0"/>
              <w:spacing w:before="0" w:beforeAutospacing="0" w:after="0" w:afterAutospacing="0" w:line="46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表2-2  固定污染源排污许可证分类管理名录（2019版）对照表（摘录）</w:t>
            </w:r>
          </w:p>
          <w:tbl>
            <w:tblPr>
              <w:tblStyle w:val="52"/>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7"/>
              <w:gridCol w:w="1066"/>
              <w:gridCol w:w="2593"/>
              <w:gridCol w:w="2869"/>
              <w:gridCol w:w="1181"/>
            </w:tblGrid>
            <w:tr w14:paraId="0B8AB7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trPr>
              <w:tc>
                <w:tcPr>
                  <w:tcW w:w="392" w:type="pct"/>
                  <w:noWrap w:val="0"/>
                  <w:vAlign w:val="center"/>
                </w:tcPr>
                <w:p w14:paraId="44633C48">
                  <w:pPr>
                    <w:pStyle w:val="68"/>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637" w:type="pct"/>
                  <w:noWrap w:val="0"/>
                  <w:vAlign w:val="center"/>
                </w:tcPr>
                <w:p w14:paraId="660F790F">
                  <w:pPr>
                    <w:pStyle w:val="68"/>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行业类别</w:t>
                  </w:r>
                </w:p>
              </w:tc>
              <w:tc>
                <w:tcPr>
                  <w:tcW w:w="1549" w:type="pct"/>
                  <w:noWrap w:val="0"/>
                  <w:vAlign w:val="center"/>
                </w:tcPr>
                <w:p w14:paraId="6C482521">
                  <w:pPr>
                    <w:pStyle w:val="68"/>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重点管理</w:t>
                  </w:r>
                </w:p>
              </w:tc>
              <w:tc>
                <w:tcPr>
                  <w:tcW w:w="1714" w:type="pct"/>
                  <w:noWrap w:val="0"/>
                  <w:vAlign w:val="center"/>
                </w:tcPr>
                <w:p w14:paraId="39CF8A8D">
                  <w:pPr>
                    <w:pStyle w:val="68"/>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简化管理</w:t>
                  </w:r>
                </w:p>
              </w:tc>
              <w:tc>
                <w:tcPr>
                  <w:tcW w:w="705" w:type="pct"/>
                  <w:noWrap w:val="0"/>
                  <w:vAlign w:val="center"/>
                </w:tcPr>
                <w:p w14:paraId="41D3581B">
                  <w:pPr>
                    <w:pStyle w:val="68"/>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登记管理</w:t>
                  </w:r>
                </w:p>
              </w:tc>
            </w:tr>
            <w:tr w14:paraId="284648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trPr>
              <w:tc>
                <w:tcPr>
                  <w:tcW w:w="5000" w:type="pct"/>
                  <w:gridSpan w:val="5"/>
                  <w:noWrap w:val="0"/>
                  <w:vAlign w:val="center"/>
                </w:tcPr>
                <w:p w14:paraId="188C6D18">
                  <w:pPr>
                    <w:pStyle w:val="68"/>
                    <w:keepNext w:val="0"/>
                    <w:keepLines w:val="0"/>
                    <w:suppressLineNumbers w:val="0"/>
                    <w:spacing w:before="0" w:beforeAutospacing="0" w:after="0" w:afterAutospacing="0"/>
                    <w:ind w:left="0" w:right="0"/>
                    <w:rPr>
                      <w:rFonts w:hint="default" w:ascii="Times New Roman" w:hAnsi="Times New Roman" w:eastAsia="宋体" w:cs="Times New Roman"/>
                      <w:b/>
                      <w:bCs/>
                      <w:color w:val="0000FF"/>
                      <w:sz w:val="21"/>
                      <w:szCs w:val="21"/>
                    </w:rPr>
                  </w:pPr>
                  <w:r>
                    <w:rPr>
                      <w:rFonts w:hint="default" w:ascii="Times New Roman" w:hAnsi="Times New Roman" w:cs="Times New Roman"/>
                      <w:bCs/>
                      <w:color w:val="auto"/>
                      <w:sz w:val="21"/>
                      <w:szCs w:val="21"/>
                      <w:highlight w:val="none"/>
                    </w:rPr>
                    <w:t>二十八、金属制品业</w:t>
                  </w:r>
                  <w:r>
                    <w:rPr>
                      <w:rFonts w:hint="default" w:ascii="Times New Roman" w:hAnsi="Times New Roman" w:cs="Times New Roman"/>
                      <w:bCs/>
                      <w:color w:val="auto"/>
                      <w:sz w:val="21"/>
                      <w:szCs w:val="21"/>
                      <w:highlight w:val="none"/>
                      <w:lang w:val="en-US" w:eastAsia="zh-CN"/>
                    </w:rPr>
                    <w:t xml:space="preserve"> 33</w:t>
                  </w:r>
                </w:p>
              </w:tc>
            </w:tr>
            <w:tr w14:paraId="02FD3C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trPr>
              <w:tc>
                <w:tcPr>
                  <w:tcW w:w="392" w:type="pct"/>
                  <w:shd w:val="clear" w:color="auto" w:fill="auto"/>
                  <w:noWrap w:val="0"/>
                  <w:vAlign w:val="center"/>
                </w:tcPr>
                <w:p w14:paraId="3533D9C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auto"/>
                      <w:sz w:val="21"/>
                      <w:szCs w:val="21"/>
                      <w:highlight w:val="none"/>
                      <w:lang w:val="en-US" w:eastAsia="zh-CN"/>
                    </w:rPr>
                    <w:t>8</w:t>
                  </w:r>
                  <w:r>
                    <w:rPr>
                      <w:rFonts w:hint="eastAsia" w:ascii="Times New Roman" w:hAnsi="Times New Roman" w:eastAsia="宋体" w:cs="Times New Roman"/>
                      <w:color w:val="auto"/>
                      <w:sz w:val="21"/>
                      <w:szCs w:val="21"/>
                      <w:highlight w:val="none"/>
                      <w:lang w:val="en-US" w:eastAsia="zh-CN"/>
                    </w:rPr>
                    <w:t>1</w:t>
                  </w:r>
                </w:p>
              </w:tc>
              <w:tc>
                <w:tcPr>
                  <w:tcW w:w="637" w:type="pct"/>
                  <w:shd w:val="clear" w:color="auto" w:fill="auto"/>
                  <w:noWrap w:val="0"/>
                  <w:vAlign w:val="center"/>
                </w:tcPr>
                <w:p w14:paraId="732FCA3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cs="Times New Roman"/>
                      <w:bCs/>
                      <w:color w:val="auto"/>
                      <w:sz w:val="21"/>
                      <w:szCs w:val="21"/>
                      <w:highlight w:val="none"/>
                    </w:rPr>
                    <w:t>金属表面处理及热处理加工</w:t>
                  </w:r>
                  <w:r>
                    <w:rPr>
                      <w:rFonts w:hint="eastAsia" w:ascii="Times New Roman" w:hAnsi="Times New Roman" w:cs="Times New Roman"/>
                      <w:bCs/>
                      <w:color w:val="auto"/>
                      <w:sz w:val="21"/>
                      <w:szCs w:val="21"/>
                      <w:highlight w:val="none"/>
                      <w:lang w:val="en-US" w:eastAsia="zh-CN"/>
                    </w:rPr>
                    <w:t>336</w:t>
                  </w:r>
                </w:p>
              </w:tc>
              <w:tc>
                <w:tcPr>
                  <w:tcW w:w="1549" w:type="pct"/>
                  <w:shd w:val="clear" w:color="auto" w:fill="auto"/>
                  <w:noWrap w:val="0"/>
                  <w:vAlign w:val="center"/>
                </w:tcPr>
                <w:p w14:paraId="60182C3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0000FF"/>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纳入重点排污单位名录的</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专业电镀企业</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含电镀园区中电镀企业</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，专门处理电镀废水的集中处理设施，有电镀工序的，有含铬钝化工序的</w:t>
                  </w:r>
                </w:p>
              </w:tc>
              <w:tc>
                <w:tcPr>
                  <w:tcW w:w="1714" w:type="pct"/>
                  <w:tcBorders>
                    <w:right w:val="single" w:color="auto" w:sz="4" w:space="0"/>
                  </w:tcBorders>
                  <w:shd w:val="clear" w:color="auto" w:fill="EEECE1" w:themeFill="background2"/>
                  <w:noWrap w:val="0"/>
                  <w:vAlign w:val="center"/>
                </w:tcPr>
                <w:p w14:paraId="216209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除重点管理以外的有酸洗、抛光</w:t>
                  </w:r>
                  <w:r>
                    <w:rPr>
                      <w:rFonts w:hint="eastAsia" w:ascii="Times New Roman" w:hAnsi="Times New Roman"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电解抛光和化学抛光</w:t>
                  </w:r>
                  <w:r>
                    <w:rPr>
                      <w:rFonts w:hint="eastAsia" w:ascii="Times New Roman" w:hAnsi="Times New Roman"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、热浸镀</w:t>
                  </w:r>
                  <w:r>
                    <w:rPr>
                      <w:rFonts w:hint="eastAsia" w:ascii="Times New Roman" w:hAnsi="Times New Roman"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溶剂法</w:t>
                  </w:r>
                  <w:r>
                    <w:rPr>
                      <w:rFonts w:hint="eastAsia" w:ascii="Times New Roman" w:hAnsi="Times New Roman"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、淬火或者无铬钝化等工序的、年使用10吨及以上有机溶剂的</w:t>
                  </w:r>
                </w:p>
              </w:tc>
              <w:tc>
                <w:tcPr>
                  <w:tcW w:w="705"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14:paraId="3D8B8F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其他</w:t>
                  </w:r>
                </w:p>
              </w:tc>
            </w:tr>
          </w:tbl>
          <w:p w14:paraId="5037A14F">
            <w:pPr>
              <w:keepNext w:val="0"/>
              <w:keepLines w:val="0"/>
              <w:suppressLineNumbers w:val="0"/>
              <w:spacing w:before="0" w:beforeAutospacing="0" w:after="0" w:afterAutospacing="0" w:line="440" w:lineRule="exact"/>
              <w:ind w:left="0" w:right="0"/>
              <w:rPr>
                <w:rFonts w:hint="default" w:ascii="Times New Roman" w:hAnsi="Times New Roman" w:eastAsia="宋体" w:cs="Times New Roman"/>
                <w:b/>
                <w:color w:val="auto"/>
                <w:kern w:val="0"/>
                <w:sz w:val="24"/>
              </w:rPr>
            </w:pPr>
            <w:r>
              <w:rPr>
                <w:rFonts w:hint="default" w:ascii="Times New Roman" w:hAnsi="Times New Roman" w:eastAsia="宋体" w:cs="Times New Roman"/>
                <w:b/>
                <w:color w:val="auto"/>
                <w:kern w:val="0"/>
                <w:sz w:val="24"/>
              </w:rPr>
              <w:t>2、项目概况</w:t>
            </w:r>
          </w:p>
          <w:p w14:paraId="1A6486AC">
            <w:pPr>
              <w:keepNext w:val="0"/>
              <w:keepLines w:val="0"/>
              <w:suppressLineNumbers w:val="0"/>
              <w:adjustRightInd w:val="0"/>
              <w:spacing w:before="0" w:beforeAutospacing="0" w:after="0" w:afterAutospacing="0" w:line="440" w:lineRule="exact"/>
              <w:ind w:left="0" w:right="0" w:firstLine="480" w:firstLineChars="200"/>
              <w:rPr>
                <w:rFonts w:hint="default" w:ascii="Times New Roman" w:hAnsi="Times New Roman" w:cs="Times New Roman"/>
                <w:bCs/>
                <w:color w:val="auto"/>
                <w:sz w:val="24"/>
                <w:lang w:val="en-US" w:eastAsia="zh-CN"/>
              </w:rPr>
            </w:pPr>
            <w:r>
              <w:rPr>
                <w:rFonts w:hint="default" w:ascii="Times New Roman" w:hAnsi="Times New Roman" w:cs="Times New Roman"/>
                <w:bCs/>
                <w:color w:val="auto"/>
                <w:sz w:val="24"/>
                <w:lang w:val="en-US" w:eastAsia="zh-CN"/>
              </w:rPr>
              <w:t xml:space="preserve">（1）项目名称：汽车零配件热处理生产线项目； </w:t>
            </w:r>
          </w:p>
          <w:p w14:paraId="62AF48E3">
            <w:pPr>
              <w:keepNext w:val="0"/>
              <w:keepLines w:val="0"/>
              <w:suppressLineNumbers w:val="0"/>
              <w:tabs>
                <w:tab w:val="left" w:pos="3780"/>
              </w:tabs>
              <w:adjustRightInd w:val="0"/>
              <w:spacing w:before="0" w:beforeAutospacing="0" w:after="0" w:afterAutospacing="0" w:line="440" w:lineRule="exact"/>
              <w:ind w:left="0" w:right="0" w:firstLine="480" w:firstLineChars="200"/>
              <w:rPr>
                <w:rFonts w:hint="default" w:ascii="Times New Roman" w:hAnsi="Times New Roman" w:cs="Times New Roman"/>
                <w:bCs/>
                <w:color w:val="auto"/>
                <w:sz w:val="24"/>
                <w:lang w:val="en-US" w:eastAsia="zh-CN"/>
              </w:rPr>
            </w:pPr>
            <w:r>
              <w:rPr>
                <w:rFonts w:hint="default" w:ascii="Times New Roman" w:hAnsi="Times New Roman" w:cs="Times New Roman"/>
                <w:bCs/>
                <w:color w:val="auto"/>
                <w:sz w:val="24"/>
                <w:lang w:val="en-US" w:eastAsia="zh-CN"/>
              </w:rPr>
              <w:t>（2）建设单位：</w:t>
            </w:r>
            <w:r>
              <w:rPr>
                <w:rFonts w:hint="eastAsia" w:ascii="Times New Roman" w:hAnsi="Times New Roman" w:cs="Times New Roman"/>
                <w:bCs/>
                <w:color w:val="auto"/>
                <w:sz w:val="24"/>
                <w:lang w:val="en-US" w:eastAsia="zh-CN"/>
              </w:rPr>
              <w:t>淮南市双威热处理有限公司</w:t>
            </w:r>
            <w:r>
              <w:rPr>
                <w:rFonts w:hint="default" w:ascii="Times New Roman" w:hAnsi="Times New Roman" w:cs="Times New Roman"/>
                <w:bCs/>
                <w:color w:val="auto"/>
                <w:sz w:val="24"/>
                <w:lang w:val="en-US" w:eastAsia="zh-CN"/>
              </w:rPr>
              <w:t xml:space="preserve">； </w:t>
            </w:r>
          </w:p>
          <w:p w14:paraId="32FDCC97">
            <w:pPr>
              <w:keepNext w:val="0"/>
              <w:keepLines w:val="0"/>
              <w:suppressLineNumbers w:val="0"/>
              <w:adjustRightInd w:val="0"/>
              <w:spacing w:before="0" w:beforeAutospacing="0" w:after="0" w:afterAutospacing="0" w:line="440" w:lineRule="exact"/>
              <w:ind w:left="0" w:right="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（3）建设性质：</w:t>
            </w:r>
            <w:r>
              <w:rPr>
                <w:rFonts w:hint="eastAsia" w:ascii="Times New Roman" w:hAnsi="Times New Roman" w:eastAsia="宋体" w:cs="Times New Roman"/>
                <w:color w:val="auto"/>
                <w:sz w:val="24"/>
                <w:lang w:val="en-US" w:eastAsia="zh-CN"/>
              </w:rPr>
              <w:t>新</w:t>
            </w:r>
            <w:r>
              <w:rPr>
                <w:rFonts w:hint="default" w:ascii="Times New Roman" w:hAnsi="Times New Roman" w:eastAsia="宋体" w:cs="Times New Roman"/>
                <w:color w:val="auto"/>
                <w:sz w:val="24"/>
              </w:rPr>
              <w:t>建；</w:t>
            </w:r>
          </w:p>
          <w:p w14:paraId="7F7DFBBA">
            <w:pPr>
              <w:keepNext w:val="0"/>
              <w:keepLines w:val="0"/>
              <w:suppressLineNumbers w:val="0"/>
              <w:adjustRightInd w:val="0"/>
              <w:spacing w:before="0" w:beforeAutospacing="0" w:after="0" w:afterAutospacing="0" w:line="440" w:lineRule="exact"/>
              <w:ind w:left="0" w:right="0" w:firstLine="480" w:firstLineChars="200"/>
              <w:rPr>
                <w:rFonts w:hint="default" w:ascii="Times New Roman" w:hAnsi="Times New Roman" w:eastAsia="宋体" w:cs="Times New Roman"/>
                <w:bCs/>
                <w:color w:val="auto"/>
                <w:kern w:val="0"/>
                <w:sz w:val="24"/>
              </w:rPr>
            </w:pPr>
            <w:r>
              <w:rPr>
                <w:rFonts w:hint="default" w:ascii="Times New Roman" w:hAnsi="Times New Roman" w:eastAsia="宋体" w:cs="Times New Roman"/>
                <w:color w:val="auto"/>
                <w:sz w:val="24"/>
              </w:rPr>
              <w:t>（4）建设地点：</w:t>
            </w:r>
            <w:r>
              <w:rPr>
                <w:rFonts w:hint="eastAsia" w:ascii="Times New Roman" w:hAnsi="Times New Roman" w:cs="Times New Roman"/>
                <w:color w:val="auto"/>
                <w:sz w:val="24"/>
                <w:lang w:val="en-US" w:eastAsia="zh-CN"/>
              </w:rPr>
              <w:t>淮南</w:t>
            </w:r>
            <w:r>
              <w:rPr>
                <w:rFonts w:hint="eastAsia" w:ascii="Times New Roman" w:hAnsi="Times New Roman" w:eastAsia="宋体" w:cs="Times New Roman"/>
                <w:color w:val="auto"/>
                <w:sz w:val="24"/>
                <w:lang w:val="en-US" w:eastAsia="zh-CN"/>
              </w:rPr>
              <w:t>市经开区华兴路东侧、庆兴北侧智慧显示产业园</w:t>
            </w:r>
            <w:r>
              <w:rPr>
                <w:rFonts w:hint="eastAsia" w:ascii="Times New Roman" w:hAnsi="Times New Roman" w:cs="Times New Roman"/>
                <w:color w:val="auto"/>
                <w:sz w:val="24"/>
                <w:lang w:val="en-US" w:eastAsia="zh-CN"/>
              </w:rPr>
              <w:t>5#</w:t>
            </w:r>
            <w:r>
              <w:rPr>
                <w:rFonts w:hint="eastAsia" w:ascii="Times New Roman" w:hAnsi="Times New Roman" w:eastAsia="宋体" w:cs="Times New Roman"/>
                <w:color w:val="auto"/>
                <w:sz w:val="24"/>
                <w:lang w:val="en-US" w:eastAsia="zh-CN"/>
              </w:rPr>
              <w:t>厂房</w:t>
            </w:r>
            <w:r>
              <w:rPr>
                <w:rFonts w:hint="eastAsia" w:ascii="Times New Roman" w:hAnsi="Times New Roman" w:cs="Times New Roman"/>
                <w:color w:val="auto"/>
                <w:sz w:val="24"/>
                <w:lang w:val="en-US" w:eastAsia="zh-CN"/>
              </w:rPr>
              <w:t>（西侧部分）</w:t>
            </w:r>
            <w:r>
              <w:rPr>
                <w:rFonts w:hint="default" w:ascii="Times New Roman" w:hAnsi="Times New Roman" w:eastAsia="宋体" w:cs="Times New Roman"/>
                <w:bCs/>
                <w:color w:val="auto"/>
                <w:kern w:val="0"/>
                <w:sz w:val="24"/>
              </w:rPr>
              <w:t>；</w:t>
            </w:r>
          </w:p>
          <w:p w14:paraId="52E59155">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color w:val="0000FF"/>
              </w:rPr>
            </w:pPr>
            <w:r>
              <w:rPr>
                <w:rFonts w:hint="default" w:ascii="Times New Roman" w:hAnsi="Times New Roman" w:eastAsia="宋体" w:cs="Times New Roman"/>
                <w:color w:val="auto"/>
                <w:lang w:val="zh-CN"/>
              </w:rPr>
              <w:t>（</w:t>
            </w:r>
            <w:r>
              <w:rPr>
                <w:rFonts w:hint="default" w:ascii="Times New Roman" w:hAnsi="Times New Roman" w:eastAsia="宋体" w:cs="Times New Roman"/>
                <w:color w:val="auto"/>
              </w:rPr>
              <w:t>5</w:t>
            </w:r>
            <w:r>
              <w:rPr>
                <w:rFonts w:hint="default" w:ascii="Times New Roman" w:hAnsi="Times New Roman" w:eastAsia="宋体" w:cs="Times New Roman"/>
                <w:color w:val="auto"/>
                <w:lang w:val="zh-CN"/>
              </w:rPr>
              <w:t>）</w:t>
            </w:r>
            <w:r>
              <w:rPr>
                <w:rFonts w:hint="default" w:ascii="Times New Roman" w:hAnsi="Times New Roman" w:eastAsia="宋体" w:cs="Times New Roman"/>
                <w:color w:val="auto"/>
              </w:rPr>
              <w:t>行业类别：</w:t>
            </w:r>
            <w:r>
              <w:rPr>
                <w:rFonts w:hint="default" w:ascii="Times New Roman" w:hAnsi="Times New Roman" w:eastAsia="宋体" w:cs="Times New Roman"/>
                <w:color w:val="auto"/>
                <w:sz w:val="24"/>
                <w:szCs w:val="24"/>
                <w:lang w:val="en-US" w:eastAsia="zh-CN"/>
              </w:rPr>
              <w:t>C</w:t>
            </w:r>
            <w:r>
              <w:rPr>
                <w:rFonts w:hint="eastAsia" w:ascii="Times New Roman" w:hAnsi="Times New Roman" w:cs="Times New Roman"/>
                <w:color w:val="auto"/>
                <w:sz w:val="24"/>
                <w:szCs w:val="24"/>
                <w:lang w:val="en-US" w:eastAsia="zh-CN"/>
              </w:rPr>
              <w:t>3360金属表面处理及热处理加工</w:t>
            </w:r>
            <w:r>
              <w:rPr>
                <w:rFonts w:hint="default" w:ascii="Times New Roman" w:hAnsi="Times New Roman" w:eastAsia="宋体" w:cs="Times New Roman"/>
                <w:color w:val="auto"/>
              </w:rPr>
              <w:t>；</w:t>
            </w:r>
          </w:p>
          <w:p w14:paraId="09A7AAB0">
            <w:pPr>
              <w:keepNext w:val="0"/>
              <w:keepLines w:val="0"/>
              <w:suppressLineNumbers w:val="0"/>
              <w:adjustRightInd w:val="0"/>
              <w:spacing w:before="0" w:beforeAutospacing="0" w:after="0" w:afterAutospacing="0" w:line="440" w:lineRule="exact"/>
              <w:ind w:left="0" w:right="0" w:firstLine="480" w:firstLineChars="200"/>
              <w:rPr>
                <w:rFonts w:hint="default" w:ascii="Times New Roman" w:hAnsi="Times New Roman" w:eastAsia="宋体" w:cs="Times New Roman"/>
                <w:color w:val="0000FF"/>
                <w:sz w:val="24"/>
              </w:rPr>
            </w:pPr>
            <w:r>
              <w:rPr>
                <w:rFonts w:hint="default" w:ascii="Times New Roman" w:hAnsi="Times New Roman" w:eastAsia="宋体" w:cs="Times New Roman"/>
                <w:color w:val="auto"/>
                <w:sz w:val="24"/>
                <w:lang w:val="zh-CN"/>
              </w:rPr>
              <w:t>（</w:t>
            </w:r>
            <w:r>
              <w:rPr>
                <w:rFonts w:hint="default" w:ascii="Times New Roman" w:hAnsi="Times New Roman" w:eastAsia="宋体" w:cs="Times New Roman"/>
                <w:color w:val="auto"/>
                <w:sz w:val="24"/>
              </w:rPr>
              <w:t>6</w:t>
            </w:r>
            <w:r>
              <w:rPr>
                <w:rFonts w:hint="default" w:ascii="Times New Roman" w:hAnsi="Times New Roman" w:eastAsia="宋体" w:cs="Times New Roman"/>
                <w:color w:val="auto"/>
                <w:sz w:val="24"/>
                <w:lang w:val="zh-CN"/>
              </w:rPr>
              <w:t>）</w:t>
            </w:r>
            <w:r>
              <w:rPr>
                <w:rFonts w:hint="default" w:ascii="Times New Roman" w:hAnsi="Times New Roman" w:eastAsia="宋体" w:cs="Times New Roman"/>
                <w:color w:val="auto"/>
                <w:sz w:val="24"/>
              </w:rPr>
              <w:t>投资：项目总投资</w:t>
            </w:r>
            <w:r>
              <w:rPr>
                <w:rFonts w:hint="eastAsia" w:ascii="Times New Roman" w:hAnsi="Times New Roman" w:cs="Times New Roman"/>
                <w:color w:val="auto"/>
                <w:sz w:val="24"/>
                <w:lang w:val="en-US" w:eastAsia="zh-CN"/>
              </w:rPr>
              <w:t>3300</w:t>
            </w:r>
            <w:r>
              <w:rPr>
                <w:rFonts w:hint="default" w:ascii="Times New Roman" w:hAnsi="Times New Roman" w:eastAsia="宋体" w:cs="Times New Roman"/>
                <w:color w:val="auto"/>
                <w:sz w:val="24"/>
              </w:rPr>
              <w:t>万元，其中环保投资</w:t>
            </w:r>
            <w:r>
              <w:rPr>
                <w:rFonts w:hint="eastAsia" w:ascii="Times New Roman" w:hAnsi="Times New Roman" w:cs="Times New Roman"/>
                <w:color w:val="auto"/>
                <w:sz w:val="24"/>
                <w:lang w:val="en-US" w:eastAsia="zh-CN"/>
              </w:rPr>
              <w:t>56</w:t>
            </w:r>
            <w:r>
              <w:rPr>
                <w:rFonts w:hint="default" w:ascii="Times New Roman" w:hAnsi="Times New Roman" w:eastAsia="宋体" w:cs="Times New Roman"/>
                <w:color w:val="auto"/>
                <w:sz w:val="24"/>
              </w:rPr>
              <w:t>万元；</w:t>
            </w:r>
          </w:p>
          <w:p w14:paraId="427BCC05">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lang w:eastAsia="zh-CN"/>
              </w:rPr>
            </w:pPr>
            <w:r>
              <w:rPr>
                <w:rFonts w:hint="default"/>
                <w:color w:val="auto"/>
              </w:rPr>
              <w:t>（7）</w:t>
            </w:r>
            <w:r>
              <w:rPr>
                <w:rFonts w:hint="default" w:ascii="Times New Roman" w:hAnsi="Times New Roman" w:eastAsia="宋体" w:cs="Times New Roman"/>
                <w:color w:val="auto"/>
                <w:lang w:val="zh-CN"/>
              </w:rPr>
              <w:t>建设内容：</w:t>
            </w:r>
            <w:r>
              <w:rPr>
                <w:rFonts w:hint="eastAsia" w:cs="Times New Roman"/>
                <w:color w:val="auto"/>
                <w:lang w:val="en-US" w:eastAsia="zh-CN"/>
              </w:rPr>
              <w:t>本项目租赁经开区智慧显示产业园厂房，面积约2700平方米，主要购置连续式网带炉、调质、渗碳等热处理生产设备，以及金属实验设备等，投资建设金属热处理实验室、4条金属热处理工艺生产线</w:t>
            </w:r>
            <w:r>
              <w:rPr>
                <w:rFonts w:hint="eastAsia" w:ascii="Times New Roman" w:hAnsi="Times New Roman" w:eastAsia="宋体" w:cs="Times New Roman"/>
                <w:color w:val="auto"/>
                <w:sz w:val="24"/>
                <w:lang w:val="en-US" w:eastAsia="zh-CN"/>
              </w:rPr>
              <w:t>。</w:t>
            </w:r>
          </w:p>
          <w:p w14:paraId="2E105511">
            <w:pPr>
              <w:pStyle w:val="63"/>
              <w:keepNext w:val="0"/>
              <w:keepLines w:val="0"/>
              <w:suppressLineNumbers w:val="0"/>
              <w:bidi w:val="0"/>
              <w:spacing w:before="0" w:beforeAutospacing="0" w:after="0" w:afterAutospacing="0"/>
              <w:ind w:left="0" w:right="0"/>
              <w:rPr>
                <w:rFonts w:hint="eastAsia" w:ascii="Times New Roman" w:hAnsi="Times New Roman" w:eastAsia="宋体" w:cs="Times New Roman"/>
                <w:color w:val="auto"/>
                <w:lang w:eastAsia="zh-CN"/>
              </w:rPr>
            </w:pPr>
            <w:r>
              <w:rPr>
                <w:rFonts w:hint="default" w:ascii="Times New Roman" w:hAnsi="Times New Roman" w:eastAsia="宋体" w:cs="Times New Roman"/>
                <w:color w:val="auto"/>
              </w:rPr>
              <w:t>表2-</w:t>
            </w:r>
            <w:r>
              <w:rPr>
                <w:rFonts w:hint="default" w:ascii="Times New Roman" w:hAnsi="Times New Roman" w:eastAsia="宋体" w:cs="Times New Roman"/>
                <w:color w:val="auto"/>
                <w:lang w:val="en-US" w:eastAsia="zh-CN"/>
              </w:rPr>
              <w:t xml:space="preserve">3  </w:t>
            </w:r>
            <w:r>
              <w:rPr>
                <w:rFonts w:hint="default" w:ascii="Times New Roman" w:hAnsi="Times New Roman" w:eastAsia="宋体" w:cs="Times New Roman"/>
                <w:color w:val="auto"/>
              </w:rPr>
              <w:t>建设项目</w:t>
            </w:r>
            <w:r>
              <w:rPr>
                <w:rFonts w:hint="eastAsia" w:ascii="Times New Roman" w:hAnsi="Times New Roman" w:eastAsia="宋体" w:cs="Times New Roman"/>
                <w:color w:val="auto"/>
                <w:lang w:val="en-US" w:eastAsia="zh-CN"/>
              </w:rPr>
              <w:t>工程组成</w:t>
            </w:r>
            <w:r>
              <w:rPr>
                <w:rFonts w:hint="default" w:ascii="Times New Roman" w:hAnsi="Times New Roman" w:eastAsia="宋体" w:cs="Times New Roman"/>
                <w:color w:val="auto"/>
              </w:rPr>
              <w:t>一览表</w:t>
            </w:r>
          </w:p>
          <w:tbl>
            <w:tblPr>
              <w:tblStyle w:val="52"/>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126"/>
              <w:gridCol w:w="1102"/>
              <w:gridCol w:w="10"/>
              <w:gridCol w:w="1344"/>
              <w:gridCol w:w="2636"/>
              <w:gridCol w:w="1489"/>
            </w:tblGrid>
            <w:tr w14:paraId="5ED59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91" w:type="pct"/>
                  <w:noWrap w:val="0"/>
                  <w:vAlign w:val="center"/>
                </w:tcPr>
                <w:p w14:paraId="5B3C087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工程</w:t>
                  </w:r>
                </w:p>
                <w:p w14:paraId="29FBD406">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类别</w:t>
                  </w:r>
                </w:p>
              </w:tc>
              <w:tc>
                <w:tcPr>
                  <w:tcW w:w="673" w:type="pct"/>
                  <w:noWrap w:val="0"/>
                  <w:vAlign w:val="center"/>
                </w:tcPr>
                <w:p w14:paraId="70C6655E">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单项工程</w:t>
                  </w:r>
                </w:p>
                <w:p w14:paraId="73768FE9">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名称</w:t>
                  </w:r>
                </w:p>
              </w:tc>
              <w:tc>
                <w:tcPr>
                  <w:tcW w:w="3045" w:type="pct"/>
                  <w:gridSpan w:val="4"/>
                  <w:noWrap w:val="0"/>
                  <w:vAlign w:val="center"/>
                </w:tcPr>
                <w:p w14:paraId="49A2E78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lang w:val="en-US" w:eastAsia="zh-CN"/>
                    </w:rPr>
                  </w:pPr>
                  <w:r>
                    <w:rPr>
                      <w:rFonts w:hint="default" w:ascii="Times New Roman" w:hAnsi="Times New Roman" w:eastAsia="Times New Roman" w:cs="Times New Roman"/>
                      <w:b/>
                      <w:color w:val="auto"/>
                      <w:sz w:val="21"/>
                      <w:szCs w:val="21"/>
                      <w:lang w:val="en-US" w:eastAsia="zh-CN"/>
                    </w:rPr>
                    <w:t>工程</w:t>
                  </w:r>
                  <w:r>
                    <w:rPr>
                      <w:rFonts w:hint="default" w:ascii="Times New Roman" w:hAnsi="Times New Roman" w:eastAsia="Times New Roman" w:cs="Times New Roman"/>
                      <w:b/>
                      <w:color w:val="auto"/>
                      <w:sz w:val="21"/>
                      <w:szCs w:val="21"/>
                    </w:rPr>
                    <w:t>内容</w:t>
                  </w:r>
                  <w:r>
                    <w:rPr>
                      <w:rFonts w:hint="default" w:ascii="Times New Roman" w:hAnsi="Times New Roman" w:eastAsia="Times New Roman" w:cs="Times New Roman"/>
                      <w:b/>
                      <w:color w:val="auto"/>
                      <w:sz w:val="21"/>
                      <w:szCs w:val="21"/>
                      <w:lang w:val="en-US" w:eastAsia="zh-CN"/>
                    </w:rPr>
                    <w:t>及规模</w:t>
                  </w:r>
                </w:p>
              </w:tc>
              <w:tc>
                <w:tcPr>
                  <w:tcW w:w="890" w:type="pct"/>
                  <w:noWrap w:val="0"/>
                  <w:vAlign w:val="center"/>
                </w:tcPr>
                <w:p w14:paraId="1FB560B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
                      <w:color w:val="auto"/>
                      <w:sz w:val="21"/>
                      <w:szCs w:val="21"/>
                      <w:lang w:val="en-US" w:eastAsia="zh-CN"/>
                    </w:rPr>
                  </w:pPr>
                  <w:r>
                    <w:rPr>
                      <w:rFonts w:hint="default" w:ascii="Times New Roman" w:hAnsi="Times New Roman" w:eastAsia="Times New Roman" w:cs="Times New Roman"/>
                      <w:b/>
                      <w:color w:val="auto"/>
                      <w:sz w:val="21"/>
                      <w:szCs w:val="21"/>
                      <w:lang w:val="en-US" w:eastAsia="zh-CN"/>
                    </w:rPr>
                    <w:t>备注</w:t>
                  </w:r>
                </w:p>
              </w:tc>
            </w:tr>
            <w:tr w14:paraId="36FD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91" w:type="pct"/>
                  <w:noWrap w:val="0"/>
                  <w:vAlign w:val="center"/>
                </w:tcPr>
                <w:p w14:paraId="011C61EB">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 w:val="0"/>
                      <w:bCs/>
                      <w:color w:val="auto"/>
                      <w:sz w:val="21"/>
                      <w:szCs w:val="21"/>
                    </w:rPr>
                  </w:pPr>
                  <w:r>
                    <w:rPr>
                      <w:rFonts w:hint="default" w:ascii="Times New Roman" w:hAnsi="Times New Roman" w:eastAsia="Times New Roman" w:cs="Times New Roman"/>
                      <w:b w:val="0"/>
                      <w:bCs/>
                      <w:color w:val="auto"/>
                      <w:sz w:val="21"/>
                      <w:szCs w:val="21"/>
                    </w:rPr>
                    <w:t>主体</w:t>
                  </w:r>
                </w:p>
                <w:p w14:paraId="3D167FE9">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 w:val="0"/>
                      <w:bCs/>
                      <w:color w:val="auto"/>
                      <w:sz w:val="21"/>
                      <w:szCs w:val="21"/>
                    </w:rPr>
                  </w:pPr>
                  <w:r>
                    <w:rPr>
                      <w:rFonts w:hint="default" w:ascii="Times New Roman" w:hAnsi="Times New Roman" w:eastAsia="Times New Roman" w:cs="Times New Roman"/>
                      <w:b w:val="0"/>
                      <w:bCs/>
                      <w:color w:val="auto"/>
                      <w:sz w:val="21"/>
                      <w:szCs w:val="21"/>
                    </w:rPr>
                    <w:t>工程</w:t>
                  </w:r>
                </w:p>
              </w:tc>
              <w:tc>
                <w:tcPr>
                  <w:tcW w:w="673" w:type="pct"/>
                  <w:noWrap w:val="0"/>
                  <w:vAlign w:val="center"/>
                </w:tcPr>
                <w:p w14:paraId="1E927B6A">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生产车间</w:t>
                  </w:r>
                </w:p>
              </w:tc>
              <w:tc>
                <w:tcPr>
                  <w:tcW w:w="3045" w:type="pct"/>
                  <w:gridSpan w:val="4"/>
                  <w:noWrap w:val="0"/>
                  <w:vAlign w:val="center"/>
                </w:tcPr>
                <w:p w14:paraId="2D51BB6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highlight w:val="none"/>
                    </w:rPr>
                    <w:t>1F，建筑面积约</w:t>
                  </w:r>
                  <w:r>
                    <w:rPr>
                      <w:rFonts w:hint="default" w:ascii="Times New Roman" w:hAnsi="Times New Roman" w:cs="Times New Roman"/>
                      <w:color w:val="auto"/>
                      <w:sz w:val="21"/>
                      <w:szCs w:val="21"/>
                      <w:lang w:val="en-US" w:eastAsia="zh-CN"/>
                    </w:rPr>
                    <w:t>2700</w:t>
                  </w:r>
                  <w:r>
                    <w:rPr>
                      <w:rFonts w:hint="default" w:ascii="Times New Roman" w:hAnsi="Times New Roman" w:cs="Times New Roman"/>
                      <w:color w:val="auto"/>
                      <w:sz w:val="21"/>
                      <w:szCs w:val="21"/>
                    </w:rPr>
                    <w:t>平方米，</w:t>
                  </w:r>
                  <w:r>
                    <w:rPr>
                      <w:rFonts w:hint="default" w:ascii="Times New Roman" w:hAnsi="Times New Roman" w:cs="Times New Roman"/>
                      <w:color w:val="auto"/>
                      <w:sz w:val="21"/>
                      <w:szCs w:val="21"/>
                      <w:lang w:val="en-US" w:eastAsia="zh-CN"/>
                    </w:rPr>
                    <w:t>布置连续式网带炉、调质、渗碳等热处理生产设备，以及金属实验设备等，构成4条金属热处理工艺生产线，</w:t>
                  </w:r>
                  <w:r>
                    <w:rPr>
                      <w:rFonts w:hint="default" w:ascii="Times New Roman" w:hAnsi="Times New Roman" w:eastAsia="宋体" w:cs="Times New Roman"/>
                      <w:color w:val="auto"/>
                      <w:sz w:val="21"/>
                      <w:szCs w:val="21"/>
                      <w:lang w:val="en-US" w:eastAsia="zh-CN"/>
                    </w:rPr>
                    <w:t>配套建设相关公辅设备、设施，项目达产后，可形成年热处理3500吨汽车零配件零部件规模</w:t>
                  </w:r>
                  <w:r>
                    <w:rPr>
                      <w:rFonts w:hint="default" w:ascii="Times New Roman" w:hAnsi="Times New Roman" w:cs="Times New Roman"/>
                      <w:color w:val="auto"/>
                      <w:sz w:val="21"/>
                      <w:szCs w:val="21"/>
                    </w:rPr>
                    <w:t>。</w:t>
                  </w:r>
                </w:p>
              </w:tc>
              <w:tc>
                <w:tcPr>
                  <w:tcW w:w="890" w:type="pct"/>
                  <w:vMerge w:val="restart"/>
                  <w:noWrap w:val="0"/>
                  <w:vAlign w:val="center"/>
                </w:tcPr>
                <w:p w14:paraId="43E84AD1">
                  <w:pPr>
                    <w:pStyle w:val="2"/>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rightChars="0"/>
                    <w:jc w:val="center"/>
                    <w:textAlignment w:val="auto"/>
                    <w:rPr>
                      <w:rFonts w:hint="default" w:ascii="Times New Roman" w:hAnsi="Times New Roman" w:eastAsia="Times New Roman" w:cs="Times New Roman"/>
                      <w:color w:val="auto"/>
                      <w:sz w:val="21"/>
                      <w:szCs w:val="21"/>
                      <w:highlight w:val="none"/>
                      <w:lang w:val="en-US" w:eastAsia="zh-CN"/>
                    </w:rPr>
                  </w:pPr>
                  <w:r>
                    <w:rPr>
                      <w:rFonts w:hint="default" w:ascii="Times New Roman" w:hAnsi="Times New Roman" w:eastAsia="Times New Roman" w:cs="Times New Roman"/>
                      <w:color w:val="auto"/>
                      <w:sz w:val="21"/>
                      <w:szCs w:val="21"/>
                      <w:highlight w:val="none"/>
                      <w:lang w:val="en-US" w:eastAsia="zh-CN"/>
                    </w:rPr>
                    <w:t>依托租赁厂房</w:t>
                  </w:r>
                </w:p>
              </w:tc>
            </w:tr>
            <w:tr w14:paraId="19E9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91" w:type="pct"/>
                  <w:vMerge w:val="restart"/>
                  <w:noWrap w:val="0"/>
                  <w:vAlign w:val="center"/>
                </w:tcPr>
                <w:p w14:paraId="16867D22">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储运</w:t>
                  </w:r>
                  <w:r>
                    <w:rPr>
                      <w:rFonts w:hint="default" w:ascii="Times New Roman" w:hAnsi="Times New Roman" w:eastAsia="宋体" w:cs="Times New Roman"/>
                      <w:b w:val="0"/>
                      <w:bCs/>
                      <w:color w:val="auto"/>
                      <w:sz w:val="21"/>
                      <w:szCs w:val="21"/>
                    </w:rPr>
                    <w:t>工程</w:t>
                  </w:r>
                </w:p>
              </w:tc>
              <w:tc>
                <w:tcPr>
                  <w:tcW w:w="673" w:type="pct"/>
                  <w:noWrap w:val="0"/>
                  <w:vAlign w:val="center"/>
                </w:tcPr>
                <w:p w14:paraId="36AFD33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原料</w:t>
                  </w:r>
                  <w:r>
                    <w:rPr>
                      <w:rFonts w:hint="default" w:ascii="Times New Roman" w:hAnsi="Times New Roman" w:cs="Times New Roman"/>
                      <w:color w:val="auto"/>
                      <w:sz w:val="21"/>
                      <w:szCs w:val="21"/>
                      <w:lang w:val="en-US" w:eastAsia="zh-CN"/>
                    </w:rPr>
                    <w:t>暂存区</w:t>
                  </w:r>
                </w:p>
              </w:tc>
              <w:tc>
                <w:tcPr>
                  <w:tcW w:w="3045" w:type="pct"/>
                  <w:gridSpan w:val="4"/>
                  <w:noWrap w:val="0"/>
                  <w:vAlign w:val="center"/>
                </w:tcPr>
                <w:p w14:paraId="44F5589E">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FF"/>
                      <w:kern w:val="0"/>
                      <w:sz w:val="21"/>
                      <w:szCs w:val="21"/>
                      <w:lang w:val="en-US" w:eastAsia="zh-CN"/>
                    </w:rPr>
                  </w:pPr>
                  <w:r>
                    <w:rPr>
                      <w:rFonts w:hint="default" w:ascii="Times New Roman" w:hAnsi="Times New Roman" w:cs="Times New Roman"/>
                      <w:color w:val="auto"/>
                      <w:sz w:val="21"/>
                      <w:szCs w:val="21"/>
                      <w:highlight w:val="none"/>
                    </w:rPr>
                    <w:t>位于</w:t>
                  </w:r>
                  <w:r>
                    <w:rPr>
                      <w:rFonts w:hint="default" w:ascii="Times New Roman" w:hAnsi="Times New Roman" w:cs="Times New Roman"/>
                      <w:color w:val="auto"/>
                      <w:kern w:val="0"/>
                      <w:sz w:val="21"/>
                      <w:szCs w:val="21"/>
                      <w:highlight w:val="none"/>
                      <w:lang w:val="en-US" w:eastAsia="zh-CN"/>
                    </w:rPr>
                    <w:t>车间</w:t>
                  </w:r>
                  <w:r>
                    <w:rPr>
                      <w:rFonts w:hint="eastAsia" w:ascii="Times New Roman" w:hAnsi="Times New Roman" w:cs="Times New Roman"/>
                      <w:color w:val="auto"/>
                      <w:kern w:val="0"/>
                      <w:sz w:val="21"/>
                      <w:szCs w:val="21"/>
                      <w:highlight w:val="none"/>
                      <w:lang w:val="en-US" w:eastAsia="zh-CN"/>
                    </w:rPr>
                    <w:t>东南侧</w:t>
                  </w:r>
                  <w:r>
                    <w:rPr>
                      <w:rFonts w:hint="default" w:ascii="Times New Roman" w:hAnsi="Times New Roman" w:cs="Times New Roman"/>
                      <w:color w:val="auto"/>
                      <w:sz w:val="21"/>
                      <w:szCs w:val="21"/>
                      <w:highlight w:val="none"/>
                    </w:rPr>
                    <w:t>，建筑面积约</w:t>
                  </w:r>
                  <w:r>
                    <w:rPr>
                      <w:rFonts w:hint="default"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00m²</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用于</w:t>
                  </w:r>
                  <w:r>
                    <w:rPr>
                      <w:rFonts w:hint="eastAsia" w:ascii="Times New Roman" w:hAnsi="Times New Roman" w:cs="Times New Roman"/>
                      <w:color w:val="auto"/>
                      <w:sz w:val="21"/>
                      <w:szCs w:val="21"/>
                      <w:highlight w:val="none"/>
                      <w:lang w:val="en-US" w:eastAsia="zh-CN"/>
                    </w:rPr>
                    <w:t>汽车零配件（外来）</w:t>
                  </w:r>
                  <w:r>
                    <w:rPr>
                      <w:rFonts w:hint="default" w:ascii="Times New Roman" w:hAnsi="Times New Roman" w:cs="Times New Roman"/>
                      <w:color w:val="auto"/>
                      <w:sz w:val="21"/>
                      <w:szCs w:val="21"/>
                      <w:highlight w:val="none"/>
                    </w:rPr>
                    <w:t>等原材料</w:t>
                  </w:r>
                  <w:r>
                    <w:rPr>
                      <w:rFonts w:hint="default" w:ascii="Times New Roman" w:hAnsi="Times New Roman" w:cs="Times New Roman"/>
                      <w:color w:val="auto"/>
                      <w:sz w:val="21"/>
                      <w:szCs w:val="21"/>
                      <w:highlight w:val="none"/>
                      <w:lang w:val="en-US" w:eastAsia="zh-CN"/>
                    </w:rPr>
                    <w:t>存放</w:t>
                  </w:r>
                  <w:r>
                    <w:rPr>
                      <w:rFonts w:hint="default" w:ascii="Times New Roman" w:hAnsi="Times New Roman" w:cs="Times New Roman"/>
                      <w:color w:val="auto"/>
                      <w:sz w:val="21"/>
                      <w:szCs w:val="21"/>
                      <w:highlight w:val="none"/>
                      <w:lang w:eastAsia="zh-CN"/>
                    </w:rPr>
                    <w:t>。</w:t>
                  </w:r>
                </w:p>
              </w:tc>
              <w:tc>
                <w:tcPr>
                  <w:tcW w:w="890" w:type="pct"/>
                  <w:vMerge w:val="continue"/>
                  <w:noWrap w:val="0"/>
                  <w:vAlign w:val="center"/>
                </w:tcPr>
                <w:p w14:paraId="3312CA6A">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0000FF"/>
                      <w:kern w:val="0"/>
                      <w:sz w:val="21"/>
                      <w:szCs w:val="21"/>
                      <w:lang w:val="en-US" w:eastAsia="zh-CN"/>
                    </w:rPr>
                  </w:pPr>
                </w:p>
              </w:tc>
            </w:tr>
            <w:tr w14:paraId="4D10E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391" w:type="pct"/>
                  <w:vMerge w:val="continue"/>
                  <w:noWrap w:val="0"/>
                  <w:vAlign w:val="center"/>
                </w:tcPr>
                <w:p w14:paraId="013D6014">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rPr>
                  </w:pPr>
                </w:p>
              </w:tc>
              <w:tc>
                <w:tcPr>
                  <w:tcW w:w="673" w:type="pct"/>
                  <w:noWrap w:val="0"/>
                  <w:vAlign w:val="center"/>
                </w:tcPr>
                <w:p w14:paraId="5782EAE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sz w:val="21"/>
                      <w:szCs w:val="21"/>
                    </w:rPr>
                    <w:t>成品</w:t>
                  </w:r>
                  <w:r>
                    <w:rPr>
                      <w:rFonts w:hint="default" w:ascii="Times New Roman" w:hAnsi="Times New Roman" w:cs="Times New Roman"/>
                      <w:color w:val="auto"/>
                      <w:sz w:val="21"/>
                      <w:szCs w:val="21"/>
                      <w:lang w:val="en-US" w:eastAsia="zh-CN"/>
                    </w:rPr>
                    <w:t>暂存区</w:t>
                  </w:r>
                </w:p>
              </w:tc>
              <w:tc>
                <w:tcPr>
                  <w:tcW w:w="3045" w:type="pct"/>
                  <w:gridSpan w:val="4"/>
                  <w:noWrap w:val="0"/>
                  <w:vAlign w:val="center"/>
                </w:tcPr>
                <w:p w14:paraId="01E32C9D">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FF"/>
                      <w:kern w:val="0"/>
                      <w:sz w:val="21"/>
                      <w:szCs w:val="21"/>
                      <w:lang w:val="en-US" w:eastAsia="zh-CN"/>
                    </w:rPr>
                  </w:pPr>
                  <w:r>
                    <w:rPr>
                      <w:rFonts w:hint="default" w:ascii="Times New Roman" w:hAnsi="Times New Roman" w:cs="Times New Roman"/>
                      <w:color w:val="auto"/>
                      <w:sz w:val="21"/>
                      <w:szCs w:val="21"/>
                      <w:highlight w:val="none"/>
                    </w:rPr>
                    <w:t>位于</w:t>
                  </w:r>
                  <w:r>
                    <w:rPr>
                      <w:rFonts w:hint="default" w:ascii="Times New Roman" w:hAnsi="Times New Roman" w:cs="Times New Roman"/>
                      <w:color w:val="auto"/>
                      <w:kern w:val="0"/>
                      <w:sz w:val="21"/>
                      <w:szCs w:val="21"/>
                      <w:highlight w:val="none"/>
                      <w:lang w:val="en-US" w:eastAsia="zh-CN"/>
                    </w:rPr>
                    <w:t>车间</w:t>
                  </w:r>
                  <w:r>
                    <w:rPr>
                      <w:rFonts w:hint="eastAsia" w:ascii="Times New Roman" w:hAnsi="Times New Roman" w:cs="Times New Roman"/>
                      <w:color w:val="auto"/>
                      <w:kern w:val="0"/>
                      <w:sz w:val="21"/>
                      <w:szCs w:val="21"/>
                      <w:highlight w:val="none"/>
                      <w:lang w:val="en-US" w:eastAsia="zh-CN"/>
                    </w:rPr>
                    <w:t>东侧</w:t>
                  </w:r>
                  <w:r>
                    <w:rPr>
                      <w:rFonts w:hint="default" w:ascii="Times New Roman" w:hAnsi="Times New Roman" w:cs="Times New Roman"/>
                      <w:color w:val="auto"/>
                      <w:sz w:val="21"/>
                      <w:szCs w:val="21"/>
                      <w:highlight w:val="none"/>
                    </w:rPr>
                    <w:t>，建筑面积约</w:t>
                  </w:r>
                  <w:r>
                    <w:rPr>
                      <w:rFonts w:hint="default"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00m²，</w:t>
                  </w:r>
                  <w:r>
                    <w:rPr>
                      <w:rFonts w:hint="default" w:ascii="Times New Roman" w:hAnsi="Times New Roman" w:cs="Times New Roman"/>
                      <w:color w:val="auto"/>
                      <w:kern w:val="0"/>
                      <w:sz w:val="21"/>
                      <w:szCs w:val="21"/>
                      <w:highlight w:val="none"/>
                    </w:rPr>
                    <w:t>用于</w:t>
                  </w:r>
                  <w:r>
                    <w:rPr>
                      <w:rFonts w:hint="eastAsia" w:ascii="Times New Roman" w:hAnsi="Times New Roman" w:cs="Times New Roman"/>
                      <w:color w:val="auto"/>
                      <w:sz w:val="21"/>
                      <w:szCs w:val="21"/>
                      <w:highlight w:val="none"/>
                      <w:lang w:val="en-US" w:eastAsia="zh-CN"/>
                    </w:rPr>
                    <w:t>汽车零配件热处理</w:t>
                  </w:r>
                  <w:r>
                    <w:rPr>
                      <w:rFonts w:hint="default" w:ascii="Times New Roman" w:hAnsi="Times New Roman" w:cs="Times New Roman"/>
                      <w:color w:val="auto"/>
                      <w:kern w:val="0"/>
                      <w:sz w:val="21"/>
                      <w:szCs w:val="21"/>
                      <w:highlight w:val="none"/>
                    </w:rPr>
                    <w:t>成品存放</w:t>
                  </w:r>
                  <w:r>
                    <w:rPr>
                      <w:rFonts w:hint="default" w:ascii="Times New Roman" w:hAnsi="Times New Roman" w:cs="Times New Roman"/>
                      <w:color w:val="auto"/>
                      <w:kern w:val="0"/>
                      <w:sz w:val="21"/>
                      <w:szCs w:val="21"/>
                      <w:highlight w:val="none"/>
                      <w:lang w:eastAsia="zh-CN"/>
                    </w:rPr>
                    <w:t>。</w:t>
                  </w:r>
                </w:p>
              </w:tc>
              <w:tc>
                <w:tcPr>
                  <w:tcW w:w="890" w:type="pct"/>
                  <w:vMerge w:val="continue"/>
                  <w:noWrap w:val="0"/>
                  <w:vAlign w:val="center"/>
                </w:tcPr>
                <w:p w14:paraId="5ECB6B2C">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0000FF"/>
                      <w:kern w:val="0"/>
                      <w:sz w:val="21"/>
                      <w:szCs w:val="21"/>
                      <w:lang w:val="en-US" w:eastAsia="zh-CN"/>
                    </w:rPr>
                  </w:pPr>
                </w:p>
              </w:tc>
            </w:tr>
            <w:tr w14:paraId="0B5A6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391" w:type="pct"/>
                  <w:vMerge w:val="continue"/>
                  <w:noWrap w:val="0"/>
                  <w:vAlign w:val="center"/>
                </w:tcPr>
                <w:p w14:paraId="669F872D">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color w:val="0000FF"/>
                      <w:sz w:val="21"/>
                      <w:szCs w:val="21"/>
                    </w:rPr>
                  </w:pPr>
                </w:p>
              </w:tc>
              <w:tc>
                <w:tcPr>
                  <w:tcW w:w="673" w:type="pct"/>
                  <w:noWrap w:val="0"/>
                  <w:vAlign w:val="center"/>
                </w:tcPr>
                <w:p w14:paraId="713F3720">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Times New Roman" w:hAnsi="Times New Roman" w:eastAsia="Times New Roman" w:cs="Times New Roman"/>
                      <w:color w:val="auto"/>
                      <w:kern w:val="0"/>
                      <w:sz w:val="21"/>
                      <w:szCs w:val="21"/>
                      <w:lang w:val="en-US" w:eastAsia="zh-CN"/>
                    </w:rPr>
                  </w:pPr>
                  <w:r>
                    <w:rPr>
                      <w:rFonts w:hint="default" w:ascii="Times New Roman" w:hAnsi="Times New Roman" w:eastAsia="Times New Roman" w:cs="Times New Roman"/>
                      <w:color w:val="auto"/>
                      <w:kern w:val="0"/>
                      <w:sz w:val="21"/>
                      <w:szCs w:val="21"/>
                      <w:lang w:val="en-US" w:eastAsia="zh-CN"/>
                    </w:rPr>
                    <w:t>化学品库</w:t>
                  </w:r>
                </w:p>
              </w:tc>
              <w:tc>
                <w:tcPr>
                  <w:tcW w:w="3045" w:type="pct"/>
                  <w:gridSpan w:val="4"/>
                  <w:noWrap w:val="0"/>
                  <w:vAlign w:val="center"/>
                </w:tcPr>
                <w:p w14:paraId="38CE8120">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both"/>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位于</w:t>
                  </w:r>
                  <w:r>
                    <w:rPr>
                      <w:rFonts w:hint="default" w:ascii="Times New Roman" w:hAnsi="Times New Roman" w:cs="Times New Roman"/>
                      <w:color w:val="auto"/>
                      <w:kern w:val="0"/>
                      <w:sz w:val="21"/>
                      <w:szCs w:val="21"/>
                      <w:lang w:val="en-US" w:eastAsia="zh-CN"/>
                    </w:rPr>
                    <w:t>车间</w:t>
                  </w:r>
                  <w:r>
                    <w:rPr>
                      <w:rFonts w:hint="eastAsia" w:ascii="Times New Roman" w:hAnsi="Times New Roman" w:cs="Times New Roman"/>
                      <w:color w:val="auto"/>
                      <w:kern w:val="0"/>
                      <w:sz w:val="21"/>
                      <w:szCs w:val="21"/>
                      <w:lang w:val="en-US" w:eastAsia="zh-CN"/>
                    </w:rPr>
                    <w:t>南</w:t>
                  </w:r>
                  <w:r>
                    <w:rPr>
                      <w:rFonts w:hint="default" w:ascii="Times New Roman" w:hAnsi="Times New Roman" w:cs="Times New Roman"/>
                      <w:color w:val="auto"/>
                      <w:kern w:val="0"/>
                      <w:sz w:val="21"/>
                      <w:szCs w:val="21"/>
                      <w:lang w:val="en-US" w:eastAsia="zh-CN"/>
                    </w:rPr>
                    <w:t>侧</w:t>
                  </w:r>
                  <w:r>
                    <w:rPr>
                      <w:rFonts w:hint="default" w:ascii="Times New Roman" w:hAnsi="Times New Roman" w:eastAsia="宋体" w:cs="Times New Roman"/>
                      <w:color w:val="auto"/>
                      <w:kern w:val="0"/>
                      <w:sz w:val="21"/>
                      <w:szCs w:val="21"/>
                      <w:lang w:val="en-US" w:eastAsia="zh-CN"/>
                    </w:rPr>
                    <w:t>，建筑面积</w:t>
                  </w:r>
                  <w:r>
                    <w:rPr>
                      <w:rFonts w:hint="eastAsia" w:ascii="Times New Roman" w:hAnsi="Times New Roman" w:cs="Times New Roman"/>
                      <w:color w:val="auto"/>
                      <w:kern w:val="0"/>
                      <w:sz w:val="21"/>
                      <w:szCs w:val="21"/>
                      <w:lang w:val="en-US" w:eastAsia="zh-CN"/>
                    </w:rPr>
                    <w:t>20</w:t>
                  </w:r>
                  <w:r>
                    <w:rPr>
                      <w:rFonts w:hint="default" w:ascii="Times New Roman" w:hAnsi="Times New Roman" w:eastAsia="宋体" w:cs="Times New Roman"/>
                      <w:color w:val="auto"/>
                      <w:kern w:val="0"/>
                      <w:sz w:val="21"/>
                      <w:szCs w:val="21"/>
                      <w:lang w:val="en-US" w:eastAsia="zh-CN"/>
                    </w:rPr>
                    <w:t>平方米，用于</w:t>
                  </w:r>
                  <w:r>
                    <w:rPr>
                      <w:rFonts w:hint="eastAsia" w:ascii="Times New Roman" w:hAnsi="Times New Roman" w:cs="Times New Roman"/>
                      <w:color w:val="auto"/>
                      <w:kern w:val="0"/>
                      <w:sz w:val="21"/>
                      <w:szCs w:val="21"/>
                      <w:lang w:val="en-US" w:eastAsia="zh-CN"/>
                    </w:rPr>
                    <w:t>甲醇、丙烷、淬火油</w:t>
                  </w:r>
                  <w:r>
                    <w:rPr>
                      <w:rFonts w:hint="default" w:ascii="Times New Roman" w:hAnsi="Times New Roman" w:eastAsia="宋体" w:cs="Times New Roman"/>
                      <w:color w:val="auto"/>
                      <w:kern w:val="0"/>
                      <w:sz w:val="21"/>
                      <w:szCs w:val="21"/>
                      <w:lang w:val="en-US" w:eastAsia="zh-CN"/>
                    </w:rPr>
                    <w:t>等</w:t>
                  </w:r>
                  <w:r>
                    <w:rPr>
                      <w:rFonts w:hint="default" w:ascii="Times New Roman" w:hAnsi="Times New Roman" w:cs="Times New Roman"/>
                      <w:color w:val="auto"/>
                      <w:kern w:val="0"/>
                      <w:sz w:val="21"/>
                      <w:szCs w:val="21"/>
                      <w:lang w:val="en-US" w:eastAsia="zh-CN"/>
                    </w:rPr>
                    <w:t>风险物料</w:t>
                  </w:r>
                  <w:r>
                    <w:rPr>
                      <w:rFonts w:hint="eastAsia" w:ascii="Times New Roman" w:hAnsi="Times New Roman" w:cs="Times New Roman"/>
                      <w:color w:val="auto"/>
                      <w:kern w:val="0"/>
                      <w:sz w:val="21"/>
                      <w:szCs w:val="21"/>
                      <w:lang w:val="en-US" w:eastAsia="zh-CN"/>
                    </w:rPr>
                    <w:t>存</w:t>
                  </w:r>
                  <w:r>
                    <w:rPr>
                      <w:rFonts w:hint="default" w:ascii="Times New Roman" w:hAnsi="Times New Roman" w:eastAsia="宋体" w:cs="Times New Roman"/>
                      <w:color w:val="auto"/>
                      <w:kern w:val="0"/>
                      <w:sz w:val="21"/>
                      <w:szCs w:val="21"/>
                      <w:lang w:val="en-US" w:eastAsia="zh-CN"/>
                    </w:rPr>
                    <w:t>放。</w:t>
                  </w:r>
                </w:p>
              </w:tc>
              <w:tc>
                <w:tcPr>
                  <w:tcW w:w="890" w:type="pct"/>
                  <w:noWrap w:val="0"/>
                  <w:vAlign w:val="center"/>
                </w:tcPr>
                <w:p w14:paraId="35F396B5">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新建</w:t>
                  </w:r>
                </w:p>
              </w:tc>
            </w:tr>
            <w:tr w14:paraId="0195E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91" w:type="pct"/>
                  <w:noWrap w:val="0"/>
                  <w:vAlign w:val="center"/>
                </w:tcPr>
                <w:p w14:paraId="1259905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sz w:val="21"/>
                      <w:szCs w:val="21"/>
                    </w:rPr>
                  </w:pPr>
                  <w:r>
                    <w:rPr>
                      <w:rFonts w:hint="default" w:ascii="Times New Roman" w:hAnsi="Times New Roman" w:eastAsia="Times New Roman" w:cs="Times New Roman"/>
                      <w:color w:val="auto"/>
                      <w:sz w:val="21"/>
                      <w:szCs w:val="21"/>
                    </w:rPr>
                    <w:t>辅助工程</w:t>
                  </w:r>
                </w:p>
              </w:tc>
              <w:tc>
                <w:tcPr>
                  <w:tcW w:w="673" w:type="pct"/>
                  <w:noWrap w:val="0"/>
                  <w:vAlign w:val="center"/>
                </w:tcPr>
                <w:p w14:paraId="2B6ED450">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kern w:val="0"/>
                      <w:sz w:val="21"/>
                      <w:szCs w:val="21"/>
                      <w:lang w:val="en-US" w:eastAsia="zh-CN"/>
                    </w:rPr>
                  </w:pPr>
                  <w:r>
                    <w:rPr>
                      <w:rFonts w:hint="default" w:ascii="Times New Roman" w:hAnsi="Times New Roman" w:eastAsia="Times New Roman" w:cs="Times New Roman"/>
                      <w:color w:val="auto"/>
                      <w:sz w:val="21"/>
                      <w:szCs w:val="21"/>
                      <w:lang w:val="en-US" w:eastAsia="zh-CN"/>
                    </w:rPr>
                    <w:t>办公区</w:t>
                  </w:r>
                </w:p>
              </w:tc>
              <w:tc>
                <w:tcPr>
                  <w:tcW w:w="3045" w:type="pct"/>
                  <w:gridSpan w:val="4"/>
                  <w:noWrap w:val="0"/>
                  <w:vAlign w:val="center"/>
                </w:tcPr>
                <w:p w14:paraId="1704A783">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位于</w:t>
                  </w:r>
                  <w:r>
                    <w:rPr>
                      <w:rFonts w:hint="default" w:ascii="Times New Roman" w:hAnsi="Times New Roman" w:cs="Times New Roman"/>
                      <w:color w:val="auto"/>
                      <w:kern w:val="0"/>
                      <w:sz w:val="21"/>
                      <w:szCs w:val="21"/>
                      <w:lang w:val="en-US" w:eastAsia="zh-CN"/>
                    </w:rPr>
                    <w:t>车间</w:t>
                  </w:r>
                  <w:r>
                    <w:rPr>
                      <w:rFonts w:hint="default" w:ascii="Times New Roman" w:hAnsi="Times New Roman" w:eastAsia="宋体" w:cs="Times New Roman"/>
                      <w:color w:val="auto"/>
                      <w:kern w:val="0"/>
                      <w:sz w:val="21"/>
                      <w:szCs w:val="21"/>
                      <w:lang w:val="en-US" w:eastAsia="zh-CN"/>
                    </w:rPr>
                    <w:t>东南侧</w:t>
                  </w:r>
                  <w:r>
                    <w:rPr>
                      <w:rFonts w:hint="default" w:ascii="Times New Roman" w:hAnsi="Times New Roman" w:eastAsia="Times New Roman" w:cs="Times New Roman"/>
                      <w:bCs/>
                      <w:color w:val="auto"/>
                      <w:sz w:val="21"/>
                      <w:szCs w:val="21"/>
                      <w:lang w:eastAsia="zh-CN"/>
                    </w:rPr>
                    <w:t>，</w:t>
                  </w:r>
                  <w:r>
                    <w:rPr>
                      <w:rFonts w:hint="default" w:ascii="Times New Roman" w:hAnsi="Times New Roman" w:eastAsia="Times New Roman" w:cs="Times New Roman"/>
                      <w:color w:val="auto"/>
                      <w:sz w:val="21"/>
                      <w:szCs w:val="21"/>
                    </w:rPr>
                    <w:t>面积约为</w:t>
                  </w:r>
                  <w:r>
                    <w:rPr>
                      <w:rFonts w:hint="default" w:ascii="Times New Roman" w:hAnsi="Times New Roman" w:cs="Times New Roman"/>
                      <w:color w:val="auto"/>
                      <w:kern w:val="0"/>
                      <w:sz w:val="21"/>
                      <w:szCs w:val="21"/>
                      <w:lang w:val="en-US" w:eastAsia="zh-CN"/>
                    </w:rPr>
                    <w:t>10</w:t>
                  </w:r>
                  <w:r>
                    <w:rPr>
                      <w:rFonts w:hint="default" w:ascii="Times New Roman" w:hAnsi="Times New Roman" w:eastAsia="宋体" w:cs="Times New Roman"/>
                      <w:color w:val="auto"/>
                      <w:kern w:val="0"/>
                      <w:sz w:val="21"/>
                      <w:szCs w:val="21"/>
                      <w:lang w:val="en-US" w:eastAsia="zh-CN"/>
                    </w:rPr>
                    <w:t>0平方米</w:t>
                  </w:r>
                  <w:r>
                    <w:rPr>
                      <w:rFonts w:hint="default" w:ascii="Times New Roman" w:hAnsi="Times New Roman" w:eastAsia="Times New Roman" w:cs="Times New Roman"/>
                      <w:color w:val="auto"/>
                      <w:sz w:val="21"/>
                      <w:szCs w:val="21"/>
                    </w:rPr>
                    <w:t>，</w:t>
                  </w:r>
                  <w:r>
                    <w:rPr>
                      <w:rFonts w:hint="default" w:ascii="Times New Roman" w:hAnsi="Times New Roman" w:eastAsia="Times New Roman" w:cs="Times New Roman"/>
                      <w:color w:val="auto"/>
                      <w:sz w:val="21"/>
                      <w:szCs w:val="21"/>
                      <w:lang w:val="en-US" w:eastAsia="zh-CN"/>
                    </w:rPr>
                    <w:t>用于员工办公</w:t>
                  </w:r>
                  <w:r>
                    <w:rPr>
                      <w:rFonts w:hint="default" w:ascii="Times New Roman" w:hAnsi="Times New Roman" w:eastAsia="Times New Roman" w:cs="Times New Roman"/>
                      <w:color w:val="auto"/>
                      <w:sz w:val="21"/>
                      <w:szCs w:val="21"/>
                    </w:rPr>
                    <w:t>。</w:t>
                  </w:r>
                </w:p>
              </w:tc>
              <w:tc>
                <w:tcPr>
                  <w:tcW w:w="890" w:type="pct"/>
                  <w:noWrap w:val="0"/>
                  <w:vAlign w:val="center"/>
                </w:tcPr>
                <w:p w14:paraId="16C6C18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Times New Roman" w:cs="Times New Roman"/>
                      <w:color w:val="auto"/>
                      <w:sz w:val="21"/>
                      <w:szCs w:val="21"/>
                      <w:highlight w:val="none"/>
                      <w:lang w:val="en-US" w:eastAsia="zh-CN"/>
                    </w:rPr>
                    <w:t>依托租赁厂房</w:t>
                  </w:r>
                </w:p>
              </w:tc>
            </w:tr>
            <w:tr w14:paraId="3651A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91" w:type="pct"/>
                  <w:vMerge w:val="restart"/>
                  <w:noWrap w:val="0"/>
                  <w:vAlign w:val="center"/>
                </w:tcPr>
                <w:p w14:paraId="426BB8BA">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公用</w:t>
                  </w:r>
                </w:p>
                <w:p w14:paraId="770A0979">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lang w:eastAsia="zh-CN"/>
                    </w:rPr>
                  </w:pPr>
                  <w:r>
                    <w:rPr>
                      <w:rFonts w:hint="default" w:ascii="Times New Roman" w:hAnsi="Times New Roman" w:eastAsia="宋体" w:cs="Times New Roman"/>
                      <w:b w:val="0"/>
                      <w:bCs/>
                      <w:color w:val="auto"/>
                      <w:sz w:val="21"/>
                      <w:szCs w:val="21"/>
                    </w:rPr>
                    <w:t>工程</w:t>
                  </w:r>
                </w:p>
              </w:tc>
              <w:tc>
                <w:tcPr>
                  <w:tcW w:w="673" w:type="pct"/>
                  <w:noWrap w:val="0"/>
                  <w:vAlign w:val="center"/>
                </w:tcPr>
                <w:p w14:paraId="423B7FCD">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供水系统</w:t>
                  </w:r>
                </w:p>
              </w:tc>
              <w:tc>
                <w:tcPr>
                  <w:tcW w:w="3045" w:type="pct"/>
                  <w:gridSpan w:val="4"/>
                  <w:noWrap w:val="0"/>
                  <w:vAlign w:val="center"/>
                </w:tcPr>
                <w:p w14:paraId="7B7BAD3A">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0"/>
                      <w:sz w:val="21"/>
                      <w:szCs w:val="21"/>
                    </w:rPr>
                    <w:t>由市政供水管网提供</w:t>
                  </w:r>
                  <w:r>
                    <w:rPr>
                      <w:rFonts w:hint="default" w:ascii="Times New Roman" w:hAnsi="Times New Roman" w:cs="Times New Roman"/>
                      <w:color w:val="auto"/>
                      <w:kern w:val="0"/>
                      <w:sz w:val="21"/>
                      <w:szCs w:val="21"/>
                      <w:lang w:eastAsia="zh-CN"/>
                    </w:rPr>
                    <w:t>。</w:t>
                  </w:r>
                </w:p>
              </w:tc>
              <w:tc>
                <w:tcPr>
                  <w:tcW w:w="890" w:type="pct"/>
                  <w:vMerge w:val="restart"/>
                  <w:noWrap w:val="0"/>
                  <w:vAlign w:val="center"/>
                </w:tcPr>
                <w:p w14:paraId="5FCA0DA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FF"/>
                      <w:sz w:val="21"/>
                      <w:szCs w:val="21"/>
                      <w:lang w:val="en-US" w:eastAsia="zh-CN"/>
                    </w:rPr>
                  </w:pPr>
                  <w:r>
                    <w:rPr>
                      <w:rFonts w:hint="default" w:ascii="Times New Roman" w:hAnsi="Times New Roman" w:cs="Times New Roman"/>
                      <w:color w:val="auto"/>
                      <w:kern w:val="0"/>
                      <w:sz w:val="21"/>
                      <w:szCs w:val="21"/>
                    </w:rPr>
                    <w:t>依托</w:t>
                  </w:r>
                  <w:r>
                    <w:rPr>
                      <w:rFonts w:hint="eastAsia" w:ascii="Times New Roman" w:hAnsi="Times New Roman" w:cs="Times New Roman"/>
                      <w:color w:val="auto"/>
                      <w:sz w:val="21"/>
                      <w:szCs w:val="21"/>
                      <w:lang w:val="en-US" w:eastAsia="zh-CN"/>
                    </w:rPr>
                    <w:t>租赁公司</w:t>
                  </w:r>
                  <w:r>
                    <w:rPr>
                      <w:rFonts w:hint="default" w:ascii="Times New Roman" w:hAnsi="Times New Roman" w:cs="Times New Roman"/>
                      <w:color w:val="auto"/>
                      <w:kern w:val="0"/>
                      <w:sz w:val="21"/>
                      <w:szCs w:val="21"/>
                    </w:rPr>
                    <w:t>已建的雨、污水管网</w:t>
                  </w:r>
                  <w:r>
                    <w:rPr>
                      <w:rFonts w:hint="default" w:ascii="Times New Roman" w:hAnsi="Times New Roman" w:cs="Times New Roman"/>
                      <w:color w:val="auto"/>
                      <w:kern w:val="0"/>
                      <w:sz w:val="21"/>
                      <w:szCs w:val="21"/>
                      <w:lang w:eastAsia="zh-CN"/>
                    </w:rPr>
                    <w:t>、</w:t>
                  </w:r>
                  <w:r>
                    <w:rPr>
                      <w:rFonts w:hint="default" w:ascii="Times New Roman" w:hAnsi="Times New Roman" w:cs="Times New Roman"/>
                      <w:color w:val="auto"/>
                      <w:kern w:val="0"/>
                      <w:sz w:val="21"/>
                      <w:szCs w:val="21"/>
                    </w:rPr>
                    <w:t>化粪池</w:t>
                  </w:r>
                  <w:r>
                    <w:rPr>
                      <w:rFonts w:hint="default" w:ascii="Times New Roman" w:hAnsi="Times New Roman" w:cs="Times New Roman"/>
                      <w:color w:val="auto"/>
                      <w:kern w:val="0"/>
                      <w:sz w:val="21"/>
                      <w:szCs w:val="21"/>
                      <w:lang w:eastAsia="zh-CN"/>
                    </w:rPr>
                    <w:t>、</w:t>
                  </w:r>
                  <w:r>
                    <w:rPr>
                      <w:rFonts w:hint="default" w:ascii="Times New Roman" w:hAnsi="Times New Roman" w:cs="Times New Roman"/>
                      <w:color w:val="auto"/>
                      <w:kern w:val="0"/>
                      <w:sz w:val="21"/>
                      <w:szCs w:val="21"/>
                    </w:rPr>
                    <w:t>供电管网</w:t>
                  </w:r>
                  <w:r>
                    <w:rPr>
                      <w:rFonts w:hint="default" w:ascii="Times New Roman" w:hAnsi="Times New Roman" w:cs="Times New Roman"/>
                      <w:color w:val="auto"/>
                      <w:kern w:val="0"/>
                      <w:sz w:val="21"/>
                      <w:szCs w:val="21"/>
                      <w:lang w:eastAsia="zh-CN"/>
                    </w:rPr>
                    <w:t>、</w:t>
                  </w:r>
                  <w:r>
                    <w:rPr>
                      <w:rFonts w:hint="default" w:ascii="Times New Roman" w:hAnsi="Times New Roman" w:cs="Times New Roman"/>
                      <w:color w:val="auto"/>
                      <w:kern w:val="0"/>
                      <w:sz w:val="21"/>
                      <w:szCs w:val="21"/>
                    </w:rPr>
                    <w:t>供水管网</w:t>
                  </w:r>
                </w:p>
              </w:tc>
            </w:tr>
            <w:tr w14:paraId="57BA4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91" w:type="pct"/>
                  <w:vMerge w:val="continue"/>
                  <w:noWrap w:val="0"/>
                  <w:vAlign w:val="center"/>
                </w:tcPr>
                <w:p w14:paraId="4CA040E8">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 w:val="0"/>
                      <w:bCs/>
                      <w:color w:val="auto"/>
                      <w:sz w:val="21"/>
                      <w:szCs w:val="21"/>
                    </w:rPr>
                  </w:pPr>
                </w:p>
              </w:tc>
              <w:tc>
                <w:tcPr>
                  <w:tcW w:w="673" w:type="pct"/>
                  <w:noWrap w:val="0"/>
                  <w:vAlign w:val="center"/>
                </w:tcPr>
                <w:p w14:paraId="0FFE8772">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Cs/>
                      <w:color w:val="auto"/>
                      <w:sz w:val="21"/>
                      <w:szCs w:val="21"/>
                    </w:rPr>
                  </w:pPr>
                  <w:r>
                    <w:rPr>
                      <w:rFonts w:hint="default" w:ascii="Times New Roman" w:hAnsi="Times New Roman" w:eastAsia="Times New Roman" w:cs="Times New Roman"/>
                      <w:color w:val="auto"/>
                      <w:sz w:val="21"/>
                      <w:szCs w:val="21"/>
                    </w:rPr>
                    <w:t>排水系统</w:t>
                  </w:r>
                </w:p>
              </w:tc>
              <w:tc>
                <w:tcPr>
                  <w:tcW w:w="3045" w:type="pct"/>
                  <w:gridSpan w:val="4"/>
                  <w:noWrap w:val="0"/>
                  <w:vAlign w:val="center"/>
                </w:tcPr>
                <w:p w14:paraId="14847683">
                  <w:pPr>
                    <w:keepNext w:val="0"/>
                    <w:keepLines w:val="0"/>
                    <w:suppressLineNumbers w:val="0"/>
                    <w:bidi w:val="0"/>
                    <w:spacing w:before="0" w:beforeAutospacing="0" w:after="0" w:afterAutospacing="0"/>
                    <w:ind w:left="0" w:right="0"/>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color w:val="auto"/>
                      <w:kern w:val="0"/>
                      <w:sz w:val="21"/>
                      <w:szCs w:val="21"/>
                    </w:rPr>
                    <w:t>雨污分流制。厂区雨水排入市政雨水管网</w:t>
                  </w:r>
                  <w:r>
                    <w:rPr>
                      <w:rFonts w:hint="default" w:ascii="Times New Roman" w:hAnsi="Times New Roman" w:cs="Times New Roman"/>
                      <w:color w:val="auto"/>
                      <w:kern w:val="0"/>
                      <w:sz w:val="21"/>
                      <w:szCs w:val="21"/>
                      <w:lang w:eastAsia="zh-CN"/>
                    </w:rPr>
                    <w:t>；</w:t>
                  </w:r>
                  <w:r>
                    <w:rPr>
                      <w:rFonts w:hint="default" w:ascii="Times New Roman" w:hAnsi="Times New Roman" w:cs="Times New Roman"/>
                      <w:color w:val="auto"/>
                      <w:kern w:val="0"/>
                      <w:sz w:val="21"/>
                      <w:szCs w:val="21"/>
                    </w:rPr>
                    <w:t>冷却水循环使用，定期补充；生活污水经化粪池处理后，由市政污水管网接入</w:t>
                  </w:r>
                  <w:r>
                    <w:rPr>
                      <w:rFonts w:hint="default" w:ascii="Times New Roman" w:hAnsi="Times New Roman"/>
                      <w:color w:val="auto"/>
                      <w:sz w:val="21"/>
                      <w:szCs w:val="21"/>
                      <w:lang w:eastAsia="zh-CN"/>
                    </w:rPr>
                    <w:t>淮南经济技术开发区工业污水处理厂</w:t>
                  </w:r>
                  <w:r>
                    <w:rPr>
                      <w:rFonts w:hint="default" w:ascii="Times New Roman" w:hAnsi="Times New Roman" w:cs="Times New Roman"/>
                      <w:color w:val="auto"/>
                      <w:kern w:val="0"/>
                      <w:sz w:val="21"/>
                      <w:szCs w:val="21"/>
                    </w:rPr>
                    <w:t>处理，处理达标后</w:t>
                  </w:r>
                  <w:r>
                    <w:rPr>
                      <w:rFonts w:hint="default" w:ascii="Times New Roman" w:hAnsi="Times New Roman"/>
                      <w:color w:val="auto"/>
                      <w:sz w:val="21"/>
                      <w:szCs w:val="21"/>
                      <w:lang w:eastAsia="zh-CN"/>
                    </w:rPr>
                    <w:t>尾水排入淮河</w:t>
                  </w:r>
                  <w:r>
                    <w:rPr>
                      <w:rFonts w:hint="eastAsia" w:ascii="Times New Roman" w:hAnsi="Times New Roman"/>
                      <w:color w:val="auto"/>
                      <w:sz w:val="21"/>
                      <w:szCs w:val="21"/>
                      <w:lang w:eastAsia="zh-CN"/>
                    </w:rPr>
                    <w:t>。</w:t>
                  </w:r>
                </w:p>
              </w:tc>
              <w:tc>
                <w:tcPr>
                  <w:tcW w:w="890" w:type="pct"/>
                  <w:vMerge w:val="continue"/>
                  <w:noWrap w:val="0"/>
                  <w:vAlign w:val="center"/>
                </w:tcPr>
                <w:p w14:paraId="007653C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color w:val="0000FF"/>
                      <w:spacing w:val="3"/>
                      <w:sz w:val="21"/>
                      <w:szCs w:val="21"/>
                    </w:rPr>
                  </w:pPr>
                </w:p>
              </w:tc>
            </w:tr>
            <w:tr w14:paraId="3E530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91" w:type="pct"/>
                  <w:vMerge w:val="continue"/>
                  <w:noWrap w:val="0"/>
                  <w:vAlign w:val="center"/>
                </w:tcPr>
                <w:p w14:paraId="7E32A66E">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 w:val="0"/>
                      <w:bCs/>
                      <w:color w:val="auto"/>
                      <w:sz w:val="21"/>
                      <w:szCs w:val="21"/>
                    </w:rPr>
                  </w:pPr>
                </w:p>
              </w:tc>
              <w:tc>
                <w:tcPr>
                  <w:tcW w:w="673" w:type="pct"/>
                  <w:noWrap w:val="0"/>
                  <w:vAlign w:val="center"/>
                </w:tcPr>
                <w:p w14:paraId="3341AD85">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供电工程</w:t>
                  </w:r>
                </w:p>
              </w:tc>
              <w:tc>
                <w:tcPr>
                  <w:tcW w:w="3045" w:type="pct"/>
                  <w:gridSpan w:val="4"/>
                  <w:noWrap w:val="0"/>
                  <w:vAlign w:val="center"/>
                </w:tcPr>
                <w:p w14:paraId="68E7278E">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Times New Roman" w:cs="Times New Roman"/>
                      <w:color w:val="auto"/>
                      <w:spacing w:val="4"/>
                      <w:sz w:val="21"/>
                      <w:szCs w:val="21"/>
                    </w:rPr>
                    <w:t>市政电网供应</w:t>
                  </w:r>
                  <w:r>
                    <w:rPr>
                      <w:rFonts w:hint="default" w:ascii="Times New Roman" w:hAnsi="Times New Roman" w:eastAsia="Times New Roman" w:cs="Times New Roman"/>
                      <w:bCs/>
                      <w:color w:val="auto"/>
                      <w:sz w:val="21"/>
                      <w:szCs w:val="21"/>
                      <w:lang w:val="en-GB"/>
                    </w:rPr>
                    <w:t>。</w:t>
                  </w:r>
                </w:p>
              </w:tc>
              <w:tc>
                <w:tcPr>
                  <w:tcW w:w="890" w:type="pct"/>
                  <w:vMerge w:val="continue"/>
                  <w:noWrap w:val="0"/>
                  <w:vAlign w:val="center"/>
                </w:tcPr>
                <w:p w14:paraId="6C90BBC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color w:val="0000FF"/>
                      <w:spacing w:val="3"/>
                      <w:sz w:val="21"/>
                      <w:szCs w:val="21"/>
                    </w:rPr>
                  </w:pPr>
                </w:p>
              </w:tc>
            </w:tr>
            <w:tr w14:paraId="3698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1" w:type="pct"/>
                  <w:vMerge w:val="continue"/>
                  <w:noWrap w:val="0"/>
                  <w:vAlign w:val="center"/>
                </w:tcPr>
                <w:p w14:paraId="201B305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 w:val="0"/>
                      <w:bCs/>
                      <w:color w:val="0000FF"/>
                      <w:sz w:val="21"/>
                      <w:szCs w:val="21"/>
                    </w:rPr>
                  </w:pPr>
                </w:p>
              </w:tc>
              <w:tc>
                <w:tcPr>
                  <w:tcW w:w="673" w:type="pct"/>
                  <w:vMerge w:val="restart"/>
                  <w:noWrap w:val="0"/>
                  <w:vAlign w:val="center"/>
                </w:tcPr>
                <w:p w14:paraId="71725DF7">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color w:val="000000" w:themeColor="text1"/>
                      <w:sz w:val="21"/>
                      <w:szCs w:val="21"/>
                    </w:rPr>
                  </w:pPr>
                  <w:r>
                    <w:rPr>
                      <w:rFonts w:hint="default" w:ascii="Times New Roman" w:hAnsi="Times New Roman" w:eastAsia="Times New Roman" w:cs="Times New Roman"/>
                      <w:color w:val="000000" w:themeColor="text1"/>
                      <w:sz w:val="21"/>
                      <w:szCs w:val="21"/>
                    </w:rPr>
                    <w:t>废气治理</w:t>
                  </w:r>
                </w:p>
              </w:tc>
              <w:tc>
                <w:tcPr>
                  <w:tcW w:w="664" w:type="pct"/>
                  <w:gridSpan w:val="2"/>
                  <w:noWrap w:val="0"/>
                  <w:vAlign w:val="center"/>
                </w:tcPr>
                <w:p w14:paraId="7D89605E">
                  <w:pPr>
                    <w:pStyle w:val="64"/>
                    <w:keepNext w:val="0"/>
                    <w:keepLines w:val="0"/>
                    <w:suppressLineNumbers w:val="0"/>
                    <w:bidi w:val="0"/>
                    <w:spacing w:before="0" w:beforeAutospacing="0" w:after="0" w:afterAutospacing="0"/>
                    <w:ind w:left="0" w:leftChars="0" w:right="0" w:firstLine="0" w:firstLineChars="0"/>
                    <w:jc w:val="center"/>
                    <w:rPr>
                      <w:rFonts w:hint="default" w:ascii="Times New Roman" w:hAnsi="Times New Roman" w:cs="Times New Roman"/>
                      <w:color w:val="000000" w:themeColor="text1"/>
                      <w:sz w:val="21"/>
                      <w:szCs w:val="21"/>
                      <w:lang w:val="en-US" w:eastAsia="zh-CN"/>
                    </w:rPr>
                  </w:pPr>
                  <w:r>
                    <w:rPr>
                      <w:rFonts w:hint="eastAsia" w:ascii="Times New Roman" w:hAnsi="Times New Roman" w:cs="Times New Roman"/>
                      <w:color w:val="000000" w:themeColor="text1"/>
                      <w:sz w:val="21"/>
                      <w:szCs w:val="21"/>
                      <w:lang w:val="en-US" w:eastAsia="zh-CN"/>
                    </w:rPr>
                    <w:t>箱式渗碳废气</w:t>
                  </w:r>
                </w:p>
              </w:tc>
              <w:tc>
                <w:tcPr>
                  <w:tcW w:w="803" w:type="pct"/>
                  <w:noWrap w:val="0"/>
                  <w:vAlign w:val="center"/>
                </w:tcPr>
                <w:p w14:paraId="4CDA4469">
                  <w:pPr>
                    <w:pStyle w:val="64"/>
                    <w:keepNext w:val="0"/>
                    <w:keepLines w:val="0"/>
                    <w:suppressLineNumbers w:val="0"/>
                    <w:bidi w:val="0"/>
                    <w:spacing w:before="0" w:beforeAutospacing="0" w:after="0" w:afterAutospacing="0"/>
                    <w:ind w:left="0" w:leftChars="0" w:right="0" w:firstLine="0" w:firstLineChars="0"/>
                    <w:jc w:val="center"/>
                    <w:rPr>
                      <w:rFonts w:hint="default" w:ascii="Times New Roman" w:hAnsi="Times New Roman" w:cs="Times New Roman"/>
                      <w:color w:val="000000" w:themeColor="text1"/>
                      <w:sz w:val="21"/>
                      <w:szCs w:val="21"/>
                      <w:lang w:val="en-US" w:eastAsia="zh-CN"/>
                    </w:rPr>
                  </w:pPr>
                  <w:r>
                    <w:rPr>
                      <w:rFonts w:hint="eastAsia" w:ascii="Times New Roman" w:hAnsi="Times New Roman" w:cs="Times New Roman"/>
                      <w:color w:val="000000" w:themeColor="text1"/>
                      <w:sz w:val="21"/>
                      <w:szCs w:val="21"/>
                      <w:lang w:val="en-US" w:eastAsia="zh-CN"/>
                    </w:rPr>
                    <w:t>自带火炬燃烧</w:t>
                  </w:r>
                </w:p>
              </w:tc>
              <w:tc>
                <w:tcPr>
                  <w:tcW w:w="1576" w:type="pct"/>
                  <w:vMerge w:val="restart"/>
                  <w:noWrap w:val="0"/>
                  <w:vAlign w:val="center"/>
                </w:tcPr>
                <w:p w14:paraId="7440FD91">
                  <w:pPr>
                    <w:pStyle w:val="64"/>
                    <w:keepNext w:val="0"/>
                    <w:keepLines w:val="0"/>
                    <w:suppressLineNumbers w:val="0"/>
                    <w:bidi w:val="0"/>
                    <w:spacing w:before="0" w:beforeAutospacing="0" w:after="0" w:afterAutospacing="0"/>
                    <w:ind w:left="0" w:leftChars="0" w:right="0" w:firstLine="0" w:firstLineChars="0"/>
                    <w:jc w:val="both"/>
                    <w:rPr>
                      <w:rFonts w:hint="default" w:ascii="Times New Roman" w:hAnsi="Times New Roman" w:cs="Times New Roman"/>
                      <w:color w:val="000000" w:themeColor="text1"/>
                      <w:sz w:val="21"/>
                      <w:szCs w:val="21"/>
                      <w:lang w:val="en-US" w:eastAsia="zh-CN"/>
                    </w:rPr>
                  </w:pPr>
                  <w:r>
                    <w:rPr>
                      <w:rFonts w:hint="eastAsia" w:ascii="Times New Roman" w:hAnsi="Times New Roman" w:eastAsia="宋体" w:cs="Times New Roman"/>
                      <w:bCs/>
                      <w:color w:val="000000" w:themeColor="text1"/>
                      <w:kern w:val="0"/>
                      <w:sz w:val="21"/>
                      <w:szCs w:val="21"/>
                      <w:highlight w:val="none"/>
                      <w:lang w:val="en-US" w:eastAsia="zh-CN"/>
                    </w:rPr>
                    <w:t>集气罩收集后一同经</w:t>
                  </w:r>
                  <w:r>
                    <w:rPr>
                      <w:rFonts w:hint="eastAsia"/>
                      <w:color w:val="000000" w:themeColor="text1"/>
                      <w:sz w:val="21"/>
                      <w:szCs w:val="21"/>
                      <w:lang w:val="en-US" w:eastAsia="zh-CN"/>
                    </w:rPr>
                    <w:t>废气间接冷却装置+</w:t>
                  </w:r>
                  <w:r>
                    <w:rPr>
                      <w:rFonts w:hint="eastAsia" w:ascii="Times New Roman" w:hAnsi="Times New Roman" w:eastAsia="宋体" w:cs="Times New Roman"/>
                      <w:bCs/>
                      <w:color w:val="000000" w:themeColor="text1"/>
                      <w:kern w:val="0"/>
                      <w:sz w:val="21"/>
                      <w:szCs w:val="21"/>
                      <w:highlight w:val="none"/>
                      <w:lang w:val="en-US" w:eastAsia="zh-CN"/>
                    </w:rPr>
                    <w:t>静电吸附油雾净化装置</w:t>
                  </w:r>
                  <w:r>
                    <w:rPr>
                      <w:rFonts w:hint="eastAsia" w:ascii="Times New Roman" w:hAnsi="Times New Roman" w:cs="Times New Roman"/>
                      <w:color w:val="000000" w:themeColor="text1"/>
                      <w:sz w:val="21"/>
                      <w:szCs w:val="21"/>
                      <w:highlight w:val="none"/>
                      <w:lang w:val="en-US" w:eastAsia="zh-CN"/>
                    </w:rPr>
                    <w:t>+三级干式过滤器+二级活性炭吸附装置+</w:t>
                  </w:r>
                  <w:r>
                    <w:rPr>
                      <w:rFonts w:hint="eastAsia" w:ascii="Times New Roman" w:hAnsi="Times New Roman" w:eastAsia="宋体" w:cs="Times New Roman"/>
                      <w:bCs/>
                      <w:color w:val="000000" w:themeColor="text1"/>
                      <w:kern w:val="0"/>
                      <w:sz w:val="21"/>
                      <w:szCs w:val="21"/>
                      <w:highlight w:val="none"/>
                      <w:lang w:val="en-US" w:eastAsia="zh-CN"/>
                    </w:rPr>
                    <w:t>1根15m高排气筒（DA001）排放</w:t>
                  </w:r>
                </w:p>
              </w:tc>
              <w:tc>
                <w:tcPr>
                  <w:tcW w:w="890" w:type="pct"/>
                  <w:vMerge w:val="restart"/>
                  <w:noWrap w:val="0"/>
                  <w:vAlign w:val="center"/>
                </w:tcPr>
                <w:p w14:paraId="0AA1B9AA">
                  <w:pPr>
                    <w:keepNext w:val="0"/>
                    <w:keepLines w:val="0"/>
                    <w:suppressLineNumbers w:val="0"/>
                    <w:spacing w:before="0" w:beforeAutospacing="0" w:after="0" w:afterAutospacing="0"/>
                    <w:ind w:left="0" w:right="0"/>
                    <w:jc w:val="center"/>
                    <w:rPr>
                      <w:rFonts w:hint="default" w:ascii="Times New Roman" w:hAnsi="Times New Roman" w:eastAsia="Times New Roman" w:cs="Times New Roman"/>
                      <w:snapToGrid w:val="0"/>
                      <w:color w:val="000000" w:themeColor="text1"/>
                      <w:kern w:val="0"/>
                      <w:sz w:val="21"/>
                      <w:szCs w:val="21"/>
                      <w:highlight w:val="none"/>
                      <w:lang w:val="en-US" w:eastAsia="zh-CN"/>
                    </w:rPr>
                  </w:pPr>
                  <w:r>
                    <w:rPr>
                      <w:rFonts w:hint="eastAsia" w:ascii="Times New Roman" w:hAnsi="Times New Roman" w:eastAsia="Times New Roman" w:cs="Times New Roman"/>
                      <w:snapToGrid w:val="0"/>
                      <w:color w:val="000000" w:themeColor="text1"/>
                      <w:kern w:val="0"/>
                      <w:sz w:val="21"/>
                      <w:szCs w:val="21"/>
                      <w:highlight w:val="none"/>
                      <w:lang w:val="en-US" w:eastAsia="zh-CN"/>
                    </w:rPr>
                    <w:t>新建</w:t>
                  </w:r>
                </w:p>
              </w:tc>
            </w:tr>
            <w:tr w14:paraId="0662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391" w:type="pct"/>
                  <w:vMerge w:val="continue"/>
                  <w:noWrap w:val="0"/>
                  <w:vAlign w:val="center"/>
                </w:tcPr>
                <w:p w14:paraId="79C5119A">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 w:val="0"/>
                      <w:bCs/>
                      <w:color w:val="0000FF"/>
                      <w:sz w:val="21"/>
                      <w:szCs w:val="21"/>
                    </w:rPr>
                  </w:pPr>
                </w:p>
              </w:tc>
              <w:tc>
                <w:tcPr>
                  <w:tcW w:w="673" w:type="pct"/>
                  <w:vMerge w:val="continue"/>
                  <w:noWrap w:val="0"/>
                  <w:vAlign w:val="center"/>
                </w:tcPr>
                <w:p w14:paraId="42BDBEB4">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color w:val="000000" w:themeColor="text1"/>
                      <w:sz w:val="21"/>
                      <w:szCs w:val="21"/>
                    </w:rPr>
                  </w:pPr>
                </w:p>
              </w:tc>
              <w:tc>
                <w:tcPr>
                  <w:tcW w:w="664" w:type="pct"/>
                  <w:gridSpan w:val="2"/>
                  <w:noWrap w:val="0"/>
                  <w:vAlign w:val="center"/>
                </w:tcPr>
                <w:p w14:paraId="15840D92">
                  <w:pPr>
                    <w:pStyle w:val="64"/>
                    <w:keepNext w:val="0"/>
                    <w:keepLines w:val="0"/>
                    <w:suppressLineNumbers w:val="0"/>
                    <w:bidi w:val="0"/>
                    <w:spacing w:before="0" w:beforeAutospacing="0" w:after="0" w:afterAutospacing="0"/>
                    <w:ind w:left="0" w:leftChars="0" w:right="0" w:firstLine="0" w:firstLineChars="0"/>
                    <w:jc w:val="center"/>
                    <w:rPr>
                      <w:rFonts w:hint="default" w:ascii="Times New Roman" w:hAnsi="Times New Roman" w:cs="Times New Roman"/>
                      <w:color w:val="000000" w:themeColor="text1"/>
                      <w:sz w:val="21"/>
                      <w:szCs w:val="21"/>
                      <w:lang w:val="en-US" w:eastAsia="zh-CN"/>
                    </w:rPr>
                  </w:pPr>
                  <w:r>
                    <w:rPr>
                      <w:rFonts w:hint="eastAsia" w:ascii="Times New Roman" w:hAnsi="Times New Roman" w:cs="Times New Roman"/>
                      <w:color w:val="000000" w:themeColor="text1"/>
                      <w:sz w:val="21"/>
                      <w:szCs w:val="21"/>
                      <w:lang w:val="en-US" w:eastAsia="zh-CN"/>
                    </w:rPr>
                    <w:t>淬火回火废气</w:t>
                  </w:r>
                </w:p>
              </w:tc>
              <w:tc>
                <w:tcPr>
                  <w:tcW w:w="803" w:type="pct"/>
                  <w:noWrap w:val="0"/>
                  <w:vAlign w:val="center"/>
                </w:tcPr>
                <w:p w14:paraId="1DEB6270">
                  <w:pPr>
                    <w:pStyle w:val="64"/>
                    <w:keepNext w:val="0"/>
                    <w:keepLines w:val="0"/>
                    <w:suppressLineNumbers w:val="0"/>
                    <w:bidi w:val="0"/>
                    <w:spacing w:before="0" w:beforeAutospacing="0" w:after="0" w:afterAutospacing="0"/>
                    <w:ind w:left="0" w:leftChars="0" w:right="0" w:firstLine="0" w:firstLineChars="0"/>
                    <w:jc w:val="center"/>
                    <w:rPr>
                      <w:rFonts w:hint="default" w:ascii="Times New Roman" w:hAnsi="Times New Roman" w:cs="Times New Roman"/>
                      <w:color w:val="000000" w:themeColor="text1"/>
                      <w:sz w:val="21"/>
                      <w:szCs w:val="21"/>
                      <w:lang w:val="en-US" w:eastAsia="zh-CN"/>
                    </w:rPr>
                  </w:pPr>
                  <w:r>
                    <w:rPr>
                      <w:rFonts w:hint="eastAsia" w:ascii="Times New Roman" w:hAnsi="Times New Roman" w:cs="Times New Roman"/>
                      <w:color w:val="000000" w:themeColor="text1"/>
                      <w:sz w:val="21"/>
                      <w:szCs w:val="21"/>
                      <w:lang w:val="en-US" w:eastAsia="zh-CN"/>
                    </w:rPr>
                    <w:t>/</w:t>
                  </w:r>
                </w:p>
              </w:tc>
              <w:tc>
                <w:tcPr>
                  <w:tcW w:w="1576" w:type="pct"/>
                  <w:vMerge w:val="continue"/>
                  <w:noWrap w:val="0"/>
                  <w:vAlign w:val="center"/>
                </w:tcPr>
                <w:p w14:paraId="3FB24D7F">
                  <w:pPr>
                    <w:pStyle w:val="64"/>
                    <w:keepNext w:val="0"/>
                    <w:keepLines w:val="0"/>
                    <w:suppressLineNumbers w:val="0"/>
                    <w:bidi w:val="0"/>
                    <w:spacing w:before="0" w:beforeAutospacing="0" w:after="0" w:afterAutospacing="0"/>
                    <w:ind w:left="0" w:leftChars="0" w:right="0" w:firstLine="0" w:firstLineChars="0"/>
                    <w:jc w:val="both"/>
                    <w:rPr>
                      <w:rFonts w:hint="default" w:ascii="Times New Roman" w:hAnsi="Times New Roman" w:cs="Times New Roman"/>
                      <w:color w:val="0000FF"/>
                      <w:sz w:val="21"/>
                      <w:szCs w:val="21"/>
                      <w:lang w:val="en-US" w:eastAsia="zh-CN"/>
                    </w:rPr>
                  </w:pPr>
                </w:p>
              </w:tc>
              <w:tc>
                <w:tcPr>
                  <w:tcW w:w="890" w:type="pct"/>
                  <w:vMerge w:val="continue"/>
                  <w:noWrap w:val="0"/>
                  <w:vAlign w:val="center"/>
                </w:tcPr>
                <w:p w14:paraId="5E9C40BD">
                  <w:pPr>
                    <w:keepNext w:val="0"/>
                    <w:keepLines w:val="0"/>
                    <w:suppressLineNumbers w:val="0"/>
                    <w:spacing w:before="0" w:beforeAutospacing="0" w:after="0" w:afterAutospacing="0"/>
                    <w:ind w:left="0" w:right="0"/>
                    <w:jc w:val="center"/>
                    <w:rPr>
                      <w:rFonts w:hint="default" w:ascii="Times New Roman" w:hAnsi="Times New Roman" w:eastAsia="Times New Roman" w:cs="Times New Roman"/>
                      <w:snapToGrid w:val="0"/>
                      <w:color w:val="000000" w:themeColor="text1"/>
                      <w:kern w:val="0"/>
                      <w:sz w:val="21"/>
                      <w:szCs w:val="21"/>
                      <w:highlight w:val="none"/>
                      <w:lang w:val="en-US" w:eastAsia="zh-CN"/>
                    </w:rPr>
                  </w:pPr>
                </w:p>
              </w:tc>
            </w:tr>
            <w:tr w14:paraId="4976C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391" w:type="pct"/>
                  <w:vMerge w:val="continue"/>
                  <w:noWrap w:val="0"/>
                  <w:vAlign w:val="center"/>
                </w:tcPr>
                <w:p w14:paraId="325C00D5">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 w:val="0"/>
                      <w:bCs/>
                      <w:color w:val="0000FF"/>
                      <w:sz w:val="21"/>
                      <w:szCs w:val="21"/>
                    </w:rPr>
                  </w:pPr>
                </w:p>
              </w:tc>
              <w:tc>
                <w:tcPr>
                  <w:tcW w:w="673" w:type="pct"/>
                  <w:vMerge w:val="continue"/>
                  <w:noWrap w:val="0"/>
                  <w:vAlign w:val="center"/>
                </w:tcPr>
                <w:p w14:paraId="4FEB5F64">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color w:val="0000FF"/>
                      <w:sz w:val="21"/>
                      <w:szCs w:val="21"/>
                    </w:rPr>
                  </w:pPr>
                </w:p>
              </w:tc>
              <w:tc>
                <w:tcPr>
                  <w:tcW w:w="664" w:type="pct"/>
                  <w:gridSpan w:val="2"/>
                  <w:noWrap w:val="0"/>
                  <w:vAlign w:val="center"/>
                </w:tcPr>
                <w:p w14:paraId="501CD134">
                  <w:pPr>
                    <w:pStyle w:val="64"/>
                    <w:keepNext w:val="0"/>
                    <w:keepLines w:val="0"/>
                    <w:suppressLineNumbers w:val="0"/>
                    <w:bidi w:val="0"/>
                    <w:spacing w:before="0" w:beforeAutospacing="0" w:after="0" w:afterAutospacing="0"/>
                    <w:ind w:left="0" w:leftChars="0" w:right="0" w:firstLine="0" w:firstLineChars="0"/>
                    <w:jc w:val="center"/>
                    <w:rPr>
                      <w:rFonts w:hint="default" w:ascii="Times New Roman" w:hAnsi="Times New Roman" w:cs="Times New Roman"/>
                      <w:color w:val="000000" w:themeColor="text1"/>
                      <w:sz w:val="21"/>
                      <w:szCs w:val="21"/>
                      <w:lang w:val="en-US" w:eastAsia="zh-CN"/>
                    </w:rPr>
                  </w:pPr>
                  <w:r>
                    <w:rPr>
                      <w:rFonts w:hint="eastAsia" w:ascii="Times New Roman" w:hAnsi="Times New Roman" w:cs="Times New Roman"/>
                      <w:color w:val="000000" w:themeColor="text1"/>
                      <w:sz w:val="21"/>
                      <w:szCs w:val="21"/>
                      <w:lang w:val="en-US" w:eastAsia="zh-CN"/>
                    </w:rPr>
                    <w:t>天然气燃烧</w:t>
                  </w:r>
                </w:p>
              </w:tc>
              <w:tc>
                <w:tcPr>
                  <w:tcW w:w="803" w:type="pct"/>
                  <w:noWrap w:val="0"/>
                  <w:vAlign w:val="center"/>
                </w:tcPr>
                <w:p w14:paraId="74DD30F9">
                  <w:pPr>
                    <w:pStyle w:val="64"/>
                    <w:keepNext w:val="0"/>
                    <w:keepLines w:val="0"/>
                    <w:suppressLineNumbers w:val="0"/>
                    <w:bidi w:val="0"/>
                    <w:spacing w:before="0" w:beforeAutospacing="0" w:after="0" w:afterAutospacing="0"/>
                    <w:ind w:left="0" w:leftChars="0" w:right="0" w:firstLine="0" w:firstLineChars="0"/>
                    <w:jc w:val="center"/>
                    <w:rPr>
                      <w:rFonts w:hint="default" w:ascii="Times New Roman" w:hAnsi="Times New Roman" w:cs="Times New Roman"/>
                      <w:color w:val="000000" w:themeColor="text1"/>
                      <w:sz w:val="21"/>
                      <w:szCs w:val="21"/>
                      <w:lang w:val="en-US" w:eastAsia="zh-CN"/>
                    </w:rPr>
                  </w:pPr>
                  <w:r>
                    <w:rPr>
                      <w:rFonts w:hint="eastAsia" w:ascii="Times New Roman" w:hAnsi="Times New Roman" w:cs="Times New Roman"/>
                      <w:color w:val="000000" w:themeColor="text1"/>
                      <w:sz w:val="21"/>
                      <w:szCs w:val="21"/>
                      <w:lang w:val="en-US" w:eastAsia="zh-CN"/>
                    </w:rPr>
                    <w:t>FGR低氮燃烧器技术</w:t>
                  </w:r>
                </w:p>
              </w:tc>
              <w:tc>
                <w:tcPr>
                  <w:tcW w:w="1576" w:type="pct"/>
                  <w:noWrap w:val="0"/>
                  <w:vAlign w:val="center"/>
                </w:tcPr>
                <w:p w14:paraId="27B16AE6">
                  <w:pPr>
                    <w:pStyle w:val="64"/>
                    <w:keepNext w:val="0"/>
                    <w:keepLines w:val="0"/>
                    <w:suppressLineNumbers w:val="0"/>
                    <w:bidi w:val="0"/>
                    <w:spacing w:before="0" w:beforeAutospacing="0" w:after="0" w:afterAutospacing="0"/>
                    <w:ind w:left="0" w:leftChars="0" w:right="0" w:firstLine="0" w:firstLineChars="0"/>
                    <w:jc w:val="both"/>
                    <w:rPr>
                      <w:rFonts w:hint="default" w:ascii="Times New Roman" w:hAnsi="Times New Roman" w:cs="Times New Roman"/>
                      <w:color w:val="000000" w:themeColor="text1"/>
                      <w:sz w:val="21"/>
                      <w:szCs w:val="21"/>
                      <w:lang w:val="en-US" w:eastAsia="zh-CN"/>
                    </w:rPr>
                  </w:pPr>
                  <w:r>
                    <w:rPr>
                      <w:rFonts w:hint="eastAsia" w:ascii="Times New Roman" w:hAnsi="Times New Roman" w:cs="Times New Roman"/>
                      <w:color w:val="000000" w:themeColor="text1"/>
                      <w:sz w:val="21"/>
                      <w:szCs w:val="21"/>
                      <w:lang w:val="en-US" w:eastAsia="zh-CN"/>
                    </w:rPr>
                    <w:t>烟道收集后经</w:t>
                  </w:r>
                  <w:r>
                    <w:rPr>
                      <w:rFonts w:hint="eastAsia" w:ascii="Times New Roman" w:hAnsi="Times New Roman" w:eastAsia="宋体" w:cs="Times New Roman"/>
                      <w:bCs/>
                      <w:color w:val="000000" w:themeColor="text1"/>
                      <w:kern w:val="0"/>
                      <w:sz w:val="21"/>
                      <w:szCs w:val="21"/>
                      <w:highlight w:val="none"/>
                      <w:lang w:val="en-US" w:eastAsia="zh-CN"/>
                    </w:rPr>
                    <w:t>1根15m高排气筒（DA002）排放</w:t>
                  </w:r>
                </w:p>
              </w:tc>
              <w:tc>
                <w:tcPr>
                  <w:tcW w:w="890" w:type="pct"/>
                  <w:vMerge w:val="continue"/>
                  <w:noWrap w:val="0"/>
                  <w:vAlign w:val="center"/>
                </w:tcPr>
                <w:p w14:paraId="2E64CBD7">
                  <w:pPr>
                    <w:keepNext w:val="0"/>
                    <w:keepLines w:val="0"/>
                    <w:suppressLineNumbers w:val="0"/>
                    <w:spacing w:before="0" w:beforeAutospacing="0" w:after="0" w:afterAutospacing="0"/>
                    <w:ind w:left="0" w:right="0"/>
                    <w:jc w:val="center"/>
                    <w:rPr>
                      <w:rFonts w:hint="default" w:ascii="Times New Roman" w:hAnsi="Times New Roman" w:eastAsia="Times New Roman" w:cs="Times New Roman"/>
                      <w:snapToGrid w:val="0"/>
                      <w:color w:val="000000" w:themeColor="text1"/>
                      <w:kern w:val="0"/>
                      <w:sz w:val="21"/>
                      <w:szCs w:val="21"/>
                      <w:highlight w:val="none"/>
                      <w:lang w:val="en-US" w:eastAsia="zh-CN"/>
                    </w:rPr>
                  </w:pPr>
                </w:p>
              </w:tc>
            </w:tr>
            <w:tr w14:paraId="4C2A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91" w:type="pct"/>
                  <w:vMerge w:val="continue"/>
                  <w:noWrap w:val="0"/>
                  <w:vAlign w:val="center"/>
                </w:tcPr>
                <w:p w14:paraId="0B9140F6">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Cs/>
                      <w:color w:val="0000FF"/>
                      <w:sz w:val="21"/>
                      <w:szCs w:val="21"/>
                    </w:rPr>
                  </w:pPr>
                </w:p>
              </w:tc>
              <w:tc>
                <w:tcPr>
                  <w:tcW w:w="673" w:type="pct"/>
                  <w:noWrap w:val="0"/>
                  <w:vAlign w:val="center"/>
                </w:tcPr>
                <w:p w14:paraId="6C0C8CF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Cs/>
                      <w:color w:val="000000" w:themeColor="text1"/>
                      <w:sz w:val="21"/>
                      <w:szCs w:val="21"/>
                    </w:rPr>
                  </w:pPr>
                  <w:r>
                    <w:rPr>
                      <w:rFonts w:hint="default" w:ascii="Times New Roman" w:hAnsi="Times New Roman" w:eastAsia="Times New Roman" w:cs="Times New Roman"/>
                      <w:bCs/>
                      <w:color w:val="000000" w:themeColor="text1"/>
                      <w:sz w:val="21"/>
                      <w:szCs w:val="21"/>
                    </w:rPr>
                    <w:t>废水治理</w:t>
                  </w:r>
                </w:p>
              </w:tc>
              <w:tc>
                <w:tcPr>
                  <w:tcW w:w="3045" w:type="pct"/>
                  <w:gridSpan w:val="4"/>
                  <w:noWrap w:val="0"/>
                  <w:vAlign w:val="center"/>
                </w:tcPr>
                <w:p w14:paraId="3D842012">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Times New Roman" w:hAnsi="Times New Roman" w:eastAsia="宋体" w:cs="Times New Roman"/>
                      <w:bCs/>
                      <w:color w:val="0000FF"/>
                      <w:sz w:val="21"/>
                      <w:szCs w:val="21"/>
                      <w:lang w:eastAsia="zh-CN"/>
                    </w:rPr>
                  </w:pPr>
                  <w:r>
                    <w:rPr>
                      <w:rFonts w:hint="default" w:ascii="Times New Roman" w:hAnsi="Times New Roman" w:cs="Times New Roman"/>
                      <w:color w:val="auto"/>
                      <w:kern w:val="0"/>
                      <w:sz w:val="21"/>
                      <w:szCs w:val="21"/>
                    </w:rPr>
                    <w:t>生活污水经化粪池处理后，由市政污水管网接入</w:t>
                  </w:r>
                  <w:r>
                    <w:rPr>
                      <w:rFonts w:hint="default" w:ascii="Times New Roman" w:hAnsi="Times New Roman"/>
                      <w:color w:val="auto"/>
                      <w:sz w:val="21"/>
                      <w:szCs w:val="21"/>
                      <w:lang w:eastAsia="zh-CN"/>
                    </w:rPr>
                    <w:t>淮南经济技术开发区工业污水处理厂</w:t>
                  </w:r>
                  <w:r>
                    <w:rPr>
                      <w:rFonts w:hint="default" w:ascii="Times New Roman" w:hAnsi="Times New Roman" w:cs="Times New Roman"/>
                      <w:color w:val="000000" w:themeColor="text1"/>
                      <w:kern w:val="0"/>
                      <w:sz w:val="21"/>
                      <w:szCs w:val="21"/>
                    </w:rPr>
                    <w:t>处理</w:t>
                  </w:r>
                  <w:r>
                    <w:rPr>
                      <w:rFonts w:hint="default" w:ascii="Times New Roman" w:hAnsi="Times New Roman" w:cs="Times New Roman"/>
                      <w:color w:val="000000" w:themeColor="text1"/>
                      <w:kern w:val="0"/>
                      <w:sz w:val="21"/>
                      <w:szCs w:val="21"/>
                      <w:lang w:eastAsia="zh-CN"/>
                    </w:rPr>
                    <w:t>。</w:t>
                  </w:r>
                </w:p>
              </w:tc>
              <w:tc>
                <w:tcPr>
                  <w:tcW w:w="890" w:type="pct"/>
                  <w:noWrap w:val="0"/>
                  <w:vAlign w:val="center"/>
                </w:tcPr>
                <w:p w14:paraId="65E73696">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Times New Roman" w:hAnsi="Times New Roman" w:eastAsia="Times New Roman" w:cs="Times New Roman"/>
                      <w:color w:val="000000" w:themeColor="text1"/>
                      <w:sz w:val="21"/>
                      <w:szCs w:val="21"/>
                      <w:lang w:val="en-US" w:eastAsia="zh-CN"/>
                    </w:rPr>
                  </w:pPr>
                  <w:r>
                    <w:rPr>
                      <w:rFonts w:hint="default" w:ascii="Times New Roman" w:hAnsi="Times New Roman" w:eastAsia="Times New Roman" w:cs="Times New Roman"/>
                      <w:color w:val="000000" w:themeColor="text1"/>
                      <w:sz w:val="21"/>
                      <w:szCs w:val="21"/>
                      <w:lang w:val="en-US" w:eastAsia="zh-CN"/>
                    </w:rPr>
                    <w:t>依托</w:t>
                  </w:r>
                </w:p>
              </w:tc>
            </w:tr>
            <w:tr w14:paraId="0B5B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91" w:type="pct"/>
                  <w:vMerge w:val="continue"/>
                  <w:noWrap w:val="0"/>
                  <w:vAlign w:val="center"/>
                </w:tcPr>
                <w:p w14:paraId="7EB961FE">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Cs/>
                      <w:color w:val="0000FF"/>
                      <w:sz w:val="21"/>
                      <w:szCs w:val="21"/>
                    </w:rPr>
                  </w:pPr>
                </w:p>
              </w:tc>
              <w:tc>
                <w:tcPr>
                  <w:tcW w:w="673" w:type="pct"/>
                  <w:noWrap w:val="0"/>
                  <w:vAlign w:val="center"/>
                </w:tcPr>
                <w:p w14:paraId="0F662A67">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Cs/>
                      <w:color w:val="000000" w:themeColor="text1"/>
                      <w:sz w:val="21"/>
                      <w:szCs w:val="21"/>
                    </w:rPr>
                  </w:pPr>
                  <w:r>
                    <w:rPr>
                      <w:rFonts w:hint="default" w:ascii="Times New Roman" w:hAnsi="Times New Roman" w:eastAsia="Times New Roman" w:cs="Times New Roman"/>
                      <w:bCs/>
                      <w:color w:val="000000" w:themeColor="text1"/>
                      <w:sz w:val="21"/>
                      <w:szCs w:val="21"/>
                    </w:rPr>
                    <w:t>噪声控制</w:t>
                  </w:r>
                </w:p>
              </w:tc>
              <w:tc>
                <w:tcPr>
                  <w:tcW w:w="3045" w:type="pct"/>
                  <w:gridSpan w:val="4"/>
                  <w:noWrap w:val="0"/>
                  <w:vAlign w:val="center"/>
                </w:tcPr>
                <w:p w14:paraId="4B365F5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default" w:ascii="Times New Roman" w:hAnsi="Times New Roman" w:eastAsia="Times New Roman" w:cs="Times New Roman"/>
                      <w:bCs/>
                      <w:color w:val="000000" w:themeColor="text1"/>
                      <w:sz w:val="21"/>
                      <w:szCs w:val="21"/>
                    </w:rPr>
                  </w:pPr>
                  <w:r>
                    <w:rPr>
                      <w:rFonts w:hint="default" w:ascii="Times New Roman" w:hAnsi="Times New Roman" w:eastAsia="Times New Roman" w:cs="Times New Roman"/>
                      <w:color w:val="000000" w:themeColor="text1"/>
                      <w:sz w:val="21"/>
                      <w:szCs w:val="21"/>
                    </w:rPr>
                    <w:t>基础减振、</w:t>
                  </w:r>
                  <w:r>
                    <w:rPr>
                      <w:rFonts w:hint="default" w:ascii="Times New Roman" w:hAnsi="Times New Roman" w:eastAsia="Times New Roman" w:cs="Times New Roman"/>
                      <w:bCs/>
                      <w:color w:val="000000" w:themeColor="text1"/>
                      <w:sz w:val="21"/>
                      <w:szCs w:val="21"/>
                    </w:rPr>
                    <w:t>厂房隔声，距离衰减。</w:t>
                  </w:r>
                </w:p>
              </w:tc>
              <w:tc>
                <w:tcPr>
                  <w:tcW w:w="890" w:type="pct"/>
                  <w:vMerge w:val="restart"/>
                  <w:noWrap w:val="0"/>
                  <w:vAlign w:val="center"/>
                </w:tcPr>
                <w:p w14:paraId="094DF22C">
                  <w:pPr>
                    <w:pStyle w:val="464"/>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新建</w:t>
                  </w:r>
                </w:p>
              </w:tc>
            </w:tr>
            <w:tr w14:paraId="17942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91" w:type="pct"/>
                  <w:vMerge w:val="continue"/>
                  <w:noWrap w:val="0"/>
                  <w:vAlign w:val="center"/>
                </w:tcPr>
                <w:p w14:paraId="0E3DAA9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Cs/>
                      <w:color w:val="0000FF"/>
                      <w:sz w:val="21"/>
                      <w:szCs w:val="21"/>
                    </w:rPr>
                  </w:pPr>
                </w:p>
              </w:tc>
              <w:tc>
                <w:tcPr>
                  <w:tcW w:w="673" w:type="pct"/>
                  <w:vMerge w:val="restart"/>
                  <w:noWrap w:val="0"/>
                  <w:vAlign w:val="center"/>
                </w:tcPr>
                <w:p w14:paraId="6AF7A161">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Cs/>
                      <w:color w:val="000000" w:themeColor="text1"/>
                      <w:sz w:val="21"/>
                      <w:szCs w:val="21"/>
                    </w:rPr>
                  </w:pPr>
                  <w:r>
                    <w:rPr>
                      <w:rFonts w:hint="default" w:ascii="Times New Roman" w:hAnsi="Times New Roman" w:eastAsia="Times New Roman" w:cs="Times New Roman"/>
                      <w:bCs/>
                      <w:color w:val="000000" w:themeColor="text1"/>
                      <w:sz w:val="21"/>
                      <w:szCs w:val="21"/>
                    </w:rPr>
                    <w:t>固体废物处置</w:t>
                  </w:r>
                </w:p>
              </w:tc>
              <w:tc>
                <w:tcPr>
                  <w:tcW w:w="659" w:type="pct"/>
                  <w:noWrap w:val="0"/>
                  <w:vAlign w:val="center"/>
                </w:tcPr>
                <w:p w14:paraId="3525ABAB">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themeColor="text1"/>
                      <w:sz w:val="21"/>
                      <w:szCs w:val="21"/>
                      <w:lang w:val="en-US" w:eastAsia="zh-CN"/>
                    </w:rPr>
                  </w:pPr>
                  <w:r>
                    <w:rPr>
                      <w:rFonts w:hint="default" w:ascii="Times New Roman" w:hAnsi="Times New Roman" w:eastAsia="Times New Roman" w:cs="Times New Roman"/>
                      <w:b w:val="0"/>
                      <w:bCs w:val="0"/>
                      <w:color w:val="000000" w:themeColor="text1"/>
                      <w:sz w:val="21"/>
                      <w:szCs w:val="21"/>
                      <w:lang w:val="en-US" w:eastAsia="zh-CN"/>
                    </w:rPr>
                    <w:t>一般固废</w:t>
                  </w:r>
                </w:p>
              </w:tc>
              <w:tc>
                <w:tcPr>
                  <w:tcW w:w="2386" w:type="pct"/>
                  <w:gridSpan w:val="3"/>
                  <w:noWrap w:val="0"/>
                  <w:vAlign w:val="center"/>
                </w:tcPr>
                <w:p w14:paraId="09D6899E">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default" w:ascii="Times New Roman" w:hAnsi="Times New Roman" w:eastAsia="Times New Roman" w:cs="Times New Roman"/>
                      <w:color w:val="000000" w:themeColor="text1"/>
                      <w:sz w:val="21"/>
                      <w:szCs w:val="21"/>
                    </w:rPr>
                  </w:pPr>
                  <w:r>
                    <w:rPr>
                      <w:rFonts w:hint="default" w:ascii="Times New Roman" w:hAnsi="Times New Roman" w:eastAsia="Times New Roman" w:cs="Times New Roman"/>
                      <w:color w:val="000000" w:themeColor="text1"/>
                      <w:sz w:val="21"/>
                      <w:szCs w:val="21"/>
                    </w:rPr>
                    <w:t>于</w:t>
                  </w:r>
                  <w:r>
                    <w:rPr>
                      <w:rFonts w:hint="default" w:ascii="Times New Roman" w:hAnsi="Times New Roman" w:eastAsia="Times New Roman" w:cs="Times New Roman"/>
                      <w:color w:val="000000" w:themeColor="text1"/>
                      <w:sz w:val="21"/>
                      <w:szCs w:val="21"/>
                      <w:lang w:val="en-US" w:eastAsia="zh-CN"/>
                    </w:rPr>
                    <w:t>厂房内南侧设置一间</w:t>
                  </w:r>
                  <w:r>
                    <w:rPr>
                      <w:rFonts w:hint="default" w:ascii="Times New Roman" w:hAnsi="Times New Roman" w:eastAsia="Times New Roman" w:cs="Times New Roman"/>
                      <w:color w:val="000000" w:themeColor="text1"/>
                      <w:sz w:val="21"/>
                      <w:szCs w:val="21"/>
                    </w:rPr>
                    <w:t>一般固体废物</w:t>
                  </w:r>
                  <w:r>
                    <w:rPr>
                      <w:rFonts w:hint="default" w:ascii="Times New Roman" w:hAnsi="Times New Roman" w:eastAsia="Times New Roman" w:cs="Times New Roman"/>
                      <w:color w:val="000000" w:themeColor="text1"/>
                      <w:sz w:val="21"/>
                      <w:szCs w:val="21"/>
                      <w:lang w:val="en-US" w:eastAsia="zh-CN"/>
                    </w:rPr>
                    <w:t>暂存间</w:t>
                  </w:r>
                  <w:r>
                    <w:rPr>
                      <w:rFonts w:hint="default" w:ascii="Times New Roman" w:hAnsi="Times New Roman" w:eastAsia="Times New Roman" w:cs="Times New Roman"/>
                      <w:color w:val="000000" w:themeColor="text1"/>
                      <w:sz w:val="21"/>
                      <w:szCs w:val="21"/>
                    </w:rPr>
                    <w:t>，占地面积</w:t>
                  </w:r>
                  <w:r>
                    <w:rPr>
                      <w:rFonts w:hint="eastAsia" w:ascii="Times New Roman" w:hAnsi="Times New Roman" w:eastAsia="Times New Roman" w:cs="Times New Roman"/>
                      <w:color w:val="000000" w:themeColor="text1"/>
                      <w:sz w:val="21"/>
                      <w:szCs w:val="21"/>
                      <w:lang w:val="en-US" w:eastAsia="zh-CN"/>
                    </w:rPr>
                    <w:t>20</w:t>
                  </w:r>
                  <w:r>
                    <w:rPr>
                      <w:rFonts w:hint="default" w:ascii="Times New Roman" w:hAnsi="Times New Roman" w:eastAsia="Times New Roman" w:cs="Times New Roman"/>
                      <w:color w:val="000000" w:themeColor="text1"/>
                      <w:sz w:val="21"/>
                      <w:szCs w:val="21"/>
                    </w:rPr>
                    <w:t>m</w:t>
                  </w:r>
                  <w:r>
                    <w:rPr>
                      <w:rFonts w:hint="default" w:ascii="Times New Roman" w:hAnsi="Times New Roman" w:eastAsia="Times New Roman" w:cs="Times New Roman"/>
                      <w:color w:val="000000" w:themeColor="text1"/>
                      <w:sz w:val="21"/>
                      <w:szCs w:val="21"/>
                      <w:vertAlign w:val="superscript"/>
                    </w:rPr>
                    <w:t>2</w:t>
                  </w:r>
                  <w:r>
                    <w:rPr>
                      <w:rFonts w:hint="default" w:ascii="Times New Roman" w:hAnsi="Times New Roman" w:eastAsia="Times New Roman" w:cs="Times New Roman"/>
                      <w:color w:val="000000" w:themeColor="text1"/>
                      <w:sz w:val="21"/>
                      <w:szCs w:val="21"/>
                      <w:vertAlign w:val="baseline"/>
                      <w:lang w:eastAsia="zh-CN"/>
                    </w:rPr>
                    <w:t>。</w:t>
                  </w:r>
                  <w:r>
                    <w:rPr>
                      <w:rFonts w:hint="default" w:ascii="Times New Roman" w:hAnsi="Times New Roman" w:cs="Times New Roman"/>
                      <w:color w:val="000000" w:themeColor="text1"/>
                      <w:sz w:val="21"/>
                      <w:szCs w:val="21"/>
                      <w:lang w:eastAsia="zh-CN"/>
                    </w:rPr>
                    <w:t>用于</w:t>
                  </w:r>
                  <w:r>
                    <w:rPr>
                      <w:rFonts w:hint="default" w:ascii="Times New Roman" w:hAnsi="Times New Roman" w:cs="Times New Roman"/>
                      <w:color w:val="000000" w:themeColor="text1"/>
                      <w:sz w:val="21"/>
                      <w:szCs w:val="21"/>
                      <w:lang w:val="en-US" w:eastAsia="zh-CN"/>
                    </w:rPr>
                    <w:t>不合格品暂存</w:t>
                  </w:r>
                  <w:r>
                    <w:rPr>
                      <w:rFonts w:hint="eastAsia" w:ascii="Times New Roman" w:hAnsi="Times New Roman" w:cs="Times New Roman"/>
                      <w:color w:val="000000" w:themeColor="text1"/>
                      <w:sz w:val="21"/>
                      <w:szCs w:val="21"/>
                      <w:lang w:val="en-US" w:eastAsia="zh-CN"/>
                    </w:rPr>
                    <w:t>，</w:t>
                  </w:r>
                  <w:r>
                    <w:rPr>
                      <w:rFonts w:hint="default" w:ascii="Times New Roman" w:hAnsi="Times New Roman" w:cs="Times New Roman"/>
                      <w:color w:val="000000" w:themeColor="text1"/>
                      <w:sz w:val="21"/>
                      <w:szCs w:val="21"/>
                      <w:lang w:val="en-US" w:eastAsia="zh-CN"/>
                    </w:rPr>
                    <w:t>收集后外售</w:t>
                  </w:r>
                  <w:r>
                    <w:rPr>
                      <w:rFonts w:hint="default" w:ascii="Times New Roman" w:hAnsi="Times New Roman" w:cs="Times New Roman"/>
                      <w:color w:val="000000" w:themeColor="text1"/>
                      <w:sz w:val="21"/>
                      <w:szCs w:val="21"/>
                      <w:lang w:eastAsia="zh-CN"/>
                    </w:rPr>
                    <w:t>。</w:t>
                  </w:r>
                </w:p>
              </w:tc>
              <w:tc>
                <w:tcPr>
                  <w:tcW w:w="890" w:type="pct"/>
                  <w:vMerge w:val="continue"/>
                  <w:noWrap w:val="0"/>
                  <w:vAlign w:val="center"/>
                </w:tcPr>
                <w:p w14:paraId="482C26F4">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color w:val="0000FF"/>
                      <w:sz w:val="21"/>
                      <w:szCs w:val="21"/>
                    </w:rPr>
                  </w:pPr>
                </w:p>
              </w:tc>
            </w:tr>
            <w:tr w14:paraId="072AE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91" w:type="pct"/>
                  <w:vMerge w:val="continue"/>
                  <w:noWrap w:val="0"/>
                  <w:vAlign w:val="center"/>
                </w:tcPr>
                <w:p w14:paraId="14BA32C3">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default" w:ascii="Times New Roman" w:hAnsi="Times New Roman" w:eastAsia="Times New Roman" w:cs="Times New Roman"/>
                      <w:color w:val="0000FF"/>
                      <w:sz w:val="21"/>
                      <w:szCs w:val="21"/>
                    </w:rPr>
                  </w:pPr>
                </w:p>
              </w:tc>
              <w:tc>
                <w:tcPr>
                  <w:tcW w:w="673" w:type="pct"/>
                  <w:vMerge w:val="continue"/>
                  <w:noWrap w:val="0"/>
                  <w:vAlign w:val="center"/>
                </w:tcPr>
                <w:p w14:paraId="15BD7BB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default" w:ascii="Times New Roman" w:hAnsi="Times New Roman" w:eastAsia="Times New Roman" w:cs="Times New Roman"/>
                      <w:color w:val="0000FF"/>
                      <w:sz w:val="21"/>
                      <w:szCs w:val="21"/>
                    </w:rPr>
                  </w:pPr>
                </w:p>
              </w:tc>
              <w:tc>
                <w:tcPr>
                  <w:tcW w:w="659" w:type="pct"/>
                  <w:noWrap w:val="0"/>
                  <w:vAlign w:val="center"/>
                </w:tcPr>
                <w:p w14:paraId="55B9D71E">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themeColor="text1"/>
                      <w:sz w:val="21"/>
                      <w:szCs w:val="21"/>
                      <w:lang w:val="en-US" w:eastAsia="zh-CN"/>
                    </w:rPr>
                  </w:pPr>
                  <w:r>
                    <w:rPr>
                      <w:rFonts w:hint="default" w:ascii="Times New Roman" w:hAnsi="Times New Roman" w:eastAsia="Times New Roman" w:cs="Times New Roman"/>
                      <w:b w:val="0"/>
                      <w:bCs w:val="0"/>
                      <w:color w:val="000000" w:themeColor="text1"/>
                      <w:sz w:val="21"/>
                      <w:szCs w:val="21"/>
                      <w:lang w:val="en-US" w:eastAsia="zh-CN"/>
                    </w:rPr>
                    <w:t>危废</w:t>
                  </w:r>
                </w:p>
              </w:tc>
              <w:tc>
                <w:tcPr>
                  <w:tcW w:w="2386" w:type="pct"/>
                  <w:gridSpan w:val="3"/>
                  <w:noWrap w:val="0"/>
                  <w:vAlign w:val="center"/>
                </w:tcPr>
                <w:p w14:paraId="6F2B9229">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default" w:ascii="Times New Roman" w:hAnsi="Times New Roman" w:eastAsia="Times New Roman" w:cs="Times New Roman"/>
                      <w:color w:val="000000" w:themeColor="text1"/>
                      <w:sz w:val="21"/>
                      <w:szCs w:val="21"/>
                    </w:rPr>
                  </w:pPr>
                  <w:r>
                    <w:rPr>
                      <w:rFonts w:hint="default" w:ascii="Times New Roman" w:hAnsi="Times New Roman" w:eastAsia="Times New Roman" w:cs="Times New Roman"/>
                      <w:color w:val="000000" w:themeColor="text1"/>
                      <w:sz w:val="21"/>
                      <w:szCs w:val="21"/>
                    </w:rPr>
                    <w:t>于</w:t>
                  </w:r>
                  <w:r>
                    <w:rPr>
                      <w:rFonts w:hint="default" w:ascii="Times New Roman" w:hAnsi="Times New Roman" w:eastAsia="Times New Roman" w:cs="Times New Roman"/>
                      <w:color w:val="000000" w:themeColor="text1"/>
                      <w:sz w:val="21"/>
                      <w:szCs w:val="21"/>
                      <w:lang w:val="en-US" w:eastAsia="zh-CN"/>
                    </w:rPr>
                    <w:t>厂房内南侧设置一间</w:t>
                  </w:r>
                  <w:r>
                    <w:rPr>
                      <w:rFonts w:hint="default" w:ascii="Times New Roman" w:hAnsi="Times New Roman" w:eastAsia="Times New Roman" w:cs="Times New Roman"/>
                      <w:b w:val="0"/>
                      <w:bCs w:val="0"/>
                      <w:color w:val="000000" w:themeColor="text1"/>
                      <w:sz w:val="21"/>
                      <w:szCs w:val="21"/>
                    </w:rPr>
                    <w:t>危废</w:t>
                  </w:r>
                  <w:r>
                    <w:rPr>
                      <w:rFonts w:hint="default" w:ascii="Times New Roman" w:hAnsi="Times New Roman" w:eastAsia="Times New Roman" w:cs="Times New Roman"/>
                      <w:b w:val="0"/>
                      <w:bCs w:val="0"/>
                      <w:color w:val="000000" w:themeColor="text1"/>
                      <w:sz w:val="21"/>
                      <w:szCs w:val="21"/>
                      <w:lang w:val="en-US" w:eastAsia="zh-CN"/>
                    </w:rPr>
                    <w:t>暂存</w:t>
                  </w:r>
                  <w:r>
                    <w:rPr>
                      <w:rFonts w:hint="default" w:ascii="Times New Roman" w:hAnsi="Times New Roman" w:eastAsia="Times New Roman" w:cs="Times New Roman"/>
                      <w:b w:val="0"/>
                      <w:bCs w:val="0"/>
                      <w:color w:val="000000" w:themeColor="text1"/>
                      <w:sz w:val="21"/>
                      <w:szCs w:val="21"/>
                    </w:rPr>
                    <w:t>间</w:t>
                  </w:r>
                  <w:r>
                    <w:rPr>
                      <w:rFonts w:hint="default" w:ascii="Times New Roman" w:hAnsi="Times New Roman" w:eastAsia="Times New Roman" w:cs="Times New Roman"/>
                      <w:color w:val="000000" w:themeColor="text1"/>
                      <w:sz w:val="21"/>
                      <w:szCs w:val="21"/>
                    </w:rPr>
                    <w:t>，占地面积</w:t>
                  </w:r>
                  <w:r>
                    <w:rPr>
                      <w:rFonts w:hint="eastAsia" w:ascii="Times New Roman" w:hAnsi="Times New Roman" w:eastAsia="Times New Roman" w:cs="Times New Roman"/>
                      <w:color w:val="000000" w:themeColor="text1"/>
                      <w:sz w:val="21"/>
                      <w:szCs w:val="21"/>
                      <w:lang w:val="en-US" w:eastAsia="zh-CN"/>
                    </w:rPr>
                    <w:t>20</w:t>
                  </w:r>
                  <w:r>
                    <w:rPr>
                      <w:rFonts w:hint="default" w:ascii="Times New Roman" w:hAnsi="Times New Roman" w:eastAsia="Times New Roman" w:cs="Times New Roman"/>
                      <w:color w:val="000000" w:themeColor="text1"/>
                      <w:sz w:val="21"/>
                      <w:szCs w:val="21"/>
                    </w:rPr>
                    <w:t>m</w:t>
                  </w:r>
                  <w:r>
                    <w:rPr>
                      <w:rFonts w:hint="default" w:ascii="Times New Roman" w:hAnsi="Times New Roman" w:eastAsia="Times New Roman" w:cs="Times New Roman"/>
                      <w:color w:val="000000" w:themeColor="text1"/>
                      <w:sz w:val="21"/>
                      <w:szCs w:val="21"/>
                      <w:vertAlign w:val="superscript"/>
                    </w:rPr>
                    <w:t>2</w:t>
                  </w:r>
                  <w:r>
                    <w:rPr>
                      <w:rFonts w:hint="default" w:ascii="Times New Roman" w:hAnsi="Times New Roman" w:eastAsia="Times New Roman" w:cs="Times New Roman"/>
                      <w:color w:val="000000" w:themeColor="text1"/>
                      <w:sz w:val="21"/>
                      <w:szCs w:val="21"/>
                      <w:vertAlign w:val="baseline"/>
                      <w:lang w:eastAsia="zh-CN"/>
                    </w:rPr>
                    <w:t>。</w:t>
                  </w:r>
                  <w:r>
                    <w:rPr>
                      <w:rFonts w:hint="default" w:ascii="Times New Roman" w:hAnsi="Times New Roman" w:eastAsia="Times New Roman" w:cs="Times New Roman"/>
                      <w:color w:val="000000" w:themeColor="text1"/>
                      <w:sz w:val="21"/>
                      <w:szCs w:val="21"/>
                    </w:rPr>
                    <w:t>严格</w:t>
                  </w:r>
                  <w:r>
                    <w:rPr>
                      <w:rFonts w:hint="default" w:ascii="Times New Roman" w:hAnsi="Times New Roman" w:eastAsia="宋体" w:cs="Times New Roman"/>
                      <w:color w:val="000000" w:themeColor="text1"/>
                      <w:sz w:val="21"/>
                      <w:szCs w:val="21"/>
                    </w:rPr>
                    <w:t>落</w:t>
                  </w:r>
                  <w:r>
                    <w:rPr>
                      <w:rFonts w:hint="eastAsia" w:ascii="宋体" w:hAnsi="宋体" w:eastAsia="宋体" w:cs="宋体"/>
                      <w:color w:val="000000" w:themeColor="text1"/>
                      <w:sz w:val="21"/>
                      <w:szCs w:val="21"/>
                    </w:rPr>
                    <w:t>实“四防”(防风、防雨、防晒、防渗漏)控制措施</w:t>
                  </w:r>
                  <w:r>
                    <w:rPr>
                      <w:rFonts w:hint="default" w:ascii="Times New Roman" w:hAnsi="Times New Roman" w:eastAsia="Times New Roman" w:cs="Times New Roman"/>
                      <w:color w:val="000000" w:themeColor="text1"/>
                      <w:sz w:val="21"/>
                      <w:szCs w:val="21"/>
                    </w:rPr>
                    <w:t>，地面进行防腐并设置有防渗漏垫板，并配套危险废物堆放方式、警示标识等方面内容</w:t>
                  </w:r>
                  <w:r>
                    <w:rPr>
                      <w:rFonts w:hint="default" w:ascii="Times New Roman" w:hAnsi="Times New Roman" w:eastAsia="Times New Roman" w:cs="Times New Roman"/>
                      <w:color w:val="000000" w:themeColor="text1"/>
                      <w:sz w:val="21"/>
                      <w:szCs w:val="21"/>
                      <w:lang w:eastAsia="zh-CN"/>
                    </w:rPr>
                    <w:t>，</w:t>
                  </w:r>
                  <w:r>
                    <w:rPr>
                      <w:rFonts w:hint="default" w:ascii="Times New Roman" w:hAnsi="Times New Roman" w:eastAsia="Times New Roman" w:cs="Times New Roman"/>
                      <w:color w:val="000000" w:themeColor="text1"/>
                      <w:sz w:val="21"/>
                      <w:szCs w:val="21"/>
                      <w:lang w:val="en-US" w:eastAsia="zh-CN"/>
                    </w:rPr>
                    <w:t>项目所产生的</w:t>
                  </w:r>
                  <w:r>
                    <w:rPr>
                      <w:rFonts w:hint="eastAsia" w:ascii="Times New Roman" w:hAnsi="Times New Roman" w:eastAsia="Times New Roman" w:cs="Times New Roman"/>
                      <w:color w:val="000000" w:themeColor="text1"/>
                      <w:sz w:val="21"/>
                      <w:szCs w:val="21"/>
                      <w:lang w:val="en-US" w:eastAsia="zh-CN"/>
                    </w:rPr>
                    <w:t>油污、油泥、废活性炭、废润滑油、废包装桶等</w:t>
                  </w:r>
                  <w:r>
                    <w:rPr>
                      <w:rFonts w:hint="default" w:ascii="Times New Roman" w:hAnsi="Times New Roman" w:eastAsia="Times New Roman" w:cs="Times New Roman"/>
                      <w:b w:val="0"/>
                      <w:bCs w:val="0"/>
                      <w:color w:val="000000" w:themeColor="text1"/>
                      <w:sz w:val="21"/>
                      <w:szCs w:val="21"/>
                    </w:rPr>
                    <w:t>收集</w:t>
                  </w:r>
                  <w:r>
                    <w:rPr>
                      <w:rFonts w:hint="default" w:ascii="Times New Roman" w:hAnsi="Times New Roman" w:eastAsia="Times New Roman" w:cs="Times New Roman"/>
                      <w:b w:val="0"/>
                      <w:bCs w:val="0"/>
                      <w:color w:val="000000" w:themeColor="text1"/>
                      <w:sz w:val="21"/>
                      <w:szCs w:val="21"/>
                      <w:lang w:val="en-US" w:eastAsia="zh-CN"/>
                    </w:rPr>
                    <w:t>暂存</w:t>
                  </w:r>
                  <w:r>
                    <w:rPr>
                      <w:rFonts w:hint="default" w:ascii="Times New Roman" w:hAnsi="Times New Roman" w:eastAsia="Times New Roman" w:cs="Times New Roman"/>
                      <w:b w:val="0"/>
                      <w:bCs w:val="0"/>
                      <w:color w:val="000000" w:themeColor="text1"/>
                      <w:sz w:val="21"/>
                      <w:szCs w:val="21"/>
                    </w:rPr>
                    <w:t>于</w:t>
                  </w:r>
                  <w:r>
                    <w:rPr>
                      <w:rFonts w:hint="default" w:ascii="Times New Roman" w:hAnsi="Times New Roman" w:eastAsia="Times New Roman" w:cs="Times New Roman"/>
                      <w:b w:val="0"/>
                      <w:bCs w:val="0"/>
                      <w:color w:val="000000" w:themeColor="text1"/>
                      <w:sz w:val="21"/>
                      <w:szCs w:val="21"/>
                      <w:lang w:val="en-US" w:eastAsia="zh-CN"/>
                    </w:rPr>
                    <w:t>危废暂存间内</w:t>
                  </w:r>
                  <w:r>
                    <w:rPr>
                      <w:rFonts w:hint="default" w:ascii="Times New Roman" w:hAnsi="Times New Roman" w:eastAsia="Times New Roman" w:cs="Times New Roman"/>
                      <w:b w:val="0"/>
                      <w:bCs w:val="0"/>
                      <w:color w:val="000000" w:themeColor="text1"/>
                      <w:sz w:val="21"/>
                      <w:szCs w:val="21"/>
                      <w:lang w:eastAsia="zh-CN"/>
                    </w:rPr>
                    <w:t>，</w:t>
                  </w:r>
                  <w:r>
                    <w:rPr>
                      <w:rFonts w:hint="default" w:ascii="Times New Roman" w:hAnsi="Times New Roman" w:eastAsia="Times New Roman" w:cs="Times New Roman"/>
                      <w:b w:val="0"/>
                      <w:bCs w:val="0"/>
                      <w:color w:val="000000" w:themeColor="text1"/>
                      <w:sz w:val="21"/>
                      <w:szCs w:val="21"/>
                    </w:rPr>
                    <w:t>委托有资质单位处理。</w:t>
                  </w:r>
                </w:p>
              </w:tc>
              <w:tc>
                <w:tcPr>
                  <w:tcW w:w="890" w:type="pct"/>
                  <w:vMerge w:val="continue"/>
                  <w:noWrap w:val="0"/>
                  <w:vAlign w:val="center"/>
                </w:tcPr>
                <w:p w14:paraId="39997D9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color w:val="0000FF"/>
                      <w:sz w:val="21"/>
                      <w:szCs w:val="21"/>
                    </w:rPr>
                  </w:pPr>
                </w:p>
              </w:tc>
            </w:tr>
            <w:tr w14:paraId="6AE6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91" w:type="pct"/>
                  <w:vMerge w:val="continue"/>
                  <w:noWrap w:val="0"/>
                  <w:vAlign w:val="center"/>
                </w:tcPr>
                <w:p w14:paraId="491CD75A">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Cs/>
                      <w:color w:val="0000FF"/>
                      <w:sz w:val="21"/>
                      <w:szCs w:val="21"/>
                    </w:rPr>
                  </w:pPr>
                </w:p>
              </w:tc>
              <w:tc>
                <w:tcPr>
                  <w:tcW w:w="673" w:type="pct"/>
                  <w:vMerge w:val="continue"/>
                  <w:noWrap w:val="0"/>
                  <w:vAlign w:val="center"/>
                </w:tcPr>
                <w:p w14:paraId="4D8CE2D3">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Cs/>
                      <w:color w:val="0000FF"/>
                      <w:sz w:val="21"/>
                      <w:szCs w:val="21"/>
                    </w:rPr>
                  </w:pPr>
                </w:p>
              </w:tc>
              <w:tc>
                <w:tcPr>
                  <w:tcW w:w="659" w:type="pct"/>
                  <w:noWrap w:val="0"/>
                  <w:vAlign w:val="center"/>
                </w:tcPr>
                <w:p w14:paraId="523AAB03">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 w:val="0"/>
                      <w:bCs w:val="0"/>
                      <w:color w:val="000000" w:themeColor="text1"/>
                      <w:sz w:val="21"/>
                      <w:szCs w:val="21"/>
                    </w:rPr>
                  </w:pPr>
                  <w:r>
                    <w:rPr>
                      <w:rFonts w:hint="default" w:ascii="Times New Roman" w:hAnsi="Times New Roman" w:eastAsia="Times New Roman" w:cs="Times New Roman"/>
                      <w:b w:val="0"/>
                      <w:bCs w:val="0"/>
                      <w:color w:val="000000" w:themeColor="text1"/>
                      <w:sz w:val="21"/>
                      <w:szCs w:val="21"/>
                    </w:rPr>
                    <w:t>生活垃圾</w:t>
                  </w:r>
                </w:p>
              </w:tc>
              <w:tc>
                <w:tcPr>
                  <w:tcW w:w="2386" w:type="pct"/>
                  <w:gridSpan w:val="3"/>
                  <w:noWrap w:val="0"/>
                  <w:vAlign w:val="center"/>
                </w:tcPr>
                <w:p w14:paraId="37C0F7D9">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default" w:ascii="Times New Roman" w:hAnsi="Times New Roman" w:eastAsia="Times New Roman" w:cs="Times New Roman"/>
                      <w:b w:val="0"/>
                      <w:bCs w:val="0"/>
                      <w:color w:val="000000" w:themeColor="text1"/>
                      <w:sz w:val="21"/>
                      <w:szCs w:val="21"/>
                    </w:rPr>
                  </w:pPr>
                  <w:r>
                    <w:rPr>
                      <w:rFonts w:hint="default" w:ascii="Times New Roman" w:hAnsi="Times New Roman" w:eastAsia="Times New Roman" w:cs="Times New Roman"/>
                      <w:b w:val="0"/>
                      <w:bCs w:val="0"/>
                      <w:color w:val="000000" w:themeColor="text1"/>
                      <w:sz w:val="21"/>
                      <w:szCs w:val="21"/>
                    </w:rPr>
                    <w:t>集中收集，</w:t>
                  </w:r>
                  <w:r>
                    <w:rPr>
                      <w:rFonts w:hint="default" w:ascii="Times New Roman" w:hAnsi="Times New Roman" w:eastAsia="Times New Roman" w:cs="Times New Roman"/>
                      <w:b w:val="0"/>
                      <w:bCs w:val="0"/>
                      <w:color w:val="000000" w:themeColor="text1"/>
                      <w:sz w:val="21"/>
                      <w:szCs w:val="21"/>
                      <w:lang w:val="en-US" w:eastAsia="zh-CN"/>
                    </w:rPr>
                    <w:t>由</w:t>
                  </w:r>
                  <w:r>
                    <w:rPr>
                      <w:rFonts w:hint="default" w:ascii="Times New Roman" w:hAnsi="Times New Roman" w:eastAsia="Times New Roman" w:cs="Times New Roman"/>
                      <w:b w:val="0"/>
                      <w:bCs w:val="0"/>
                      <w:color w:val="000000" w:themeColor="text1"/>
                      <w:sz w:val="21"/>
                      <w:szCs w:val="21"/>
                    </w:rPr>
                    <w:t>环卫部门</w:t>
                  </w:r>
                  <w:r>
                    <w:rPr>
                      <w:rFonts w:hint="default" w:ascii="Times New Roman" w:hAnsi="Times New Roman" w:eastAsia="Times New Roman" w:cs="Times New Roman"/>
                      <w:b w:val="0"/>
                      <w:bCs w:val="0"/>
                      <w:color w:val="000000" w:themeColor="text1"/>
                      <w:sz w:val="21"/>
                      <w:szCs w:val="21"/>
                      <w:lang w:val="en-US" w:eastAsia="zh-CN"/>
                    </w:rPr>
                    <w:t>统一</w:t>
                  </w:r>
                  <w:r>
                    <w:rPr>
                      <w:rFonts w:hint="default" w:ascii="Times New Roman" w:hAnsi="Times New Roman" w:eastAsia="Times New Roman" w:cs="Times New Roman"/>
                      <w:b w:val="0"/>
                      <w:bCs w:val="0"/>
                      <w:color w:val="000000" w:themeColor="text1"/>
                      <w:sz w:val="21"/>
                      <w:szCs w:val="21"/>
                    </w:rPr>
                    <w:t>清运</w:t>
                  </w:r>
                </w:p>
              </w:tc>
              <w:tc>
                <w:tcPr>
                  <w:tcW w:w="890" w:type="pct"/>
                  <w:vMerge w:val="continue"/>
                  <w:noWrap w:val="0"/>
                  <w:vAlign w:val="center"/>
                </w:tcPr>
                <w:p w14:paraId="61B72A2B">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 w:val="0"/>
                      <w:bCs w:val="0"/>
                      <w:color w:val="0000FF"/>
                      <w:sz w:val="21"/>
                      <w:szCs w:val="21"/>
                    </w:rPr>
                  </w:pPr>
                </w:p>
              </w:tc>
            </w:tr>
            <w:tr w14:paraId="1DB29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91" w:type="pct"/>
                  <w:vMerge w:val="continue"/>
                  <w:noWrap w:val="0"/>
                  <w:vAlign w:val="center"/>
                </w:tcPr>
                <w:p w14:paraId="45129834">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Cs/>
                      <w:color w:val="0000FF"/>
                      <w:sz w:val="21"/>
                      <w:szCs w:val="21"/>
                    </w:rPr>
                  </w:pPr>
                </w:p>
              </w:tc>
              <w:tc>
                <w:tcPr>
                  <w:tcW w:w="673" w:type="pct"/>
                  <w:noWrap w:val="0"/>
                  <w:vAlign w:val="center"/>
                </w:tcPr>
                <w:p w14:paraId="25208412">
                  <w:pPr>
                    <w:pStyle w:val="464"/>
                    <w:keepNext w:val="0"/>
                    <w:keepLines w:val="0"/>
                    <w:suppressLineNumbers w:val="0"/>
                    <w:spacing w:before="0" w:beforeAutospacing="0" w:after="0" w:afterAutospacing="0"/>
                    <w:ind w:left="0" w:right="0"/>
                    <w:rPr>
                      <w:rFonts w:hint="default" w:ascii="Times New Roman" w:hAnsi="Times New Roman" w:eastAsia="Times New Roman" w:cs="Times New Roman"/>
                      <w:bCs/>
                      <w:color w:val="000000" w:themeColor="text1"/>
                      <w:sz w:val="21"/>
                      <w:szCs w:val="21"/>
                    </w:rPr>
                  </w:pPr>
                  <w:r>
                    <w:rPr>
                      <w:rFonts w:hint="default" w:ascii="Times New Roman" w:hAnsi="Times New Roman" w:eastAsia="Times New Roman" w:cs="Times New Roman"/>
                      <w:color w:val="000000" w:themeColor="text1"/>
                      <w:sz w:val="21"/>
                      <w:szCs w:val="21"/>
                    </w:rPr>
                    <w:t>地下水防治措施</w:t>
                  </w:r>
                </w:p>
              </w:tc>
              <w:tc>
                <w:tcPr>
                  <w:tcW w:w="3045" w:type="pct"/>
                  <w:gridSpan w:val="4"/>
                  <w:noWrap w:val="0"/>
                  <w:vAlign w:val="center"/>
                </w:tcPr>
                <w:p w14:paraId="1FE432B1">
                  <w:pPr>
                    <w:pStyle w:val="464"/>
                    <w:keepNext w:val="0"/>
                    <w:keepLines w:val="0"/>
                    <w:suppressLineNumbers w:val="0"/>
                    <w:spacing w:before="0" w:beforeAutospacing="0" w:after="0" w:afterAutospacing="0"/>
                    <w:ind w:left="0" w:right="0"/>
                    <w:jc w:val="both"/>
                    <w:rPr>
                      <w:rFonts w:hint="default" w:ascii="Times New Roman" w:hAnsi="Times New Roman" w:eastAsia="Times New Roman" w:cs="Times New Roman"/>
                      <w:b/>
                      <w:bCs/>
                      <w:color w:val="000000" w:themeColor="text1"/>
                      <w:sz w:val="21"/>
                      <w:szCs w:val="21"/>
                      <w:lang w:val="en-US" w:eastAsia="zh-CN"/>
                    </w:rPr>
                  </w:pPr>
                  <w:r>
                    <w:rPr>
                      <w:rFonts w:hint="default" w:ascii="Times New Roman" w:hAnsi="Times New Roman" w:eastAsia="Times New Roman" w:cs="Times New Roman"/>
                      <w:color w:val="000000" w:themeColor="text1"/>
                      <w:sz w:val="21"/>
                      <w:szCs w:val="21"/>
                    </w:rPr>
                    <w:t>严格按照分区防渗的原则开展厂区防渗工作</w:t>
                  </w:r>
                </w:p>
              </w:tc>
              <w:tc>
                <w:tcPr>
                  <w:tcW w:w="890" w:type="pct"/>
                  <w:vMerge w:val="continue"/>
                  <w:noWrap w:val="0"/>
                  <w:vAlign w:val="center"/>
                </w:tcPr>
                <w:p w14:paraId="6F448711">
                  <w:pPr>
                    <w:pStyle w:val="464"/>
                    <w:keepNext w:val="0"/>
                    <w:keepLines w:val="0"/>
                    <w:suppressLineNumbers w:val="0"/>
                    <w:spacing w:before="0" w:beforeAutospacing="0" w:after="0" w:afterAutospacing="0"/>
                    <w:ind w:left="0" w:right="0"/>
                    <w:jc w:val="center"/>
                    <w:rPr>
                      <w:rFonts w:hint="default" w:ascii="Times New Roman" w:hAnsi="Times New Roman" w:eastAsia="Times New Roman" w:cs="Times New Roman"/>
                      <w:color w:val="0000FF"/>
                      <w:sz w:val="21"/>
                      <w:szCs w:val="21"/>
                    </w:rPr>
                  </w:pPr>
                </w:p>
              </w:tc>
            </w:tr>
            <w:tr w14:paraId="24F5C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91" w:type="pct"/>
                  <w:vMerge w:val="continue"/>
                  <w:noWrap w:val="0"/>
                  <w:vAlign w:val="center"/>
                </w:tcPr>
                <w:p w14:paraId="0EBA01B3">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Times New Roman" w:cs="Times New Roman"/>
                      <w:bCs/>
                      <w:color w:val="0000FF"/>
                      <w:sz w:val="21"/>
                      <w:szCs w:val="21"/>
                    </w:rPr>
                  </w:pPr>
                </w:p>
              </w:tc>
              <w:tc>
                <w:tcPr>
                  <w:tcW w:w="673" w:type="pct"/>
                  <w:noWrap w:val="0"/>
                  <w:vAlign w:val="center"/>
                </w:tcPr>
                <w:p w14:paraId="273B3B9E">
                  <w:pPr>
                    <w:pStyle w:val="464"/>
                    <w:keepNext w:val="0"/>
                    <w:keepLines w:val="0"/>
                    <w:suppressLineNumbers w:val="0"/>
                    <w:spacing w:before="0" w:beforeAutospacing="0" w:after="0" w:afterAutospacing="0"/>
                    <w:ind w:left="0" w:right="0"/>
                    <w:rPr>
                      <w:rFonts w:hint="default" w:ascii="Times New Roman" w:hAnsi="Times New Roman" w:eastAsia="Times New Roman" w:cs="Times New Roman"/>
                      <w:color w:val="000000" w:themeColor="text1"/>
                      <w:sz w:val="21"/>
                      <w:szCs w:val="21"/>
                    </w:rPr>
                  </w:pPr>
                  <w:r>
                    <w:rPr>
                      <w:rFonts w:hint="default" w:ascii="Times New Roman" w:hAnsi="Times New Roman" w:eastAsia="Times New Roman" w:cs="Times New Roman"/>
                      <w:color w:val="000000" w:themeColor="text1"/>
                      <w:sz w:val="21"/>
                      <w:szCs w:val="21"/>
                    </w:rPr>
                    <w:t>风险防治措施</w:t>
                  </w:r>
                </w:p>
              </w:tc>
              <w:tc>
                <w:tcPr>
                  <w:tcW w:w="3045" w:type="pct"/>
                  <w:gridSpan w:val="4"/>
                  <w:noWrap w:val="0"/>
                  <w:vAlign w:val="center"/>
                </w:tcPr>
                <w:p w14:paraId="76D72469">
                  <w:pPr>
                    <w:pStyle w:val="464"/>
                    <w:keepNext w:val="0"/>
                    <w:keepLines w:val="0"/>
                    <w:suppressLineNumbers w:val="0"/>
                    <w:spacing w:before="0" w:beforeAutospacing="0" w:after="0" w:afterAutospacing="0"/>
                    <w:ind w:left="0" w:right="0"/>
                    <w:jc w:val="both"/>
                    <w:rPr>
                      <w:rFonts w:hint="default" w:ascii="Times New Roman" w:hAnsi="Times New Roman" w:eastAsia="Times New Roman" w:cs="Times New Roman"/>
                      <w:color w:val="000000" w:themeColor="text1"/>
                      <w:sz w:val="21"/>
                      <w:szCs w:val="21"/>
                      <w:lang w:val="en-US" w:eastAsia="zh-CN"/>
                    </w:rPr>
                  </w:pPr>
                  <w:r>
                    <w:rPr>
                      <w:rFonts w:hint="default" w:ascii="Times New Roman" w:hAnsi="Times New Roman" w:eastAsia="宋体" w:cs="Times New Roman"/>
                      <w:color w:val="000000" w:themeColor="text1"/>
                      <w:kern w:val="0"/>
                      <w:sz w:val="21"/>
                      <w:szCs w:val="21"/>
                      <w:lang w:val="en-US" w:eastAsia="zh-CN"/>
                    </w:rPr>
                    <w:t>制定环保管理制度</w:t>
                  </w:r>
                  <w:r>
                    <w:rPr>
                      <w:rFonts w:hint="default" w:ascii="Times New Roman" w:hAnsi="Times New Roman" w:eastAsia="Times New Roman" w:cs="Times New Roman"/>
                      <w:color w:val="000000" w:themeColor="text1"/>
                      <w:sz w:val="21"/>
                      <w:szCs w:val="21"/>
                      <w:lang w:eastAsia="zh-CN"/>
                    </w:rPr>
                    <w:t>，</w:t>
                  </w:r>
                  <w:r>
                    <w:rPr>
                      <w:rFonts w:hint="default" w:ascii="Times New Roman" w:hAnsi="Times New Roman" w:eastAsia="宋体" w:cs="Times New Roman"/>
                      <w:color w:val="000000" w:themeColor="text1"/>
                      <w:sz w:val="21"/>
                      <w:szCs w:val="21"/>
                    </w:rPr>
                    <w:t>加强风险防范管控。</w:t>
                  </w:r>
                </w:p>
              </w:tc>
              <w:tc>
                <w:tcPr>
                  <w:tcW w:w="890" w:type="pct"/>
                  <w:vMerge w:val="continue"/>
                  <w:noWrap w:val="0"/>
                  <w:vAlign w:val="center"/>
                </w:tcPr>
                <w:p w14:paraId="280C6684">
                  <w:pPr>
                    <w:pStyle w:val="464"/>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FF"/>
                      <w:sz w:val="21"/>
                      <w:szCs w:val="21"/>
                      <w:lang w:val="en-US" w:eastAsia="zh-CN"/>
                    </w:rPr>
                  </w:pPr>
                </w:p>
              </w:tc>
            </w:tr>
          </w:tbl>
          <w:p w14:paraId="6A787216">
            <w:pPr>
              <w:pStyle w:val="62"/>
              <w:keepNext w:val="0"/>
              <w:keepLines w:val="0"/>
              <w:pageBreakBefore w:val="0"/>
              <w:widowControl w:val="0"/>
              <w:suppressLineNumbers w:val="0"/>
              <w:kinsoku/>
              <w:wordWrap/>
              <w:overflowPunct/>
              <w:topLinePunct w:val="0"/>
              <w:autoSpaceDE/>
              <w:autoSpaceDN/>
              <w:bidi w:val="0"/>
              <w:spacing w:before="0" w:beforeAutospacing="0" w:after="0" w:afterAutospacing="0" w:line="440" w:lineRule="atLeast"/>
              <w:ind w:left="0" w:right="0"/>
              <w:textAlignment w:val="auto"/>
              <w:rPr>
                <w:rFonts w:hint="eastAsia"/>
                <w:b/>
                <w:bCs/>
                <w:color w:val="000000" w:themeColor="text1"/>
              </w:rPr>
            </w:pPr>
            <w:r>
              <w:rPr>
                <w:rFonts w:hint="eastAsia"/>
                <w:b/>
                <w:bCs/>
                <w:color w:val="000000" w:themeColor="text1"/>
              </w:rPr>
              <w:t>依托可行性分析：</w:t>
            </w:r>
          </w:p>
          <w:p w14:paraId="02F974D6">
            <w:pPr>
              <w:pStyle w:val="471"/>
              <w:keepNext w:val="0"/>
              <w:keepLines w:val="0"/>
              <w:pageBreakBefore w:val="0"/>
              <w:widowControl w:val="0"/>
              <w:suppressLineNumbers w:val="0"/>
              <w:kinsoku/>
              <w:wordWrap/>
              <w:overflowPunct/>
              <w:topLinePunct w:val="0"/>
              <w:autoSpaceDE/>
              <w:autoSpaceDN/>
              <w:bidi w:val="0"/>
              <w:spacing w:before="0" w:beforeAutospacing="0" w:after="0" w:afterAutospacing="0" w:line="440" w:lineRule="atLeast"/>
              <w:ind w:left="0" w:right="0" w:firstLine="482"/>
              <w:textAlignment w:val="auto"/>
              <w:rPr>
                <w:rFonts w:hint="eastAsia" w:ascii="Times New Roman" w:hAnsi="宋体" w:eastAsia="宋体" w:cs="Times New Roman"/>
                <w:b/>
                <w:color w:val="000000" w:themeColor="text1"/>
                <w:sz w:val="24"/>
                <w:lang w:val="en-US" w:eastAsia="zh-CN"/>
              </w:rPr>
            </w:pPr>
            <w:r>
              <w:rPr>
                <w:rFonts w:hint="eastAsia"/>
                <w:color w:val="000000" w:themeColor="text1"/>
              </w:rPr>
              <w:t>本项目</w:t>
            </w:r>
            <w:r>
              <w:rPr>
                <w:rFonts w:hint="eastAsia"/>
                <w:color w:val="000000" w:themeColor="text1"/>
                <w:lang w:val="en-US" w:eastAsia="zh-CN"/>
              </w:rPr>
              <w:t>租赁</w:t>
            </w:r>
            <w:r>
              <w:rPr>
                <w:rFonts w:hint="eastAsia" w:ascii="Times New Roman" w:hAnsi="Times New Roman" w:cs="Times New Roman"/>
                <w:color w:val="000000" w:themeColor="text1"/>
                <w:sz w:val="24"/>
                <w:lang w:val="en-US" w:eastAsia="zh-CN"/>
              </w:rPr>
              <w:t>淮南</w:t>
            </w:r>
            <w:r>
              <w:rPr>
                <w:rFonts w:hint="eastAsia" w:ascii="Times New Roman" w:hAnsi="Times New Roman" w:eastAsia="宋体" w:cs="Times New Roman"/>
                <w:color w:val="000000" w:themeColor="text1"/>
                <w:sz w:val="24"/>
                <w:lang w:val="en-US" w:eastAsia="zh-CN"/>
              </w:rPr>
              <w:t>市经开区华兴路东侧、庆兴北侧智慧显示产业园</w:t>
            </w:r>
            <w:r>
              <w:rPr>
                <w:rFonts w:hint="eastAsia" w:ascii="Times New Roman" w:hAnsi="Times New Roman" w:cs="Times New Roman"/>
                <w:color w:val="000000" w:themeColor="text1"/>
                <w:sz w:val="24"/>
                <w:lang w:val="en-US" w:eastAsia="zh-CN"/>
              </w:rPr>
              <w:t>5#</w:t>
            </w:r>
            <w:r>
              <w:rPr>
                <w:rFonts w:hint="eastAsia" w:ascii="Times New Roman" w:hAnsi="Times New Roman" w:eastAsia="宋体" w:cs="Times New Roman"/>
                <w:color w:val="000000" w:themeColor="text1"/>
                <w:sz w:val="24"/>
                <w:lang w:val="en-US" w:eastAsia="zh-CN"/>
              </w:rPr>
              <w:t>厂房</w:t>
            </w:r>
            <w:r>
              <w:rPr>
                <w:rFonts w:hint="eastAsia" w:ascii="Times New Roman" w:hAnsi="Times New Roman" w:cs="Times New Roman"/>
                <w:color w:val="auto"/>
                <w:sz w:val="24"/>
                <w:lang w:val="en-US" w:eastAsia="zh-CN"/>
              </w:rPr>
              <w:t>（西侧部分）</w:t>
            </w:r>
            <w:r>
              <w:rPr>
                <w:rFonts w:hint="eastAsia" w:eastAsia="宋体" w:cs="Times New Roman"/>
                <w:color w:val="000000" w:themeColor="text1"/>
                <w:sz w:val="24"/>
                <w:lang w:val="en-US" w:eastAsia="zh-CN"/>
              </w:rPr>
              <w:t>进行建设。</w:t>
            </w:r>
            <w:r>
              <w:rPr>
                <w:rFonts w:hint="eastAsia"/>
                <w:color w:val="000000" w:themeColor="text1"/>
              </w:rPr>
              <w:t>根据现场勘察，</w:t>
            </w:r>
            <w:r>
              <w:rPr>
                <w:rFonts w:hint="eastAsia"/>
                <w:color w:val="000000" w:themeColor="text1"/>
                <w:lang w:val="en-US" w:eastAsia="zh-CN"/>
              </w:rPr>
              <w:t>厂房内部空间</w:t>
            </w:r>
            <w:r>
              <w:rPr>
                <w:rFonts w:hint="eastAsia"/>
                <w:color w:val="000000" w:themeColor="text1"/>
              </w:rPr>
              <w:t>能够满足本项目生产线的布设；厂区配套的供水管网、供电网均已建设完成，供电网与供水管网均已与市政供电和供水管网连接，市政供电和供水能够满足本项目的生产需要；厂区雨水管网、污水管网和化粪池均已建设完成，厂区雨水管网已与市政雨水管网连通、污水管网已接入市政污水管网，故依托可行。</w:t>
            </w:r>
          </w:p>
          <w:p w14:paraId="2462F6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b/>
                <w:color w:val="000000" w:themeColor="text1"/>
                <w:sz w:val="24"/>
              </w:rPr>
            </w:pPr>
            <w:r>
              <w:rPr>
                <w:rFonts w:hint="default" w:ascii="Times New Roman" w:hAnsi="Times New Roman" w:eastAsia="宋体" w:cs="Times New Roman"/>
                <w:b/>
                <w:color w:val="000000" w:themeColor="text1"/>
                <w:sz w:val="24"/>
              </w:rPr>
              <w:t>3、产品方案</w:t>
            </w:r>
          </w:p>
          <w:p w14:paraId="73748AC6">
            <w:pPr>
              <w:pStyle w:val="62"/>
              <w:keepNext w:val="0"/>
              <w:keepLines w:val="0"/>
              <w:suppressLineNumbers w:val="0"/>
              <w:bidi w:val="0"/>
              <w:spacing w:before="0" w:beforeAutospacing="0" w:after="0" w:afterAutospacing="0"/>
              <w:ind w:left="0" w:right="0"/>
              <w:rPr>
                <w:rFonts w:hint="eastAsia" w:eastAsia="宋体"/>
                <w:color w:val="000000" w:themeColor="text1"/>
                <w:lang w:val="en-US" w:eastAsia="zh-CN"/>
              </w:rPr>
            </w:pPr>
            <w:r>
              <w:rPr>
                <w:rFonts w:hint="default"/>
                <w:color w:val="000000" w:themeColor="text1"/>
              </w:rPr>
              <w:t>项目产品方案及生产规模见</w:t>
            </w:r>
            <w:r>
              <w:rPr>
                <w:rFonts w:hint="eastAsia"/>
                <w:color w:val="000000" w:themeColor="text1"/>
                <w:lang w:val="en-US" w:eastAsia="zh-CN"/>
              </w:rPr>
              <w:t>下表。</w:t>
            </w:r>
          </w:p>
          <w:p w14:paraId="4507EF43">
            <w:pPr>
              <w:pStyle w:val="63"/>
              <w:keepNext w:val="0"/>
              <w:keepLines w:val="0"/>
              <w:suppressLineNumbers w:val="0"/>
              <w:bidi w:val="0"/>
              <w:spacing w:before="0" w:beforeAutospacing="0" w:after="0" w:afterAutospacing="0"/>
              <w:ind w:left="0" w:right="0"/>
              <w:rPr>
                <w:rFonts w:hint="default" w:ascii="Times New Roman" w:hAnsi="Times New Roman" w:eastAsia="宋体" w:cs="Times New Roman"/>
                <w:color w:val="000000" w:themeColor="text1"/>
              </w:rPr>
            </w:pPr>
            <w:r>
              <w:rPr>
                <w:rFonts w:hint="default" w:ascii="Times New Roman" w:hAnsi="Times New Roman" w:eastAsia="宋体" w:cs="Times New Roman"/>
                <w:color w:val="000000" w:themeColor="text1"/>
              </w:rPr>
              <w:t>表2-</w:t>
            </w:r>
            <w:r>
              <w:rPr>
                <w:rFonts w:hint="eastAsia" w:cs="Times New Roman"/>
                <w:color w:val="000000" w:themeColor="text1"/>
                <w:lang w:val="en-US" w:eastAsia="zh-CN"/>
              </w:rPr>
              <w:t>4</w:t>
            </w:r>
            <w:r>
              <w:rPr>
                <w:rFonts w:hint="default" w:ascii="Times New Roman" w:hAnsi="Times New Roman" w:eastAsia="宋体" w:cs="Times New Roman"/>
                <w:color w:val="000000" w:themeColor="text1"/>
              </w:rPr>
              <w:t xml:space="preserve">  </w:t>
            </w:r>
            <w:r>
              <w:rPr>
                <w:rFonts w:hint="eastAsia" w:cs="Times New Roman"/>
                <w:color w:val="000000" w:themeColor="text1"/>
                <w:lang w:val="en-US" w:eastAsia="zh-CN"/>
              </w:rPr>
              <w:t>项目</w:t>
            </w:r>
            <w:r>
              <w:rPr>
                <w:rFonts w:hint="default" w:ascii="Times New Roman" w:hAnsi="Times New Roman" w:eastAsia="宋体" w:cs="Times New Roman"/>
                <w:color w:val="000000" w:themeColor="text1"/>
              </w:rPr>
              <w:t>产品方案一览表</w:t>
            </w:r>
          </w:p>
          <w:tbl>
            <w:tblPr>
              <w:tblStyle w:val="5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2301"/>
              <w:gridCol w:w="3131"/>
              <w:gridCol w:w="1908"/>
            </w:tblGrid>
            <w:tr w14:paraId="04F02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13" w:type="pct"/>
                  <w:noWrap w:val="0"/>
                  <w:vAlign w:val="center"/>
                </w:tcPr>
                <w:p w14:paraId="6C55E4F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color w:val="000000" w:themeColor="text1"/>
                      <w:sz w:val="21"/>
                      <w:szCs w:val="21"/>
                    </w:rPr>
                  </w:pPr>
                  <w:r>
                    <w:rPr>
                      <w:rFonts w:hint="default" w:ascii="Times New Roman" w:hAnsi="Times New Roman" w:cs="Times New Roman"/>
                      <w:b/>
                      <w:color w:val="000000" w:themeColor="text1"/>
                      <w:sz w:val="21"/>
                      <w:szCs w:val="21"/>
                    </w:rPr>
                    <w:t>序号</w:t>
                  </w:r>
                </w:p>
              </w:tc>
              <w:tc>
                <w:tcPr>
                  <w:tcW w:w="1375" w:type="pct"/>
                  <w:noWrap w:val="0"/>
                  <w:vAlign w:val="center"/>
                </w:tcPr>
                <w:p w14:paraId="52CA7AE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color w:val="000000" w:themeColor="text1"/>
                      <w:sz w:val="21"/>
                      <w:szCs w:val="21"/>
                    </w:rPr>
                  </w:pPr>
                  <w:r>
                    <w:rPr>
                      <w:rFonts w:hint="default" w:ascii="Times New Roman" w:hAnsi="Times New Roman" w:cs="Times New Roman"/>
                      <w:b/>
                      <w:color w:val="000000" w:themeColor="text1"/>
                      <w:sz w:val="21"/>
                      <w:szCs w:val="21"/>
                    </w:rPr>
                    <w:t>产品名称</w:t>
                  </w:r>
                </w:p>
              </w:tc>
              <w:tc>
                <w:tcPr>
                  <w:tcW w:w="1871" w:type="pct"/>
                  <w:noWrap w:val="0"/>
                  <w:vAlign w:val="center"/>
                </w:tcPr>
                <w:p w14:paraId="348EE6D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000000" w:themeColor="text1"/>
                      <w:sz w:val="21"/>
                      <w:szCs w:val="21"/>
                      <w:lang w:val="en-US" w:eastAsia="zh-CN"/>
                    </w:rPr>
                  </w:pPr>
                  <w:r>
                    <w:rPr>
                      <w:rFonts w:hint="default" w:ascii="Times New Roman" w:hAnsi="Times New Roman" w:cs="Times New Roman"/>
                      <w:b/>
                      <w:color w:val="000000" w:themeColor="text1"/>
                      <w:sz w:val="21"/>
                      <w:szCs w:val="21"/>
                      <w:lang w:val="en-US" w:eastAsia="zh-CN"/>
                    </w:rPr>
                    <w:t>类型</w:t>
                  </w:r>
                </w:p>
              </w:tc>
              <w:tc>
                <w:tcPr>
                  <w:tcW w:w="1140" w:type="pct"/>
                  <w:noWrap w:val="0"/>
                  <w:vAlign w:val="center"/>
                </w:tcPr>
                <w:p w14:paraId="7B8619F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000000" w:themeColor="text1"/>
                      <w:sz w:val="21"/>
                      <w:szCs w:val="21"/>
                      <w:lang w:val="en-US" w:eastAsia="zh-CN"/>
                    </w:rPr>
                  </w:pPr>
                  <w:r>
                    <w:rPr>
                      <w:rFonts w:hint="default" w:ascii="Times New Roman" w:hAnsi="Times New Roman" w:cs="Times New Roman"/>
                      <w:b/>
                      <w:color w:val="000000" w:themeColor="text1"/>
                      <w:sz w:val="21"/>
                      <w:szCs w:val="21"/>
                    </w:rPr>
                    <w:t>产量</w:t>
                  </w:r>
                  <w:r>
                    <w:rPr>
                      <w:rFonts w:hint="default" w:ascii="Times New Roman" w:hAnsi="Times New Roman" w:cs="Times New Roman"/>
                      <w:b/>
                      <w:color w:val="000000" w:themeColor="text1"/>
                      <w:sz w:val="21"/>
                      <w:szCs w:val="21"/>
                      <w:lang w:eastAsia="zh-CN"/>
                    </w:rPr>
                    <w:t>（</w:t>
                  </w:r>
                  <w:r>
                    <w:rPr>
                      <w:rFonts w:hint="default" w:ascii="Times New Roman" w:hAnsi="Times New Roman" w:cs="Times New Roman"/>
                      <w:b/>
                      <w:color w:val="000000" w:themeColor="text1"/>
                      <w:sz w:val="21"/>
                      <w:szCs w:val="21"/>
                      <w:lang w:val="en-US" w:eastAsia="zh-CN"/>
                    </w:rPr>
                    <w:t>t/a</w:t>
                  </w:r>
                  <w:r>
                    <w:rPr>
                      <w:rFonts w:hint="default" w:ascii="Times New Roman" w:hAnsi="Times New Roman" w:cs="Times New Roman"/>
                      <w:b/>
                      <w:color w:val="000000" w:themeColor="text1"/>
                      <w:sz w:val="21"/>
                      <w:szCs w:val="21"/>
                      <w:lang w:eastAsia="zh-CN"/>
                    </w:rPr>
                    <w:t>）</w:t>
                  </w:r>
                </w:p>
              </w:tc>
            </w:tr>
            <w:tr w14:paraId="6A5A0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13" w:type="pct"/>
                  <w:vMerge w:val="restart"/>
                  <w:noWrap w:val="0"/>
                  <w:vAlign w:val="center"/>
                </w:tcPr>
                <w:p w14:paraId="4CA80B6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bCs/>
                      <w:color w:val="000000" w:themeColor="text1"/>
                      <w:sz w:val="21"/>
                      <w:szCs w:val="21"/>
                      <w:lang w:val="en-US" w:eastAsia="zh-CN"/>
                    </w:rPr>
                    <w:t>1</w:t>
                  </w:r>
                </w:p>
              </w:tc>
              <w:tc>
                <w:tcPr>
                  <w:tcW w:w="1375" w:type="pct"/>
                  <w:vMerge w:val="restart"/>
                  <w:noWrap w:val="0"/>
                  <w:vAlign w:val="center"/>
                </w:tcPr>
                <w:p w14:paraId="6309B55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bCs/>
                      <w:color w:val="000000" w:themeColor="text1"/>
                      <w:sz w:val="21"/>
                      <w:szCs w:val="21"/>
                      <w:lang w:val="en-US" w:eastAsia="zh-CN"/>
                    </w:rPr>
                    <w:t>汽车金属零配热处理件</w:t>
                  </w:r>
                </w:p>
              </w:tc>
              <w:tc>
                <w:tcPr>
                  <w:tcW w:w="1871" w:type="pct"/>
                  <w:noWrap w:val="0"/>
                  <w:vAlign w:val="center"/>
                </w:tcPr>
                <w:p w14:paraId="013EAF3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Cs/>
                      <w:color w:val="000000" w:themeColor="text1"/>
                      <w:sz w:val="21"/>
                      <w:szCs w:val="21"/>
                    </w:rPr>
                  </w:pPr>
                  <w:r>
                    <w:rPr>
                      <w:rFonts w:hint="default" w:ascii="Times New Roman" w:hAnsi="Times New Roman" w:cs="Times New Roman"/>
                      <w:bCs/>
                      <w:color w:val="000000" w:themeColor="text1"/>
                      <w:sz w:val="21"/>
                      <w:szCs w:val="21"/>
                      <w:lang w:val="en-US" w:eastAsia="zh-CN"/>
                    </w:rPr>
                    <w:t>45#钢</w:t>
                  </w:r>
                </w:p>
              </w:tc>
              <w:tc>
                <w:tcPr>
                  <w:tcW w:w="1140" w:type="pct"/>
                  <w:noWrap w:val="0"/>
                  <w:vAlign w:val="center"/>
                </w:tcPr>
                <w:p w14:paraId="28CDBA3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szCs w:val="21"/>
                      <w:lang w:val="en-US" w:eastAsia="zh-CN"/>
                    </w:rPr>
                  </w:pPr>
                  <w:r>
                    <w:rPr>
                      <w:rFonts w:hint="default" w:ascii="Times New Roman" w:hAnsi="Times New Roman" w:cs="Times New Roman"/>
                      <w:bCs/>
                      <w:color w:val="000000" w:themeColor="text1"/>
                      <w:sz w:val="21"/>
                      <w:szCs w:val="21"/>
                      <w:lang w:val="en-US" w:eastAsia="zh-CN"/>
                    </w:rPr>
                    <w:t>1500</w:t>
                  </w:r>
                </w:p>
              </w:tc>
            </w:tr>
            <w:tr w14:paraId="6DC85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13" w:type="pct"/>
                  <w:vMerge w:val="continue"/>
                  <w:noWrap w:val="0"/>
                  <w:vAlign w:val="center"/>
                </w:tcPr>
                <w:p w14:paraId="3110C5C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lang w:val="en-US" w:eastAsia="zh-CN"/>
                    </w:rPr>
                  </w:pPr>
                </w:p>
              </w:tc>
              <w:tc>
                <w:tcPr>
                  <w:tcW w:w="1375" w:type="pct"/>
                  <w:vMerge w:val="continue"/>
                  <w:noWrap w:val="0"/>
                  <w:vAlign w:val="center"/>
                </w:tcPr>
                <w:p w14:paraId="445921B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000000" w:themeColor="text1"/>
                      <w:sz w:val="21"/>
                      <w:szCs w:val="21"/>
                      <w:lang w:val="en-US" w:eastAsia="zh-CN"/>
                    </w:rPr>
                  </w:pPr>
                </w:p>
              </w:tc>
              <w:tc>
                <w:tcPr>
                  <w:tcW w:w="1871" w:type="pct"/>
                  <w:noWrap w:val="0"/>
                  <w:vAlign w:val="center"/>
                </w:tcPr>
                <w:p w14:paraId="1C75C8E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000000" w:themeColor="text1"/>
                      <w:sz w:val="21"/>
                      <w:szCs w:val="21"/>
                    </w:rPr>
                  </w:pPr>
                  <w:r>
                    <w:rPr>
                      <w:rFonts w:hint="default" w:ascii="Times New Roman" w:hAnsi="Times New Roman" w:cs="Times New Roman"/>
                      <w:color w:val="000000" w:themeColor="text1"/>
                      <w:sz w:val="21"/>
                      <w:szCs w:val="21"/>
                      <w:lang w:val="en-US" w:eastAsia="zh-CN"/>
                    </w:rPr>
                    <w:t>40Cr合金钢</w:t>
                  </w:r>
                </w:p>
              </w:tc>
              <w:tc>
                <w:tcPr>
                  <w:tcW w:w="1140" w:type="pct"/>
                  <w:noWrap w:val="0"/>
                  <w:vAlign w:val="center"/>
                </w:tcPr>
                <w:p w14:paraId="7E87BF0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1000</w:t>
                  </w:r>
                </w:p>
              </w:tc>
            </w:tr>
            <w:tr w14:paraId="53242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13" w:type="pct"/>
                  <w:vMerge w:val="continue"/>
                  <w:noWrap w:val="0"/>
                  <w:vAlign w:val="center"/>
                </w:tcPr>
                <w:p w14:paraId="6708133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lang w:val="en-US" w:eastAsia="zh-CN"/>
                    </w:rPr>
                  </w:pPr>
                </w:p>
              </w:tc>
              <w:tc>
                <w:tcPr>
                  <w:tcW w:w="1375" w:type="pct"/>
                  <w:vMerge w:val="continue"/>
                  <w:noWrap w:val="0"/>
                  <w:vAlign w:val="center"/>
                </w:tcPr>
                <w:p w14:paraId="445775E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000000" w:themeColor="text1"/>
                      <w:sz w:val="21"/>
                      <w:szCs w:val="21"/>
                      <w:lang w:val="en-US" w:eastAsia="zh-CN"/>
                    </w:rPr>
                  </w:pPr>
                </w:p>
              </w:tc>
              <w:tc>
                <w:tcPr>
                  <w:tcW w:w="1871" w:type="pct"/>
                  <w:noWrap w:val="0"/>
                  <w:vAlign w:val="center"/>
                </w:tcPr>
                <w:p w14:paraId="758FE3F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000000" w:themeColor="text1"/>
                      <w:sz w:val="21"/>
                      <w:szCs w:val="21"/>
                    </w:rPr>
                  </w:pPr>
                  <w:r>
                    <w:rPr>
                      <w:rFonts w:hint="default" w:ascii="Times New Roman" w:hAnsi="Times New Roman" w:cs="Times New Roman"/>
                      <w:color w:val="000000" w:themeColor="text1"/>
                      <w:sz w:val="21"/>
                      <w:szCs w:val="21"/>
                      <w:lang w:val="en-US" w:eastAsia="zh-CN"/>
                    </w:rPr>
                    <w:t>35Crom合金钢</w:t>
                  </w:r>
                </w:p>
              </w:tc>
              <w:tc>
                <w:tcPr>
                  <w:tcW w:w="1140" w:type="pct"/>
                  <w:noWrap w:val="0"/>
                  <w:vAlign w:val="center"/>
                </w:tcPr>
                <w:p w14:paraId="1C547F5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1000</w:t>
                  </w:r>
                </w:p>
              </w:tc>
            </w:tr>
            <w:tr w14:paraId="737BB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859" w:type="pct"/>
                  <w:gridSpan w:val="3"/>
                  <w:noWrap w:val="0"/>
                  <w:vAlign w:val="center"/>
                </w:tcPr>
                <w:p w14:paraId="54066F8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总计</w:t>
                  </w:r>
                </w:p>
              </w:tc>
              <w:tc>
                <w:tcPr>
                  <w:tcW w:w="1140" w:type="pct"/>
                  <w:noWrap w:val="0"/>
                  <w:vAlign w:val="center"/>
                </w:tcPr>
                <w:p w14:paraId="3133752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3500</w:t>
                  </w:r>
                </w:p>
              </w:tc>
            </w:tr>
          </w:tbl>
          <w:p w14:paraId="5901CC1B">
            <w:pPr>
              <w:pStyle w:val="62"/>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备注：项目主要为汽车金属零配件来料进行热处理，</w:t>
            </w:r>
            <w:r>
              <w:rPr>
                <w:rFonts w:hint="default"/>
                <w:color w:val="auto"/>
                <w:lang w:val="en-US" w:eastAsia="zh-CN"/>
              </w:rPr>
              <w:t>产品的规格、性状、重量各异，故本评价不附具产品照片，也不罗列产品参数情况</w:t>
            </w:r>
            <w:r>
              <w:rPr>
                <w:rFonts w:hint="eastAsia"/>
                <w:color w:val="auto"/>
                <w:lang w:val="en-US" w:eastAsia="zh-CN"/>
              </w:rPr>
              <w:t>；产品经过热处理后均需满足《热处理质量控制体系》（</w:t>
            </w:r>
            <w:r>
              <w:rPr>
                <w:rFonts w:hint="default"/>
                <w:color w:val="auto"/>
              </w:rPr>
              <w:t>GB/T 32541-2016</w:t>
            </w:r>
            <w:r>
              <w:rPr>
                <w:rFonts w:hint="eastAsia"/>
                <w:color w:val="auto"/>
                <w:lang w:val="en-US" w:eastAsia="zh-CN"/>
              </w:rPr>
              <w:t>）要求。</w:t>
            </w:r>
          </w:p>
          <w:p w14:paraId="278A218D">
            <w:pPr>
              <w:keepNext w:val="0"/>
              <w:keepLines w:val="0"/>
              <w:suppressLineNumbers w:val="0"/>
              <w:spacing w:before="0" w:beforeAutospacing="0" w:after="0" w:afterAutospacing="0" w:line="460" w:lineRule="exact"/>
              <w:ind w:left="0" w:right="0"/>
              <w:rPr>
                <w:rFonts w:hint="default" w:ascii="Times New Roman" w:hAnsi="Times New Roman" w:eastAsia="宋体" w:cs="Times New Roman"/>
                <w:b/>
                <w:color w:val="000000" w:themeColor="text1"/>
                <w:sz w:val="24"/>
              </w:rPr>
            </w:pPr>
            <w:r>
              <w:rPr>
                <w:rFonts w:hint="default" w:ascii="Times New Roman" w:hAnsi="Times New Roman" w:eastAsia="宋体" w:cs="Times New Roman"/>
                <w:b/>
                <w:color w:val="000000" w:themeColor="text1"/>
                <w:sz w:val="24"/>
              </w:rPr>
              <w:t>4、项目主要生产设备</w:t>
            </w:r>
          </w:p>
          <w:p w14:paraId="18C8F3DA">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bCs/>
                <w:color w:val="000000" w:themeColor="text1"/>
                <w:lang w:eastAsia="zh-CN"/>
              </w:rPr>
            </w:pPr>
            <w:r>
              <w:rPr>
                <w:rFonts w:hint="default" w:ascii="Times New Roman" w:hAnsi="Times New Roman" w:eastAsia="宋体" w:cs="Times New Roman"/>
                <w:bCs/>
                <w:color w:val="000000" w:themeColor="text1"/>
                <w:sz w:val="24"/>
              </w:rPr>
              <w:t>项目主要生产设备见</w:t>
            </w:r>
            <w:r>
              <w:rPr>
                <w:rFonts w:hint="default" w:ascii="Times New Roman" w:hAnsi="Times New Roman" w:eastAsia="宋体" w:cs="Times New Roman"/>
                <w:bCs/>
                <w:color w:val="000000" w:themeColor="text1"/>
                <w:sz w:val="24"/>
                <w:lang w:val="en-US" w:eastAsia="zh-CN"/>
              </w:rPr>
              <w:t>下表。</w:t>
            </w:r>
          </w:p>
          <w:p w14:paraId="504A03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eastAsia="宋体"/>
                <w:b/>
                <w:color w:val="000000" w:themeColor="text1"/>
                <w:szCs w:val="21"/>
              </w:rPr>
            </w:pPr>
            <w:r>
              <w:rPr>
                <w:rFonts w:hint="default" w:hAnsi="宋体" w:eastAsia="宋体"/>
                <w:b/>
                <w:color w:val="000000" w:themeColor="text1"/>
                <w:szCs w:val="21"/>
              </w:rPr>
              <w:t>表</w:t>
            </w:r>
            <w:r>
              <w:rPr>
                <w:rStyle w:val="66"/>
                <w:color w:val="000000" w:themeColor="text1"/>
              </w:rPr>
              <w:t>2-</w:t>
            </w:r>
            <w:r>
              <w:rPr>
                <w:rStyle w:val="66"/>
                <w:rFonts w:hint="eastAsia"/>
                <w:color w:val="000000" w:themeColor="text1"/>
                <w:lang w:val="en-US" w:eastAsia="zh-CN"/>
              </w:rPr>
              <w:t>5</w:t>
            </w:r>
            <w:r>
              <w:rPr>
                <w:rFonts w:hint="default" w:eastAsia="宋体"/>
                <w:b/>
                <w:color w:val="000000" w:themeColor="text1"/>
                <w:szCs w:val="21"/>
              </w:rPr>
              <w:t xml:space="preserve">  </w:t>
            </w:r>
            <w:r>
              <w:rPr>
                <w:rFonts w:hint="eastAsia" w:ascii="Times New Roman" w:hAnsi="Times New Roman" w:eastAsia="Times New Roman"/>
                <w:b/>
                <w:bCs w:val="0"/>
                <w:color w:val="000000" w:themeColor="text1"/>
                <w:sz w:val="21"/>
                <w:szCs w:val="21"/>
                <w:lang w:val="en-US" w:eastAsia="zh-CN"/>
              </w:rPr>
              <w:t>项目</w:t>
            </w:r>
            <w:r>
              <w:rPr>
                <w:rFonts w:hint="default" w:hAnsi="宋体" w:eastAsia="宋体"/>
                <w:b/>
                <w:color w:val="000000" w:themeColor="text1"/>
                <w:szCs w:val="21"/>
              </w:rPr>
              <w:t>主要设备一览表</w:t>
            </w:r>
          </w:p>
          <w:tbl>
            <w:tblPr>
              <w:tblStyle w:val="5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2577"/>
              <w:gridCol w:w="2557"/>
              <w:gridCol w:w="1343"/>
              <w:gridCol w:w="1208"/>
            </w:tblGrid>
            <w:tr w14:paraId="516AE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5" w:type="pct"/>
                  <w:noWrap w:val="0"/>
                  <w:vAlign w:val="center"/>
                </w:tcPr>
                <w:p w14:paraId="551B79E3">
                  <w:pPr>
                    <w:keepNext w:val="0"/>
                    <w:keepLines w:val="0"/>
                    <w:suppressLineNumbers w:val="0"/>
                    <w:spacing w:before="0" w:beforeAutospacing="0" w:after="0" w:afterAutospacing="0"/>
                    <w:ind w:left="0" w:right="0"/>
                    <w:jc w:val="center"/>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序号</w:t>
                  </w:r>
                </w:p>
              </w:tc>
              <w:tc>
                <w:tcPr>
                  <w:tcW w:w="1540" w:type="pct"/>
                  <w:noWrap w:val="0"/>
                  <w:vAlign w:val="center"/>
                </w:tcPr>
                <w:p w14:paraId="7B9D27AC">
                  <w:pPr>
                    <w:keepNext w:val="0"/>
                    <w:keepLines w:val="0"/>
                    <w:suppressLineNumbers w:val="0"/>
                    <w:spacing w:before="0" w:beforeAutospacing="0" w:after="0" w:afterAutospacing="0"/>
                    <w:ind w:left="0" w:right="0"/>
                    <w:jc w:val="center"/>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生产设备名称</w:t>
                  </w:r>
                </w:p>
              </w:tc>
              <w:tc>
                <w:tcPr>
                  <w:tcW w:w="1528" w:type="pct"/>
                  <w:noWrap w:val="0"/>
                  <w:vAlign w:val="center"/>
                </w:tcPr>
                <w:p w14:paraId="37F11826">
                  <w:pPr>
                    <w:keepNext w:val="0"/>
                    <w:keepLines w:val="0"/>
                    <w:suppressLineNumbers w:val="0"/>
                    <w:spacing w:before="0" w:beforeAutospacing="0" w:after="0" w:afterAutospacing="0"/>
                    <w:ind w:left="0" w:right="0"/>
                    <w:jc w:val="center"/>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型号</w:t>
                  </w:r>
                </w:p>
              </w:tc>
              <w:tc>
                <w:tcPr>
                  <w:tcW w:w="802" w:type="pct"/>
                  <w:noWrap w:val="0"/>
                  <w:vAlign w:val="center"/>
                </w:tcPr>
                <w:p w14:paraId="448CFF46">
                  <w:pPr>
                    <w:keepNext w:val="0"/>
                    <w:keepLines w:val="0"/>
                    <w:suppressLineNumbers w:val="0"/>
                    <w:spacing w:before="0" w:beforeAutospacing="0" w:after="0" w:afterAutospacing="0"/>
                    <w:ind w:left="0" w:right="0"/>
                    <w:jc w:val="center"/>
                    <w:rPr>
                      <w:rFonts w:hint="default" w:ascii="Times New Roman" w:hAnsi="Times New Roman" w:eastAsia="Times New Roman" w:cs="Times New Roman"/>
                      <w:b/>
                      <w:bCs/>
                      <w:color w:val="auto"/>
                      <w:sz w:val="21"/>
                      <w:szCs w:val="21"/>
                      <w:lang w:val="en-US" w:eastAsia="zh-CN"/>
                    </w:rPr>
                  </w:pPr>
                  <w:r>
                    <w:rPr>
                      <w:rFonts w:hint="default" w:ascii="Times New Roman" w:hAnsi="Times New Roman" w:eastAsia="Times New Roman" w:cs="Times New Roman"/>
                      <w:b/>
                      <w:bCs/>
                      <w:color w:val="auto"/>
                      <w:sz w:val="21"/>
                      <w:szCs w:val="21"/>
                      <w:lang w:val="en-US" w:eastAsia="zh-CN"/>
                    </w:rPr>
                    <w:t>设备数量</w:t>
                  </w:r>
                  <w:r>
                    <w:rPr>
                      <w:rFonts w:hint="eastAsia" w:ascii="Times New Roman" w:hAnsi="Times New Roman" w:eastAsia="Times New Roman" w:cs="Times New Roman"/>
                      <w:b/>
                      <w:bCs/>
                      <w:color w:val="auto"/>
                      <w:sz w:val="21"/>
                      <w:szCs w:val="21"/>
                      <w:lang w:val="en-US" w:eastAsia="zh-CN"/>
                    </w:rPr>
                    <w:t>（台/套）</w:t>
                  </w:r>
                </w:p>
              </w:tc>
              <w:tc>
                <w:tcPr>
                  <w:tcW w:w="722" w:type="pct"/>
                  <w:noWrap w:val="0"/>
                  <w:vAlign w:val="center"/>
                </w:tcPr>
                <w:p w14:paraId="41C9D057">
                  <w:pPr>
                    <w:keepNext w:val="0"/>
                    <w:keepLines w:val="0"/>
                    <w:suppressLineNumbers w:val="0"/>
                    <w:spacing w:before="0" w:beforeAutospacing="0" w:after="0" w:afterAutospacing="0"/>
                    <w:ind w:left="0" w:right="0"/>
                    <w:jc w:val="center"/>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使用工序</w:t>
                  </w:r>
                </w:p>
              </w:tc>
            </w:tr>
            <w:tr w14:paraId="3DE5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5" w:type="pct"/>
                  <w:noWrap w:val="0"/>
                  <w:vAlign w:val="center"/>
                </w:tcPr>
                <w:p w14:paraId="601F4753">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1540" w:type="pct"/>
                  <w:noWrap w:val="0"/>
                  <w:vAlign w:val="center"/>
                </w:tcPr>
                <w:p w14:paraId="2B60DB10">
                  <w:pPr>
                    <w:keepNext w:val="0"/>
                    <w:keepLines w:val="0"/>
                    <w:suppressLineNumbers w:val="0"/>
                    <w:adjustRightInd w:val="0"/>
                    <w:snapToGrid w:val="0"/>
                    <w:spacing w:before="0" w:beforeAutospacing="0" w:after="0" w:afterAutospacing="0"/>
                    <w:ind w:left="0" w:right="0"/>
                    <w:jc w:val="center"/>
                    <w:rPr>
                      <w:rFonts w:hint="eastAsia"/>
                      <w:color w:val="auto"/>
                      <w:sz w:val="21"/>
                      <w:szCs w:val="21"/>
                      <w:lang w:val="en-US" w:eastAsia="zh-CN"/>
                    </w:rPr>
                  </w:pPr>
                  <w:r>
                    <w:rPr>
                      <w:rFonts w:hint="eastAsia"/>
                      <w:color w:val="auto"/>
                      <w:sz w:val="21"/>
                      <w:szCs w:val="21"/>
                      <w:lang w:val="en-US" w:eastAsia="zh-CN"/>
                    </w:rPr>
                    <w:t>密封箱式可控气氛多用炉</w:t>
                  </w:r>
                </w:p>
                <w:p w14:paraId="5FBABCD4">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olor w:val="auto"/>
                      <w:sz w:val="21"/>
                      <w:szCs w:val="21"/>
                      <w:lang w:val="en-US" w:eastAsia="zh-CN"/>
                    </w:rPr>
                    <w:t>（电加热）</w:t>
                  </w:r>
                </w:p>
              </w:tc>
              <w:tc>
                <w:tcPr>
                  <w:tcW w:w="1528" w:type="pct"/>
                  <w:noWrap w:val="0"/>
                  <w:vAlign w:val="center"/>
                </w:tcPr>
                <w:p w14:paraId="2A1396D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w:t>
                  </w:r>
                </w:p>
              </w:tc>
              <w:tc>
                <w:tcPr>
                  <w:tcW w:w="802" w:type="pct"/>
                  <w:noWrap w:val="0"/>
                  <w:vAlign w:val="center"/>
                </w:tcPr>
                <w:p w14:paraId="742D7A0B">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1</w:t>
                  </w:r>
                </w:p>
              </w:tc>
              <w:tc>
                <w:tcPr>
                  <w:tcW w:w="722" w:type="pct"/>
                  <w:noWrap w:val="0"/>
                  <w:vAlign w:val="center"/>
                </w:tcPr>
                <w:p w14:paraId="771F9C63">
                  <w:pPr>
                    <w:keepNext w:val="0"/>
                    <w:keepLines w:val="0"/>
                    <w:suppressLineNumbers w:val="0"/>
                    <w:spacing w:before="0" w:beforeAutospacing="0" w:after="0" w:afterAutospacing="0"/>
                    <w:ind w:left="0" w:leftChars="0" w:right="0" w:rightChars="0"/>
                    <w:jc w:val="center"/>
                    <w:rPr>
                      <w:rFonts w:hint="eastAsia" w:ascii="Times New Roman" w:hAnsi="Times New Roman" w:eastAsia="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渗碳、淬火</w:t>
                  </w:r>
                </w:p>
              </w:tc>
            </w:tr>
            <w:tr w14:paraId="5A9F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5" w:type="pct"/>
                  <w:noWrap w:val="0"/>
                  <w:vAlign w:val="center"/>
                </w:tcPr>
                <w:p w14:paraId="326730BF">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w:t>
                  </w:r>
                </w:p>
              </w:tc>
              <w:tc>
                <w:tcPr>
                  <w:tcW w:w="1540" w:type="pct"/>
                  <w:noWrap w:val="0"/>
                  <w:vAlign w:val="center"/>
                </w:tcPr>
                <w:p w14:paraId="4334D339">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olor w:val="auto"/>
                      <w:sz w:val="21"/>
                      <w:szCs w:val="21"/>
                      <w:lang w:val="en-US" w:eastAsia="zh-CN"/>
                    </w:rPr>
                    <w:t>燃气淬火炉</w:t>
                  </w:r>
                </w:p>
              </w:tc>
              <w:tc>
                <w:tcPr>
                  <w:tcW w:w="1528" w:type="pct"/>
                  <w:noWrap w:val="0"/>
                  <w:vAlign w:val="center"/>
                </w:tcPr>
                <w:p w14:paraId="6664438C">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color w:val="auto"/>
                      <w:lang w:val="en-US" w:eastAsia="zh-CN"/>
                    </w:rPr>
                    <w:t>燃气消耗量10</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/h</w:t>
                  </w:r>
                </w:p>
              </w:tc>
              <w:tc>
                <w:tcPr>
                  <w:tcW w:w="802" w:type="pct"/>
                  <w:noWrap w:val="0"/>
                  <w:vAlign w:val="center"/>
                </w:tcPr>
                <w:p w14:paraId="09719661">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1</w:t>
                  </w:r>
                </w:p>
              </w:tc>
              <w:tc>
                <w:tcPr>
                  <w:tcW w:w="722" w:type="pct"/>
                  <w:noWrap w:val="0"/>
                  <w:vAlign w:val="center"/>
                </w:tcPr>
                <w:p w14:paraId="1F5290CE">
                  <w:pPr>
                    <w:keepNext w:val="0"/>
                    <w:keepLines w:val="0"/>
                    <w:suppressLineNumbers w:val="0"/>
                    <w:spacing w:before="0" w:beforeAutospacing="0" w:after="0" w:afterAutospacing="0"/>
                    <w:ind w:left="0" w:leftChars="0" w:right="0" w:rightChars="0"/>
                    <w:jc w:val="center"/>
                    <w:rPr>
                      <w:rFonts w:hint="eastAsia" w:ascii="Times New Roman" w:hAnsi="Times New Roman" w:eastAsia="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淬火</w:t>
                  </w:r>
                </w:p>
              </w:tc>
            </w:tr>
            <w:tr w14:paraId="28C22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5" w:type="pct"/>
                  <w:noWrap w:val="0"/>
                  <w:vAlign w:val="center"/>
                </w:tcPr>
                <w:p w14:paraId="2EA4B0C6">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3</w:t>
                  </w:r>
                </w:p>
              </w:tc>
              <w:tc>
                <w:tcPr>
                  <w:tcW w:w="1540" w:type="pct"/>
                  <w:noWrap w:val="0"/>
                  <w:vAlign w:val="center"/>
                </w:tcPr>
                <w:p w14:paraId="10A17930">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olor w:val="auto"/>
                      <w:sz w:val="21"/>
                      <w:szCs w:val="21"/>
                      <w:lang w:val="en-US" w:eastAsia="zh-CN"/>
                    </w:rPr>
                    <w:t>电加热回火炉</w:t>
                  </w:r>
                </w:p>
              </w:tc>
              <w:tc>
                <w:tcPr>
                  <w:tcW w:w="1528" w:type="pct"/>
                  <w:noWrap w:val="0"/>
                  <w:vAlign w:val="center"/>
                </w:tcPr>
                <w:p w14:paraId="79ADF3B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w:t>
                  </w:r>
                </w:p>
              </w:tc>
              <w:tc>
                <w:tcPr>
                  <w:tcW w:w="802" w:type="pct"/>
                  <w:noWrap w:val="0"/>
                  <w:vAlign w:val="center"/>
                </w:tcPr>
                <w:p w14:paraId="0700C399">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1</w:t>
                  </w:r>
                </w:p>
              </w:tc>
              <w:tc>
                <w:tcPr>
                  <w:tcW w:w="722" w:type="pct"/>
                  <w:vMerge w:val="restart"/>
                  <w:noWrap w:val="0"/>
                  <w:vAlign w:val="center"/>
                </w:tcPr>
                <w:p w14:paraId="3AE1512B">
                  <w:pPr>
                    <w:keepNext w:val="0"/>
                    <w:keepLines w:val="0"/>
                    <w:suppressLineNumbers w:val="0"/>
                    <w:spacing w:before="0" w:beforeAutospacing="0" w:after="0" w:afterAutospacing="0"/>
                    <w:ind w:left="0" w:right="0"/>
                    <w:jc w:val="center"/>
                    <w:rPr>
                      <w:rFonts w:hint="default" w:ascii="Times New Roman" w:hAnsi="Times New Roman" w:eastAsia="Times New Roman" w:cs="Times New Roman"/>
                      <w:color w:val="auto"/>
                      <w:sz w:val="21"/>
                      <w:szCs w:val="21"/>
                      <w:lang w:val="en-US" w:eastAsia="zh-CN"/>
                    </w:rPr>
                  </w:pPr>
                  <w:r>
                    <w:rPr>
                      <w:rFonts w:hint="eastAsia" w:ascii="Times New Roman" w:hAnsi="Times New Roman" w:eastAsia="Times New Roman" w:cs="Times New Roman"/>
                      <w:color w:val="auto"/>
                      <w:sz w:val="21"/>
                      <w:szCs w:val="21"/>
                      <w:lang w:val="en-US" w:eastAsia="zh-CN"/>
                    </w:rPr>
                    <w:t>回火</w:t>
                  </w:r>
                </w:p>
              </w:tc>
            </w:tr>
            <w:tr w14:paraId="0AF0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5" w:type="pct"/>
                  <w:noWrap w:val="0"/>
                  <w:vAlign w:val="center"/>
                </w:tcPr>
                <w:p w14:paraId="42407440">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4</w:t>
                  </w:r>
                </w:p>
              </w:tc>
              <w:tc>
                <w:tcPr>
                  <w:tcW w:w="1540" w:type="pct"/>
                  <w:noWrap w:val="0"/>
                  <w:vAlign w:val="center"/>
                </w:tcPr>
                <w:p w14:paraId="0C59BC90">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olor w:val="auto"/>
                      <w:sz w:val="21"/>
                      <w:szCs w:val="21"/>
                      <w:lang w:val="en-US" w:eastAsia="zh-CN"/>
                    </w:rPr>
                    <w:t>燃气回火炉</w:t>
                  </w:r>
                </w:p>
              </w:tc>
              <w:tc>
                <w:tcPr>
                  <w:tcW w:w="1528" w:type="pct"/>
                  <w:noWrap w:val="0"/>
                  <w:vAlign w:val="center"/>
                </w:tcPr>
                <w:p w14:paraId="0ECB8B4F">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color w:val="auto"/>
                      <w:lang w:val="en-US" w:eastAsia="zh-CN"/>
                    </w:rPr>
                    <w:t>燃气消耗量10</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/h</w:t>
                  </w:r>
                </w:p>
              </w:tc>
              <w:tc>
                <w:tcPr>
                  <w:tcW w:w="802" w:type="pct"/>
                  <w:noWrap w:val="0"/>
                  <w:vAlign w:val="center"/>
                </w:tcPr>
                <w:p w14:paraId="47921026">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1</w:t>
                  </w:r>
                </w:p>
              </w:tc>
              <w:tc>
                <w:tcPr>
                  <w:tcW w:w="722" w:type="pct"/>
                  <w:vMerge w:val="continue"/>
                  <w:noWrap w:val="0"/>
                  <w:vAlign w:val="center"/>
                </w:tcPr>
                <w:p w14:paraId="4386444D">
                  <w:pPr>
                    <w:keepNext w:val="0"/>
                    <w:keepLines w:val="0"/>
                    <w:suppressLineNumbers w:val="0"/>
                    <w:spacing w:before="0" w:beforeAutospacing="0" w:after="0" w:afterAutospacing="0"/>
                    <w:ind w:left="0" w:right="0"/>
                    <w:jc w:val="center"/>
                    <w:rPr>
                      <w:rFonts w:hint="default" w:ascii="Times New Roman" w:hAnsi="Times New Roman" w:eastAsia="Times New Roman" w:cs="Times New Roman"/>
                      <w:color w:val="auto"/>
                      <w:sz w:val="21"/>
                      <w:szCs w:val="21"/>
                      <w:lang w:val="en-US" w:eastAsia="zh-CN"/>
                    </w:rPr>
                  </w:pPr>
                </w:p>
              </w:tc>
            </w:tr>
            <w:tr w14:paraId="7926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5" w:type="pct"/>
                  <w:noWrap w:val="0"/>
                  <w:vAlign w:val="center"/>
                </w:tcPr>
                <w:p w14:paraId="41317307">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5</w:t>
                  </w:r>
                </w:p>
              </w:tc>
              <w:tc>
                <w:tcPr>
                  <w:tcW w:w="1540" w:type="pct"/>
                  <w:noWrap w:val="0"/>
                  <w:vAlign w:val="center"/>
                </w:tcPr>
                <w:p w14:paraId="5E0DA6F3">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olor w:val="auto"/>
                      <w:sz w:val="21"/>
                      <w:szCs w:val="21"/>
                      <w:lang w:val="en-US" w:eastAsia="zh-CN"/>
                    </w:rPr>
                    <w:t>燃气正火炉</w:t>
                  </w:r>
                </w:p>
              </w:tc>
              <w:tc>
                <w:tcPr>
                  <w:tcW w:w="1528" w:type="pct"/>
                  <w:noWrap w:val="0"/>
                  <w:vAlign w:val="center"/>
                </w:tcPr>
                <w:p w14:paraId="41D36E73">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color w:val="auto"/>
                      <w:lang w:val="en-US" w:eastAsia="zh-CN"/>
                    </w:rPr>
                    <w:t>燃气消耗量8</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/h</w:t>
                  </w:r>
                </w:p>
              </w:tc>
              <w:tc>
                <w:tcPr>
                  <w:tcW w:w="802" w:type="pct"/>
                  <w:noWrap w:val="0"/>
                  <w:vAlign w:val="center"/>
                </w:tcPr>
                <w:p w14:paraId="66D63F17">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1</w:t>
                  </w:r>
                </w:p>
              </w:tc>
              <w:tc>
                <w:tcPr>
                  <w:tcW w:w="722" w:type="pct"/>
                  <w:noWrap w:val="0"/>
                  <w:vAlign w:val="center"/>
                </w:tcPr>
                <w:p w14:paraId="3EFA541C">
                  <w:pPr>
                    <w:keepNext w:val="0"/>
                    <w:keepLines w:val="0"/>
                    <w:suppressLineNumbers w:val="0"/>
                    <w:spacing w:before="0" w:beforeAutospacing="0" w:after="0" w:afterAutospacing="0"/>
                    <w:ind w:left="0" w:leftChars="0" w:right="0" w:rightChars="0"/>
                    <w:jc w:val="center"/>
                    <w:rPr>
                      <w:rFonts w:hint="eastAsia" w:ascii="Times New Roman" w:hAnsi="Times New Roman" w:eastAsia="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正火</w:t>
                  </w:r>
                </w:p>
              </w:tc>
            </w:tr>
            <w:tr w14:paraId="75D7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5" w:type="pct"/>
                  <w:noWrap w:val="0"/>
                  <w:vAlign w:val="center"/>
                </w:tcPr>
                <w:p w14:paraId="49A6B084">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6</w:t>
                  </w:r>
                </w:p>
              </w:tc>
              <w:tc>
                <w:tcPr>
                  <w:tcW w:w="1540" w:type="pct"/>
                  <w:noWrap w:val="0"/>
                  <w:vAlign w:val="center"/>
                </w:tcPr>
                <w:p w14:paraId="574B8BF9">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olor w:val="auto"/>
                      <w:sz w:val="21"/>
                      <w:szCs w:val="21"/>
                      <w:lang w:val="en-US" w:eastAsia="zh-CN"/>
                    </w:rPr>
                    <w:t>燃气退火炉</w:t>
                  </w:r>
                </w:p>
              </w:tc>
              <w:tc>
                <w:tcPr>
                  <w:tcW w:w="1528" w:type="pct"/>
                  <w:noWrap w:val="0"/>
                  <w:vAlign w:val="center"/>
                </w:tcPr>
                <w:p w14:paraId="4D017061">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color w:val="auto"/>
                      <w:lang w:val="en-US" w:eastAsia="zh-CN"/>
                    </w:rPr>
                    <w:t>燃气消耗量8</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/h</w:t>
                  </w:r>
                </w:p>
              </w:tc>
              <w:tc>
                <w:tcPr>
                  <w:tcW w:w="802" w:type="pct"/>
                  <w:noWrap w:val="0"/>
                  <w:vAlign w:val="center"/>
                </w:tcPr>
                <w:p w14:paraId="615926C0">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1</w:t>
                  </w:r>
                </w:p>
              </w:tc>
              <w:tc>
                <w:tcPr>
                  <w:tcW w:w="722" w:type="pct"/>
                  <w:noWrap w:val="0"/>
                  <w:vAlign w:val="center"/>
                </w:tcPr>
                <w:p w14:paraId="10092FF3">
                  <w:pPr>
                    <w:keepNext w:val="0"/>
                    <w:keepLines w:val="0"/>
                    <w:suppressLineNumbers w:val="0"/>
                    <w:spacing w:before="0" w:beforeAutospacing="0" w:after="0" w:afterAutospacing="0"/>
                    <w:ind w:left="0" w:leftChars="0" w:right="0" w:rightChars="0"/>
                    <w:jc w:val="center"/>
                    <w:rPr>
                      <w:rFonts w:hint="default" w:ascii="Times New Roman" w:hAnsi="Times New Roman" w:eastAsia="Times New Roman" w:cs="Times New Roman"/>
                      <w:color w:val="auto"/>
                      <w:sz w:val="21"/>
                      <w:szCs w:val="21"/>
                      <w:lang w:val="en-US" w:eastAsia="zh-CN"/>
                    </w:rPr>
                  </w:pPr>
                  <w:r>
                    <w:rPr>
                      <w:rFonts w:hint="eastAsia" w:ascii="Times New Roman" w:hAnsi="Times New Roman" w:eastAsia="Times New Roman" w:cs="Times New Roman"/>
                      <w:color w:val="auto"/>
                      <w:sz w:val="21"/>
                      <w:szCs w:val="21"/>
                      <w:lang w:val="en-US" w:eastAsia="zh-CN"/>
                    </w:rPr>
                    <w:t>退火</w:t>
                  </w:r>
                </w:p>
              </w:tc>
            </w:tr>
            <w:tr w14:paraId="7DB42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5" w:type="pct"/>
                  <w:noWrap w:val="0"/>
                  <w:vAlign w:val="center"/>
                </w:tcPr>
                <w:p w14:paraId="275CD5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7</w:t>
                  </w:r>
                </w:p>
              </w:tc>
              <w:tc>
                <w:tcPr>
                  <w:tcW w:w="1540" w:type="pct"/>
                  <w:noWrap w:val="0"/>
                  <w:vAlign w:val="center"/>
                </w:tcPr>
                <w:p w14:paraId="426BA662">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olor w:val="auto"/>
                      <w:sz w:val="21"/>
                      <w:szCs w:val="21"/>
                    </w:rPr>
                    <w:t>洛氏硬度计</w:t>
                  </w:r>
                </w:p>
              </w:tc>
              <w:tc>
                <w:tcPr>
                  <w:tcW w:w="1528" w:type="pct"/>
                  <w:noWrap w:val="0"/>
                  <w:vAlign w:val="center"/>
                </w:tcPr>
                <w:p w14:paraId="309DBC7E">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color w:val="auto"/>
                      <w:sz w:val="21"/>
                      <w:szCs w:val="21"/>
                    </w:rPr>
                    <w:t>hr-150c</w:t>
                  </w:r>
                </w:p>
              </w:tc>
              <w:tc>
                <w:tcPr>
                  <w:tcW w:w="802" w:type="pct"/>
                  <w:noWrap w:val="0"/>
                  <w:vAlign w:val="center"/>
                </w:tcPr>
                <w:p w14:paraId="188ED64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4</w:t>
                  </w:r>
                </w:p>
              </w:tc>
              <w:tc>
                <w:tcPr>
                  <w:tcW w:w="722" w:type="pct"/>
                  <w:noWrap w:val="0"/>
                  <w:vAlign w:val="center"/>
                </w:tcPr>
                <w:p w14:paraId="3692395C">
                  <w:pPr>
                    <w:keepNext w:val="0"/>
                    <w:keepLines w:val="0"/>
                    <w:suppressLineNumbers w:val="0"/>
                    <w:spacing w:before="0" w:beforeAutospacing="0" w:after="0" w:afterAutospacing="0"/>
                    <w:ind w:left="0" w:leftChars="0" w:right="0" w:rightChars="0"/>
                    <w:jc w:val="center"/>
                    <w:rPr>
                      <w:rFonts w:hint="default" w:ascii="Times New Roman" w:hAnsi="Times New Roman" w:eastAsia="Times New Roman" w:cs="Times New Roman"/>
                      <w:color w:val="auto"/>
                      <w:sz w:val="21"/>
                      <w:szCs w:val="21"/>
                      <w:lang w:val="en-US" w:eastAsia="zh-CN"/>
                    </w:rPr>
                  </w:pPr>
                  <w:r>
                    <w:rPr>
                      <w:rFonts w:hint="eastAsia" w:ascii="Times New Roman" w:hAnsi="Times New Roman" w:eastAsia="Times New Roman" w:cs="Times New Roman"/>
                      <w:color w:val="auto"/>
                      <w:sz w:val="21"/>
                      <w:szCs w:val="21"/>
                      <w:lang w:val="en-US" w:eastAsia="zh-CN"/>
                    </w:rPr>
                    <w:t>检验</w:t>
                  </w:r>
                </w:p>
              </w:tc>
            </w:tr>
            <w:tr w14:paraId="2D9F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5" w:type="pct"/>
                  <w:noWrap w:val="0"/>
                  <w:vAlign w:val="center"/>
                </w:tcPr>
                <w:p w14:paraId="4ACB8B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8</w:t>
                  </w:r>
                </w:p>
              </w:tc>
              <w:tc>
                <w:tcPr>
                  <w:tcW w:w="1540" w:type="pct"/>
                  <w:noWrap w:val="0"/>
                  <w:vAlign w:val="center"/>
                </w:tcPr>
                <w:p w14:paraId="236EAC2D">
                  <w:pPr>
                    <w:keepNext w:val="0"/>
                    <w:keepLines w:val="0"/>
                    <w:suppressLineNumbers w:val="0"/>
                    <w:adjustRightInd w:val="0"/>
                    <w:snapToGrid w:val="0"/>
                    <w:spacing w:before="0" w:beforeAutospacing="0" w:after="0" w:afterAutospacing="0"/>
                    <w:ind w:left="0" w:right="0"/>
                    <w:jc w:val="center"/>
                    <w:rPr>
                      <w:rFonts w:hint="default" w:eastAsia="宋体"/>
                      <w:color w:val="auto"/>
                      <w:sz w:val="21"/>
                      <w:szCs w:val="21"/>
                      <w:lang w:val="en-US" w:eastAsia="zh-CN"/>
                    </w:rPr>
                  </w:pPr>
                  <w:r>
                    <w:rPr>
                      <w:rFonts w:hint="eastAsia"/>
                      <w:color w:val="auto"/>
                      <w:sz w:val="21"/>
                      <w:szCs w:val="21"/>
                      <w:lang w:val="en-US" w:eastAsia="zh-CN"/>
                    </w:rPr>
                    <w:t>冷却水池</w:t>
                  </w:r>
                </w:p>
              </w:tc>
              <w:tc>
                <w:tcPr>
                  <w:tcW w:w="1528" w:type="pct"/>
                  <w:noWrap w:val="0"/>
                  <w:vAlign w:val="center"/>
                </w:tcPr>
                <w:p w14:paraId="5E12400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2.5m*3.5m*1.4m</w:t>
                  </w:r>
                </w:p>
              </w:tc>
              <w:tc>
                <w:tcPr>
                  <w:tcW w:w="802" w:type="pct"/>
                  <w:noWrap w:val="0"/>
                  <w:vAlign w:val="center"/>
                </w:tcPr>
                <w:p w14:paraId="0E9B810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2</w:t>
                  </w:r>
                </w:p>
              </w:tc>
              <w:tc>
                <w:tcPr>
                  <w:tcW w:w="722" w:type="pct"/>
                  <w:noWrap w:val="0"/>
                  <w:vAlign w:val="center"/>
                </w:tcPr>
                <w:p w14:paraId="7D939F40">
                  <w:pPr>
                    <w:keepNext w:val="0"/>
                    <w:keepLines w:val="0"/>
                    <w:suppressLineNumbers w:val="0"/>
                    <w:spacing w:before="0" w:beforeAutospacing="0" w:after="0" w:afterAutospacing="0"/>
                    <w:ind w:left="0" w:leftChars="0" w:right="0" w:rightChars="0"/>
                    <w:jc w:val="center"/>
                    <w:rPr>
                      <w:rFonts w:hint="default" w:ascii="Times New Roman" w:hAnsi="Times New Roman" w:eastAsia="Times New Roman" w:cs="Times New Roman"/>
                      <w:color w:val="auto"/>
                      <w:sz w:val="21"/>
                      <w:szCs w:val="21"/>
                      <w:lang w:val="en-US" w:eastAsia="zh-CN"/>
                    </w:rPr>
                  </w:pPr>
                  <w:r>
                    <w:rPr>
                      <w:rFonts w:hint="eastAsia" w:ascii="Times New Roman" w:hAnsi="Times New Roman" w:eastAsia="Times New Roman" w:cs="Times New Roman"/>
                      <w:color w:val="auto"/>
                      <w:sz w:val="21"/>
                      <w:szCs w:val="21"/>
                      <w:lang w:val="en-US" w:eastAsia="zh-CN"/>
                    </w:rPr>
                    <w:t>水冷</w:t>
                  </w:r>
                </w:p>
              </w:tc>
            </w:tr>
            <w:tr w14:paraId="15FE5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5" w:type="pct"/>
                  <w:noWrap w:val="0"/>
                  <w:vAlign w:val="center"/>
                </w:tcPr>
                <w:p w14:paraId="1EF7DA2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9</w:t>
                  </w:r>
                </w:p>
              </w:tc>
              <w:tc>
                <w:tcPr>
                  <w:tcW w:w="1540" w:type="pct"/>
                  <w:noWrap w:val="0"/>
                  <w:vAlign w:val="center"/>
                </w:tcPr>
                <w:p w14:paraId="1EB7EE30">
                  <w:pPr>
                    <w:keepNext w:val="0"/>
                    <w:keepLines w:val="0"/>
                    <w:suppressLineNumbers w:val="0"/>
                    <w:adjustRightInd w:val="0"/>
                    <w:snapToGrid w:val="0"/>
                    <w:spacing w:before="0" w:beforeAutospacing="0" w:after="0" w:afterAutospacing="0"/>
                    <w:ind w:left="0" w:right="0"/>
                    <w:jc w:val="center"/>
                    <w:rPr>
                      <w:rFonts w:hint="default" w:eastAsia="宋体"/>
                      <w:color w:val="auto"/>
                      <w:sz w:val="21"/>
                      <w:szCs w:val="21"/>
                      <w:lang w:val="en-US" w:eastAsia="zh-CN"/>
                    </w:rPr>
                  </w:pPr>
                  <w:r>
                    <w:rPr>
                      <w:rFonts w:hint="eastAsia"/>
                      <w:color w:val="auto"/>
                      <w:sz w:val="21"/>
                      <w:szCs w:val="21"/>
                      <w:lang w:val="en-US" w:eastAsia="zh-CN"/>
                    </w:rPr>
                    <w:t>冷却油池</w:t>
                  </w:r>
                </w:p>
              </w:tc>
              <w:tc>
                <w:tcPr>
                  <w:tcW w:w="1528" w:type="pct"/>
                  <w:noWrap w:val="0"/>
                  <w:vAlign w:val="center"/>
                </w:tcPr>
                <w:p w14:paraId="3E6CEEF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1.5m*1.2m*1m</w:t>
                  </w:r>
                </w:p>
              </w:tc>
              <w:tc>
                <w:tcPr>
                  <w:tcW w:w="802" w:type="pct"/>
                  <w:noWrap w:val="0"/>
                  <w:vAlign w:val="center"/>
                </w:tcPr>
                <w:p w14:paraId="11083EC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2</w:t>
                  </w:r>
                </w:p>
              </w:tc>
              <w:tc>
                <w:tcPr>
                  <w:tcW w:w="722" w:type="pct"/>
                  <w:noWrap w:val="0"/>
                  <w:vAlign w:val="center"/>
                </w:tcPr>
                <w:p w14:paraId="5F827F9A">
                  <w:pPr>
                    <w:keepNext w:val="0"/>
                    <w:keepLines w:val="0"/>
                    <w:suppressLineNumbers w:val="0"/>
                    <w:spacing w:before="0" w:beforeAutospacing="0" w:after="0" w:afterAutospacing="0"/>
                    <w:ind w:left="0" w:leftChars="0" w:right="0" w:rightChars="0"/>
                    <w:jc w:val="center"/>
                    <w:rPr>
                      <w:rFonts w:hint="default" w:ascii="Times New Roman" w:hAnsi="Times New Roman" w:eastAsia="Times New Roman" w:cs="Times New Roman"/>
                      <w:color w:val="auto"/>
                      <w:sz w:val="21"/>
                      <w:szCs w:val="21"/>
                      <w:lang w:val="en-US" w:eastAsia="zh-CN"/>
                    </w:rPr>
                  </w:pPr>
                  <w:r>
                    <w:rPr>
                      <w:rFonts w:hint="eastAsia" w:ascii="Times New Roman" w:hAnsi="Times New Roman" w:eastAsia="Times New Roman" w:cs="Times New Roman"/>
                      <w:color w:val="auto"/>
                      <w:sz w:val="21"/>
                      <w:szCs w:val="21"/>
                      <w:lang w:val="en-US" w:eastAsia="zh-CN"/>
                    </w:rPr>
                    <w:t>油冷</w:t>
                  </w:r>
                </w:p>
              </w:tc>
            </w:tr>
            <w:tr w14:paraId="68DEA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5"/>
                  <w:noWrap w:val="0"/>
                  <w:vAlign w:val="center"/>
                </w:tcPr>
                <w:p w14:paraId="2AB5BEED">
                  <w:pPr>
                    <w:pStyle w:val="62"/>
                    <w:keepNext w:val="0"/>
                    <w:keepLines w:val="0"/>
                    <w:suppressLineNumbers w:val="0"/>
                    <w:bidi w:val="0"/>
                    <w:spacing w:before="0" w:beforeAutospacing="0" w:after="0" w:afterAutospacing="0" w:line="240" w:lineRule="auto"/>
                    <w:ind w:left="0" w:leftChars="0" w:right="0" w:firstLine="0" w:firstLineChars="0"/>
                    <w:rPr>
                      <w:rFonts w:hint="default"/>
                      <w:color w:val="auto"/>
                      <w:sz w:val="21"/>
                      <w:szCs w:val="21"/>
                      <w:lang w:val="en-US" w:eastAsia="zh-CN"/>
                    </w:rPr>
                  </w:pPr>
                  <w:r>
                    <w:rPr>
                      <w:rFonts w:hint="eastAsia"/>
                      <w:color w:val="auto"/>
                      <w:sz w:val="21"/>
                      <w:szCs w:val="21"/>
                      <w:lang w:val="en-US" w:eastAsia="zh-CN"/>
                    </w:rPr>
                    <w:t>备注：1.电加热采用电阻丝通电发热，依靠热辐射、空气对流把热量传递到工件表面，热量再由工件表层传导到钢材内部；2.天然气加热是将天然气和空气按合理比例送入燃烧器，充分燃烧释放大量热能，炉膛内产生高温烟气，依靠高温烟气对流+炉壁热辐射把热量传递给工件。</w:t>
                  </w:r>
                </w:p>
              </w:tc>
            </w:tr>
          </w:tbl>
          <w:p w14:paraId="35AE0349">
            <w:pPr>
              <w:pStyle w:val="244"/>
              <w:keepNext w:val="0"/>
              <w:keepLines w:val="0"/>
              <w:widowControl w:val="0"/>
              <w:suppressLineNumbers w:val="0"/>
              <w:spacing w:before="0" w:beforeAutospacing="0" w:after="0" w:afterAutospacing="0" w:line="440" w:lineRule="exact"/>
              <w:ind w:left="0" w:right="0"/>
              <w:rPr>
                <w:rFonts w:hint="default" w:ascii="Times New Roman" w:hAnsi="Times New Roman" w:eastAsia="宋体" w:cs="Times New Roman"/>
                <w:b/>
                <w:color w:val="000000" w:themeColor="text1"/>
              </w:rPr>
            </w:pPr>
            <w:r>
              <w:rPr>
                <w:rFonts w:hint="default" w:ascii="Times New Roman" w:hAnsi="Times New Roman" w:eastAsia="宋体" w:cs="Times New Roman"/>
                <w:b/>
                <w:color w:val="000000" w:themeColor="text1"/>
                <w:kern w:val="2"/>
                <w:sz w:val="24"/>
                <w:szCs w:val="24"/>
              </w:rPr>
              <w:t>5、原辅材料及能源消耗</w:t>
            </w:r>
          </w:p>
          <w:p w14:paraId="2EF984BE">
            <w:pPr>
              <w:keepNext w:val="0"/>
              <w:keepLines w:val="0"/>
              <w:suppressLineNumbers w:val="0"/>
              <w:adjustRightInd w:val="0"/>
              <w:spacing w:before="0" w:beforeAutospacing="0" w:after="0" w:afterAutospacing="0" w:line="440" w:lineRule="exact"/>
              <w:ind w:left="0" w:right="0" w:firstLine="472" w:firstLineChars="196"/>
              <w:rPr>
                <w:rFonts w:hint="default" w:ascii="Times New Roman" w:hAnsi="Times New Roman" w:eastAsia="宋体" w:cs="Times New Roman"/>
                <w:b/>
                <w:color w:val="000000" w:themeColor="text1"/>
                <w:sz w:val="24"/>
              </w:rPr>
            </w:pPr>
            <w:r>
              <w:rPr>
                <w:rFonts w:hint="default" w:ascii="Times New Roman" w:hAnsi="Times New Roman" w:eastAsia="宋体" w:cs="Times New Roman"/>
                <w:b/>
                <w:color w:val="000000" w:themeColor="text1"/>
                <w:sz w:val="24"/>
                <w:lang w:eastAsia="zh-CN"/>
              </w:rPr>
              <w:t>（</w:t>
            </w:r>
            <w:r>
              <w:rPr>
                <w:rFonts w:hint="default" w:ascii="Times New Roman" w:hAnsi="Times New Roman" w:eastAsia="宋体" w:cs="Times New Roman"/>
                <w:b/>
                <w:color w:val="000000" w:themeColor="text1"/>
                <w:sz w:val="24"/>
                <w:lang w:val="en-US" w:eastAsia="zh-CN"/>
              </w:rPr>
              <w:t>1</w:t>
            </w:r>
            <w:r>
              <w:rPr>
                <w:rFonts w:hint="default" w:ascii="Times New Roman" w:hAnsi="Times New Roman" w:eastAsia="宋体" w:cs="Times New Roman"/>
                <w:b/>
                <w:color w:val="000000" w:themeColor="text1"/>
                <w:sz w:val="24"/>
                <w:lang w:eastAsia="zh-CN"/>
              </w:rPr>
              <w:t>）</w:t>
            </w:r>
            <w:r>
              <w:rPr>
                <w:rFonts w:hint="default" w:ascii="Times New Roman" w:hAnsi="Times New Roman" w:eastAsia="宋体" w:cs="Times New Roman"/>
                <w:b/>
                <w:color w:val="000000" w:themeColor="text1"/>
                <w:sz w:val="24"/>
              </w:rPr>
              <w:t>项目原辅材料及能源消耗</w:t>
            </w:r>
          </w:p>
          <w:p w14:paraId="73CF9790">
            <w:pPr>
              <w:pStyle w:val="63"/>
              <w:keepNext w:val="0"/>
              <w:keepLines w:val="0"/>
              <w:suppressLineNumbers w:val="0"/>
              <w:spacing w:before="0" w:beforeAutospacing="0" w:after="0" w:afterAutospacing="0"/>
              <w:ind w:left="0" w:right="0"/>
              <w:rPr>
                <w:rFonts w:hint="default" w:ascii="Times New Roman" w:hAnsi="Times New Roman" w:eastAsia="宋体" w:cs="Times New Roman"/>
                <w:color w:val="000000" w:themeColor="text1"/>
              </w:rPr>
            </w:pPr>
            <w:r>
              <w:rPr>
                <w:rFonts w:hint="default" w:ascii="Times New Roman" w:hAnsi="Times New Roman" w:eastAsia="宋体" w:cs="Times New Roman"/>
                <w:color w:val="000000" w:themeColor="text1"/>
              </w:rPr>
              <w:t>表2-</w:t>
            </w:r>
            <w:r>
              <w:rPr>
                <w:rFonts w:hint="eastAsia" w:cs="Times New Roman"/>
                <w:color w:val="000000" w:themeColor="text1"/>
                <w:lang w:val="en-US" w:eastAsia="zh-CN"/>
              </w:rPr>
              <w:t>6</w:t>
            </w:r>
            <w:r>
              <w:rPr>
                <w:rFonts w:hint="default" w:ascii="Times New Roman" w:hAnsi="Times New Roman" w:eastAsia="宋体" w:cs="Times New Roman"/>
                <w:color w:val="000000" w:themeColor="text1"/>
              </w:rPr>
              <w:t xml:space="preserve">  项目主要原辅材料及能源消耗量一览表</w:t>
            </w:r>
          </w:p>
          <w:tbl>
            <w:tblPr>
              <w:tblStyle w:val="52"/>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2219"/>
              <w:gridCol w:w="1087"/>
              <w:gridCol w:w="1138"/>
              <w:gridCol w:w="3148"/>
            </w:tblGrid>
            <w:tr w14:paraId="13EFB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0" w:type="pct"/>
                  <w:noWrap w:val="0"/>
                  <w:vAlign w:val="center"/>
                </w:tcPr>
                <w:p w14:paraId="5D67824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sz w:val="21"/>
                      <w:szCs w:val="21"/>
                    </w:rPr>
                  </w:pPr>
                  <w:r>
                    <w:rPr>
                      <w:rFonts w:hint="default" w:ascii="Times New Roman" w:hAnsi="Times New Roman" w:cs="Times New Roman"/>
                      <w:b/>
                      <w:sz w:val="21"/>
                      <w:szCs w:val="21"/>
                    </w:rPr>
                    <w:t>序号</w:t>
                  </w:r>
                </w:p>
              </w:tc>
              <w:tc>
                <w:tcPr>
                  <w:tcW w:w="1326" w:type="pct"/>
                  <w:noWrap w:val="0"/>
                  <w:vAlign w:val="center"/>
                </w:tcPr>
                <w:p w14:paraId="4C95232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sz w:val="21"/>
                      <w:szCs w:val="21"/>
                    </w:rPr>
                  </w:pPr>
                  <w:r>
                    <w:rPr>
                      <w:rFonts w:hint="default" w:ascii="Times New Roman" w:hAnsi="Times New Roman" w:cs="Times New Roman"/>
                      <w:b/>
                      <w:sz w:val="21"/>
                      <w:szCs w:val="21"/>
                    </w:rPr>
                    <w:t>原材料</w:t>
                  </w:r>
                </w:p>
              </w:tc>
              <w:tc>
                <w:tcPr>
                  <w:tcW w:w="649" w:type="pct"/>
                  <w:noWrap w:val="0"/>
                  <w:vAlign w:val="center"/>
                </w:tcPr>
                <w:p w14:paraId="63C6C07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sz w:val="21"/>
                      <w:szCs w:val="21"/>
                    </w:rPr>
                  </w:pPr>
                  <w:r>
                    <w:rPr>
                      <w:rFonts w:hint="default" w:ascii="Times New Roman" w:hAnsi="Times New Roman" w:cs="Times New Roman"/>
                      <w:b/>
                      <w:sz w:val="21"/>
                      <w:szCs w:val="21"/>
                    </w:rPr>
                    <w:t>单位</w:t>
                  </w:r>
                </w:p>
              </w:tc>
              <w:tc>
                <w:tcPr>
                  <w:tcW w:w="680" w:type="pct"/>
                  <w:noWrap w:val="0"/>
                  <w:vAlign w:val="center"/>
                </w:tcPr>
                <w:p w14:paraId="5A80D74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sz w:val="21"/>
                      <w:szCs w:val="21"/>
                    </w:rPr>
                  </w:pPr>
                  <w:r>
                    <w:rPr>
                      <w:rFonts w:hint="default" w:ascii="Times New Roman" w:hAnsi="Times New Roman" w:cs="Times New Roman"/>
                      <w:b/>
                      <w:sz w:val="21"/>
                      <w:szCs w:val="21"/>
                    </w:rPr>
                    <w:t>用量</w:t>
                  </w:r>
                </w:p>
              </w:tc>
              <w:tc>
                <w:tcPr>
                  <w:tcW w:w="1882" w:type="pct"/>
                  <w:noWrap w:val="0"/>
                  <w:vAlign w:val="center"/>
                </w:tcPr>
                <w:p w14:paraId="1D4E185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sz w:val="21"/>
                      <w:szCs w:val="21"/>
                    </w:rPr>
                  </w:pPr>
                  <w:r>
                    <w:rPr>
                      <w:rFonts w:hint="default" w:ascii="Times New Roman" w:hAnsi="Times New Roman" w:cs="Times New Roman"/>
                      <w:b/>
                      <w:sz w:val="21"/>
                      <w:szCs w:val="21"/>
                    </w:rPr>
                    <w:t>备注</w:t>
                  </w:r>
                </w:p>
              </w:tc>
            </w:tr>
            <w:tr w14:paraId="7DB0C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5"/>
                  <w:noWrap w:val="0"/>
                  <w:vAlign w:val="center"/>
                </w:tcPr>
                <w:p w14:paraId="59CF5BD4">
                  <w:pPr>
                    <w:keepNext w:val="0"/>
                    <w:keepLines w:val="0"/>
                    <w:suppressLineNumbers w:val="0"/>
                    <w:spacing w:before="0" w:beforeAutospacing="0" w:after="0" w:afterAutospacing="0" w:line="240" w:lineRule="auto"/>
                    <w:ind w:left="0" w:right="0"/>
                    <w:rPr>
                      <w:rFonts w:hint="default" w:ascii="Times New Roman" w:hAnsi="Times New Roman" w:cs="Times New Roman"/>
                      <w:b/>
                      <w:sz w:val="21"/>
                      <w:szCs w:val="21"/>
                    </w:rPr>
                  </w:pPr>
                  <w:r>
                    <w:rPr>
                      <w:rFonts w:hint="default" w:ascii="Times New Roman" w:hAnsi="Times New Roman" w:cs="Times New Roman"/>
                      <w:bCs/>
                      <w:sz w:val="21"/>
                      <w:szCs w:val="21"/>
                    </w:rPr>
                    <w:t>一、主要原辅料</w:t>
                  </w:r>
                </w:p>
              </w:tc>
            </w:tr>
            <w:tr w14:paraId="29EC9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0" w:type="pct"/>
                  <w:noWrap w:val="0"/>
                  <w:vAlign w:val="center"/>
                </w:tcPr>
                <w:p w14:paraId="05052A5D">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1</w:t>
                  </w:r>
                </w:p>
              </w:tc>
              <w:tc>
                <w:tcPr>
                  <w:tcW w:w="1326" w:type="pct"/>
                  <w:noWrap w:val="0"/>
                  <w:vAlign w:val="center"/>
                </w:tcPr>
                <w:p w14:paraId="544DED8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bCs/>
                      <w:color w:val="auto"/>
                      <w:sz w:val="21"/>
                      <w:szCs w:val="21"/>
                      <w:lang w:val="en-US" w:eastAsia="zh-CN"/>
                    </w:rPr>
                    <w:t>汽车金属零配外来件（45#钢）</w:t>
                  </w:r>
                </w:p>
              </w:tc>
              <w:tc>
                <w:tcPr>
                  <w:tcW w:w="649" w:type="pct"/>
                  <w:noWrap w:val="0"/>
                  <w:vAlign w:val="center"/>
                </w:tcPr>
                <w:p w14:paraId="1051898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t/a</w:t>
                  </w:r>
                </w:p>
              </w:tc>
              <w:tc>
                <w:tcPr>
                  <w:tcW w:w="680" w:type="pct"/>
                  <w:noWrap w:val="0"/>
                  <w:vAlign w:val="center"/>
                </w:tcPr>
                <w:p w14:paraId="13F9311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bCs/>
                      <w:color w:val="auto"/>
                      <w:sz w:val="21"/>
                      <w:szCs w:val="21"/>
                      <w:lang w:val="en-US" w:eastAsia="zh-CN"/>
                    </w:rPr>
                    <w:t>1500</w:t>
                  </w:r>
                </w:p>
              </w:tc>
              <w:tc>
                <w:tcPr>
                  <w:tcW w:w="1882" w:type="pct"/>
                  <w:vMerge w:val="restart"/>
                  <w:noWrap w:val="0"/>
                  <w:vAlign w:val="center"/>
                </w:tcPr>
                <w:p w14:paraId="4FDACD1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均为外来件进行热处理</w:t>
                  </w:r>
                </w:p>
              </w:tc>
            </w:tr>
            <w:tr w14:paraId="4E15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0" w:type="pct"/>
                  <w:noWrap w:val="0"/>
                  <w:vAlign w:val="center"/>
                </w:tcPr>
                <w:p w14:paraId="03D46D97">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2</w:t>
                  </w:r>
                </w:p>
              </w:tc>
              <w:tc>
                <w:tcPr>
                  <w:tcW w:w="1326" w:type="pct"/>
                  <w:noWrap w:val="0"/>
                  <w:vAlign w:val="center"/>
                </w:tcPr>
                <w:p w14:paraId="2DD0D15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bCs/>
                      <w:color w:val="auto"/>
                      <w:sz w:val="21"/>
                      <w:szCs w:val="21"/>
                      <w:lang w:val="en-US" w:eastAsia="zh-CN"/>
                    </w:rPr>
                    <w:t>汽车金属零配外来件</w:t>
                  </w:r>
                  <w:r>
                    <w:rPr>
                      <w:rFonts w:hint="default" w:ascii="Times New Roman" w:hAnsi="Times New Roman" w:cs="Times New Roman"/>
                      <w:color w:val="auto"/>
                      <w:sz w:val="21"/>
                      <w:szCs w:val="21"/>
                      <w:lang w:val="en-US" w:eastAsia="zh-CN"/>
                    </w:rPr>
                    <w:t>（40Cr合金钢）</w:t>
                  </w:r>
                </w:p>
              </w:tc>
              <w:tc>
                <w:tcPr>
                  <w:tcW w:w="649" w:type="pct"/>
                  <w:noWrap w:val="0"/>
                  <w:vAlign w:val="center"/>
                </w:tcPr>
                <w:p w14:paraId="397D817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t/a</w:t>
                  </w:r>
                </w:p>
              </w:tc>
              <w:tc>
                <w:tcPr>
                  <w:tcW w:w="680" w:type="pct"/>
                  <w:noWrap w:val="0"/>
                  <w:vAlign w:val="center"/>
                </w:tcPr>
                <w:p w14:paraId="0206040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1000</w:t>
                  </w:r>
                </w:p>
              </w:tc>
              <w:tc>
                <w:tcPr>
                  <w:tcW w:w="1882" w:type="pct"/>
                  <w:vMerge w:val="continue"/>
                  <w:noWrap w:val="0"/>
                  <w:vAlign w:val="center"/>
                </w:tcPr>
                <w:p w14:paraId="7384F13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p>
              </w:tc>
            </w:tr>
            <w:tr w14:paraId="02EE0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0" w:type="pct"/>
                  <w:noWrap w:val="0"/>
                  <w:vAlign w:val="center"/>
                </w:tcPr>
                <w:p w14:paraId="27BAE8D5">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3</w:t>
                  </w:r>
                </w:p>
              </w:tc>
              <w:tc>
                <w:tcPr>
                  <w:tcW w:w="1326" w:type="pct"/>
                  <w:noWrap w:val="0"/>
                  <w:vAlign w:val="center"/>
                </w:tcPr>
                <w:p w14:paraId="7B740CA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bCs/>
                      <w:color w:val="auto"/>
                      <w:sz w:val="21"/>
                      <w:szCs w:val="21"/>
                      <w:lang w:val="en-US" w:eastAsia="zh-CN"/>
                    </w:rPr>
                    <w:t>汽车金属零配外来件</w:t>
                  </w:r>
                  <w:r>
                    <w:rPr>
                      <w:rFonts w:hint="default" w:ascii="Times New Roman" w:hAnsi="Times New Roman" w:cs="Times New Roman"/>
                      <w:color w:val="auto"/>
                      <w:sz w:val="21"/>
                      <w:szCs w:val="21"/>
                      <w:lang w:val="en-US" w:eastAsia="zh-CN"/>
                    </w:rPr>
                    <w:t>（35Crom合金钢）</w:t>
                  </w:r>
                </w:p>
              </w:tc>
              <w:tc>
                <w:tcPr>
                  <w:tcW w:w="649" w:type="pct"/>
                  <w:noWrap w:val="0"/>
                  <w:vAlign w:val="center"/>
                </w:tcPr>
                <w:p w14:paraId="7529BBF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t/a</w:t>
                  </w:r>
                </w:p>
              </w:tc>
              <w:tc>
                <w:tcPr>
                  <w:tcW w:w="680" w:type="pct"/>
                  <w:noWrap w:val="0"/>
                  <w:vAlign w:val="center"/>
                </w:tcPr>
                <w:p w14:paraId="7351601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1000</w:t>
                  </w:r>
                </w:p>
              </w:tc>
              <w:tc>
                <w:tcPr>
                  <w:tcW w:w="1882" w:type="pct"/>
                  <w:vMerge w:val="continue"/>
                  <w:noWrap w:val="0"/>
                  <w:vAlign w:val="center"/>
                </w:tcPr>
                <w:p w14:paraId="75317DC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p>
              </w:tc>
            </w:tr>
            <w:tr w14:paraId="0FC28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0" w:type="pct"/>
                  <w:noWrap w:val="0"/>
                  <w:vAlign w:val="center"/>
                </w:tcPr>
                <w:p w14:paraId="0598AE61">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i w:val="0"/>
                      <w:iCs w:val="0"/>
                      <w:color w:val="auto"/>
                      <w:kern w:val="0"/>
                      <w:sz w:val="21"/>
                      <w:szCs w:val="21"/>
                      <w:u w:val="none"/>
                      <w:lang w:val="en-US" w:eastAsia="zh-CN" w:bidi="ar"/>
                    </w:rPr>
                    <w:t>4</w:t>
                  </w:r>
                </w:p>
              </w:tc>
              <w:tc>
                <w:tcPr>
                  <w:tcW w:w="1326" w:type="pct"/>
                  <w:noWrap w:val="0"/>
                  <w:vAlign w:val="center"/>
                </w:tcPr>
                <w:p w14:paraId="731AC7D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淬火油</w:t>
                  </w:r>
                </w:p>
              </w:tc>
              <w:tc>
                <w:tcPr>
                  <w:tcW w:w="649" w:type="pct"/>
                  <w:noWrap w:val="0"/>
                  <w:vAlign w:val="center"/>
                </w:tcPr>
                <w:p w14:paraId="79F68E0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t/a</w:t>
                  </w:r>
                </w:p>
              </w:tc>
              <w:tc>
                <w:tcPr>
                  <w:tcW w:w="680" w:type="pct"/>
                  <w:noWrap w:val="0"/>
                  <w:vAlign w:val="center"/>
                </w:tcPr>
                <w:p w14:paraId="7C6082F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12</w:t>
                  </w:r>
                </w:p>
              </w:tc>
              <w:tc>
                <w:tcPr>
                  <w:tcW w:w="1882" w:type="pct"/>
                  <w:noWrap w:val="0"/>
                  <w:vAlign w:val="center"/>
                </w:tcPr>
                <w:p w14:paraId="7A0E431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外购，</w:t>
                  </w:r>
                  <w:r>
                    <w:rPr>
                      <w:rFonts w:hint="default" w:ascii="Times New Roman" w:hAnsi="Times New Roman" w:eastAsia="Times New Roman" w:cs="Times New Roman"/>
                      <w:color w:val="auto"/>
                      <w:sz w:val="21"/>
                      <w:szCs w:val="21"/>
                      <w:lang w:val="en-US" w:eastAsia="zh-CN"/>
                    </w:rPr>
                    <w:t>200kg/桶</w:t>
                  </w:r>
                </w:p>
              </w:tc>
            </w:tr>
            <w:tr w14:paraId="1F0B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0" w:type="pct"/>
                  <w:noWrap w:val="0"/>
                  <w:vAlign w:val="center"/>
                </w:tcPr>
                <w:p w14:paraId="41D9AAFB">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i w:val="0"/>
                      <w:iCs w:val="0"/>
                      <w:color w:val="auto"/>
                      <w:kern w:val="0"/>
                      <w:sz w:val="21"/>
                      <w:szCs w:val="21"/>
                      <w:u w:val="none"/>
                      <w:lang w:val="en-US" w:eastAsia="zh-CN" w:bidi="ar"/>
                    </w:rPr>
                    <w:t>5</w:t>
                  </w:r>
                </w:p>
              </w:tc>
              <w:tc>
                <w:tcPr>
                  <w:tcW w:w="1326" w:type="pct"/>
                  <w:noWrap w:val="0"/>
                  <w:vAlign w:val="center"/>
                </w:tcPr>
                <w:p w14:paraId="135270B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丙烷</w:t>
                  </w:r>
                </w:p>
              </w:tc>
              <w:tc>
                <w:tcPr>
                  <w:tcW w:w="649" w:type="pct"/>
                  <w:noWrap w:val="0"/>
                  <w:vAlign w:val="center"/>
                </w:tcPr>
                <w:p w14:paraId="075E775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t/a</w:t>
                  </w:r>
                </w:p>
              </w:tc>
              <w:tc>
                <w:tcPr>
                  <w:tcW w:w="680" w:type="pct"/>
                  <w:noWrap w:val="0"/>
                  <w:vAlign w:val="center"/>
                </w:tcPr>
                <w:p w14:paraId="1F5ED69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42</w:t>
                  </w:r>
                </w:p>
              </w:tc>
              <w:tc>
                <w:tcPr>
                  <w:tcW w:w="1882" w:type="pct"/>
                  <w:noWrap w:val="0"/>
                  <w:vAlign w:val="center"/>
                </w:tcPr>
                <w:p w14:paraId="7EEDD72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外购，</w:t>
                  </w:r>
                  <w:r>
                    <w:rPr>
                      <w:rFonts w:hint="default" w:ascii="Times New Roman" w:hAnsi="Times New Roman" w:eastAsia="Times New Roman" w:cs="Times New Roman"/>
                      <w:color w:val="auto"/>
                      <w:sz w:val="21"/>
                      <w:szCs w:val="21"/>
                      <w:lang w:val="en-US" w:eastAsia="zh-CN"/>
                    </w:rPr>
                    <w:t>200kg/瓶</w:t>
                  </w:r>
                </w:p>
              </w:tc>
            </w:tr>
            <w:tr w14:paraId="5D8F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0" w:type="pct"/>
                  <w:noWrap w:val="0"/>
                  <w:vAlign w:val="center"/>
                </w:tcPr>
                <w:p w14:paraId="08DF5455">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i w:val="0"/>
                      <w:iCs w:val="0"/>
                      <w:color w:val="auto"/>
                      <w:kern w:val="0"/>
                      <w:sz w:val="21"/>
                      <w:szCs w:val="21"/>
                      <w:u w:val="none"/>
                      <w:lang w:val="en-US" w:eastAsia="zh-CN" w:bidi="ar"/>
                    </w:rPr>
                    <w:t>6</w:t>
                  </w:r>
                </w:p>
              </w:tc>
              <w:tc>
                <w:tcPr>
                  <w:tcW w:w="1326" w:type="pct"/>
                  <w:noWrap w:val="0"/>
                  <w:vAlign w:val="center"/>
                </w:tcPr>
                <w:p w14:paraId="4F44DD7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甲醇</w:t>
                  </w:r>
                </w:p>
              </w:tc>
              <w:tc>
                <w:tcPr>
                  <w:tcW w:w="649" w:type="pct"/>
                  <w:noWrap w:val="0"/>
                  <w:vAlign w:val="center"/>
                </w:tcPr>
                <w:p w14:paraId="1F0903B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t/a</w:t>
                  </w:r>
                </w:p>
              </w:tc>
              <w:tc>
                <w:tcPr>
                  <w:tcW w:w="680" w:type="pct"/>
                  <w:noWrap w:val="0"/>
                  <w:vAlign w:val="center"/>
                </w:tcPr>
                <w:p w14:paraId="741D01F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100</w:t>
                  </w:r>
                </w:p>
              </w:tc>
              <w:tc>
                <w:tcPr>
                  <w:tcW w:w="1882" w:type="pct"/>
                  <w:noWrap w:val="0"/>
                  <w:vAlign w:val="center"/>
                </w:tcPr>
                <w:p w14:paraId="602222F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外购，</w:t>
                  </w:r>
                  <w:r>
                    <w:rPr>
                      <w:rFonts w:hint="default" w:ascii="Times New Roman" w:hAnsi="Times New Roman" w:eastAsia="Times New Roman" w:cs="Times New Roman"/>
                      <w:color w:val="auto"/>
                      <w:sz w:val="21"/>
                      <w:szCs w:val="21"/>
                      <w:lang w:val="en-US" w:eastAsia="zh-CN"/>
                    </w:rPr>
                    <w:t>200kg/瓶</w:t>
                  </w:r>
                </w:p>
              </w:tc>
            </w:tr>
            <w:tr w14:paraId="0BF1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0" w:type="pct"/>
                  <w:noWrap w:val="0"/>
                  <w:vAlign w:val="center"/>
                </w:tcPr>
                <w:p w14:paraId="54360BCB">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7</w:t>
                  </w:r>
                </w:p>
              </w:tc>
              <w:tc>
                <w:tcPr>
                  <w:tcW w:w="1326" w:type="pct"/>
                  <w:noWrap w:val="0"/>
                  <w:vAlign w:val="center"/>
                </w:tcPr>
                <w:p w14:paraId="0B75017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润滑油</w:t>
                  </w:r>
                </w:p>
              </w:tc>
              <w:tc>
                <w:tcPr>
                  <w:tcW w:w="649" w:type="pct"/>
                  <w:noWrap w:val="0"/>
                  <w:vAlign w:val="center"/>
                </w:tcPr>
                <w:p w14:paraId="35CD3D8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t/a</w:t>
                  </w:r>
                </w:p>
              </w:tc>
              <w:tc>
                <w:tcPr>
                  <w:tcW w:w="680" w:type="pct"/>
                  <w:noWrap w:val="0"/>
                  <w:vAlign w:val="center"/>
                </w:tcPr>
                <w:p w14:paraId="2510B34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0.4</w:t>
                  </w:r>
                </w:p>
              </w:tc>
              <w:tc>
                <w:tcPr>
                  <w:tcW w:w="1882" w:type="pct"/>
                  <w:noWrap w:val="0"/>
                  <w:vAlign w:val="center"/>
                </w:tcPr>
                <w:p w14:paraId="71C2100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外购，</w:t>
                  </w:r>
                  <w:r>
                    <w:rPr>
                      <w:rFonts w:hint="default" w:ascii="Times New Roman" w:hAnsi="Times New Roman" w:eastAsia="Times New Roman" w:cs="Times New Roman"/>
                      <w:color w:val="auto"/>
                      <w:sz w:val="21"/>
                      <w:szCs w:val="21"/>
                      <w:lang w:val="en-US" w:eastAsia="zh-CN"/>
                    </w:rPr>
                    <w:t>200kg/桶</w:t>
                  </w:r>
                </w:p>
              </w:tc>
            </w:tr>
            <w:tr w14:paraId="2084E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5"/>
                  <w:noWrap w:val="0"/>
                  <w:vAlign w:val="center"/>
                </w:tcPr>
                <w:p w14:paraId="2A5E97FC">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rPr>
                  </w:pPr>
                  <w:r>
                    <w:rPr>
                      <w:rFonts w:hint="default" w:ascii="Times New Roman" w:hAnsi="Times New Roman" w:cs="Times New Roman"/>
                      <w:sz w:val="21"/>
                      <w:szCs w:val="21"/>
                    </w:rPr>
                    <w:t>二、能源</w:t>
                  </w:r>
                </w:p>
              </w:tc>
            </w:tr>
            <w:tr w14:paraId="4698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0" w:type="pct"/>
                  <w:noWrap w:val="0"/>
                  <w:vAlign w:val="center"/>
                </w:tcPr>
                <w:p w14:paraId="17C0BAD0">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1</w:t>
                  </w:r>
                </w:p>
              </w:tc>
              <w:tc>
                <w:tcPr>
                  <w:tcW w:w="1326" w:type="pct"/>
                  <w:noWrap w:val="0"/>
                  <w:vAlign w:val="center"/>
                </w:tcPr>
                <w:p w14:paraId="6A11A99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水</w:t>
                  </w:r>
                </w:p>
              </w:tc>
              <w:tc>
                <w:tcPr>
                  <w:tcW w:w="649" w:type="pct"/>
                  <w:noWrap w:val="0"/>
                  <w:vAlign w:val="center"/>
                </w:tcPr>
                <w:p w14:paraId="31D92A9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/a</w:t>
                  </w:r>
                </w:p>
              </w:tc>
              <w:tc>
                <w:tcPr>
                  <w:tcW w:w="680" w:type="pct"/>
                  <w:noWrap w:val="0"/>
                  <w:vAlign w:val="center"/>
                </w:tcPr>
                <w:p w14:paraId="44148C0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957.6</w:t>
                  </w:r>
                </w:p>
              </w:tc>
              <w:tc>
                <w:tcPr>
                  <w:tcW w:w="1882" w:type="pct"/>
                  <w:noWrap w:val="0"/>
                  <w:vAlign w:val="center"/>
                </w:tcPr>
                <w:p w14:paraId="7006ABB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来自市政供水系统</w:t>
                  </w:r>
                </w:p>
              </w:tc>
            </w:tr>
            <w:tr w14:paraId="05414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0" w:type="pct"/>
                  <w:noWrap w:val="0"/>
                  <w:vAlign w:val="center"/>
                </w:tcPr>
                <w:p w14:paraId="34833DA9">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2</w:t>
                  </w:r>
                </w:p>
              </w:tc>
              <w:tc>
                <w:tcPr>
                  <w:tcW w:w="1326" w:type="pct"/>
                  <w:noWrap w:val="0"/>
                  <w:vAlign w:val="center"/>
                </w:tcPr>
                <w:p w14:paraId="214A3A4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电</w:t>
                  </w:r>
                </w:p>
              </w:tc>
              <w:tc>
                <w:tcPr>
                  <w:tcW w:w="649" w:type="pct"/>
                  <w:noWrap w:val="0"/>
                  <w:vAlign w:val="center"/>
                </w:tcPr>
                <w:p w14:paraId="4A47C70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r>
                    <w:rPr>
                      <w:rFonts w:hint="eastAsia" w:ascii="Times New Roman" w:hAnsi="Times New Roman" w:cs="Times New Roman"/>
                      <w:sz w:val="21"/>
                      <w:szCs w:val="21"/>
                      <w:lang w:val="en-US" w:eastAsia="zh-CN"/>
                    </w:rPr>
                    <w:t>万</w:t>
                  </w:r>
                  <w:r>
                    <w:rPr>
                      <w:rFonts w:hint="default" w:ascii="Times New Roman" w:hAnsi="Times New Roman" w:cs="Times New Roman"/>
                      <w:sz w:val="21"/>
                      <w:szCs w:val="21"/>
                    </w:rPr>
                    <w:t>Kwh/a</w:t>
                  </w:r>
                </w:p>
              </w:tc>
              <w:tc>
                <w:tcPr>
                  <w:tcW w:w="680" w:type="pct"/>
                  <w:noWrap w:val="0"/>
                  <w:vAlign w:val="center"/>
                </w:tcPr>
                <w:p w14:paraId="67AD45B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144</w:t>
                  </w:r>
                </w:p>
              </w:tc>
              <w:tc>
                <w:tcPr>
                  <w:tcW w:w="1882" w:type="pct"/>
                  <w:noWrap w:val="0"/>
                  <w:vAlign w:val="center"/>
                </w:tcPr>
                <w:p w14:paraId="1B57F47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来自市政供电系统</w:t>
                  </w:r>
                </w:p>
              </w:tc>
            </w:tr>
            <w:tr w14:paraId="72E45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0" w:type="pct"/>
                  <w:noWrap w:val="0"/>
                  <w:vAlign w:val="center"/>
                </w:tcPr>
                <w:p w14:paraId="2083DBB1">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3</w:t>
                  </w:r>
                </w:p>
              </w:tc>
              <w:tc>
                <w:tcPr>
                  <w:tcW w:w="1326" w:type="pct"/>
                  <w:noWrap w:val="0"/>
                  <w:vAlign w:val="center"/>
                </w:tcPr>
                <w:p w14:paraId="6DEF47F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天然气</w:t>
                  </w:r>
                </w:p>
              </w:tc>
              <w:tc>
                <w:tcPr>
                  <w:tcW w:w="649" w:type="pct"/>
                  <w:noWrap w:val="0"/>
                  <w:vAlign w:val="center"/>
                </w:tcPr>
                <w:p w14:paraId="61A2E60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/a</w:t>
                  </w:r>
                </w:p>
              </w:tc>
              <w:tc>
                <w:tcPr>
                  <w:tcW w:w="680" w:type="pct"/>
                  <w:noWrap w:val="0"/>
                  <w:vAlign w:val="center"/>
                </w:tcPr>
                <w:p w14:paraId="6267222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86400</w:t>
                  </w:r>
                </w:p>
              </w:tc>
              <w:tc>
                <w:tcPr>
                  <w:tcW w:w="1882" w:type="pct"/>
                  <w:noWrap w:val="0"/>
                  <w:vAlign w:val="center"/>
                </w:tcPr>
                <w:p w14:paraId="3342D1E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市政天然气管网</w:t>
                  </w:r>
                </w:p>
              </w:tc>
            </w:tr>
          </w:tbl>
          <w:p w14:paraId="08DC00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default" w:ascii="Times New Roman" w:hAnsi="Times New Roman" w:eastAsia="宋体" w:cs="Times New Roman"/>
                <w:b/>
                <w:color w:val="auto"/>
                <w:sz w:val="24"/>
                <w:szCs w:val="24"/>
                <w:lang w:val="en-US" w:eastAsia="zh-CN"/>
              </w:rPr>
            </w:pPr>
            <w:r>
              <w:rPr>
                <w:rFonts w:hint="eastAsia" w:ascii="Times New Roman" w:hAnsi="Times New Roman" w:eastAsia="Times New Roman" w:cs="Times New Roman"/>
                <w:b/>
                <w:color w:val="auto"/>
                <w:sz w:val="24"/>
                <w:szCs w:val="24"/>
                <w:lang w:eastAsia="zh-CN"/>
              </w:rPr>
              <w:t>（</w:t>
            </w:r>
            <w:r>
              <w:rPr>
                <w:rFonts w:hint="eastAsia" w:ascii="Times New Roman" w:hAnsi="Times New Roman" w:eastAsia="Times New Roman" w:cs="Times New Roman"/>
                <w:b/>
                <w:color w:val="auto"/>
                <w:sz w:val="24"/>
                <w:szCs w:val="24"/>
                <w:lang w:val="en-US" w:eastAsia="zh-CN"/>
              </w:rPr>
              <w:t>2</w:t>
            </w:r>
            <w:r>
              <w:rPr>
                <w:rFonts w:hint="eastAsia" w:ascii="Times New Roman" w:hAnsi="Times New Roman" w:eastAsia="Times New Roman" w:cs="Times New Roman"/>
                <w:b/>
                <w:color w:val="auto"/>
                <w:sz w:val="24"/>
                <w:szCs w:val="24"/>
                <w:lang w:eastAsia="zh-CN"/>
              </w:rPr>
              <w:t>）</w:t>
            </w:r>
            <w:r>
              <w:rPr>
                <w:rFonts w:hint="eastAsia" w:ascii="Times New Roman" w:hAnsi="Times New Roman" w:eastAsia="Times New Roman" w:cs="Times New Roman"/>
                <w:b/>
                <w:color w:val="auto"/>
                <w:sz w:val="24"/>
                <w:szCs w:val="24"/>
                <w:lang w:val="en-US" w:eastAsia="zh-CN"/>
              </w:rPr>
              <w:t>化学品贮存情况</w:t>
            </w:r>
          </w:p>
          <w:p w14:paraId="0676F5E4">
            <w:pPr>
              <w:pStyle w:val="63"/>
              <w:keepNext w:val="0"/>
              <w:keepLines w:val="0"/>
              <w:suppressLineNumbers w:val="0"/>
              <w:bidi w:val="0"/>
              <w:spacing w:before="0" w:beforeAutospacing="0" w:after="0" w:afterAutospacing="0"/>
              <w:ind w:left="0" w:right="0"/>
              <w:jc w:val="both"/>
              <w:rPr>
                <w:rFonts w:hint="default"/>
                <w:color w:val="auto"/>
              </w:rPr>
            </w:pPr>
          </w:p>
          <w:p w14:paraId="12902AEB">
            <w:pPr>
              <w:pStyle w:val="63"/>
              <w:keepNext w:val="0"/>
              <w:keepLines w:val="0"/>
              <w:suppressLineNumbers w:val="0"/>
              <w:bidi w:val="0"/>
              <w:spacing w:before="0" w:beforeAutospacing="0" w:after="0" w:afterAutospacing="0"/>
              <w:ind w:left="0" w:right="0"/>
              <w:rPr>
                <w:rFonts w:hint="default" w:ascii="Times New Roman" w:hAnsi="Times New Roman" w:eastAsia="宋体" w:cs="Times New Roman"/>
                <w:b/>
                <w:color w:val="auto"/>
                <w:kern w:val="0"/>
                <w:szCs w:val="21"/>
              </w:rPr>
            </w:pPr>
            <w:r>
              <w:rPr>
                <w:rFonts w:hint="default"/>
                <w:color w:val="auto"/>
              </w:rPr>
              <w:t>表2-</w:t>
            </w:r>
            <w:r>
              <w:rPr>
                <w:rFonts w:hint="eastAsia"/>
                <w:color w:val="auto"/>
                <w:lang w:val="en-US" w:eastAsia="zh-CN"/>
              </w:rPr>
              <w:t>7</w:t>
            </w:r>
            <w:r>
              <w:rPr>
                <w:rFonts w:hint="default"/>
                <w:color w:val="auto"/>
              </w:rPr>
              <w:t xml:space="preserve">  本项目化学品消耗、包装及储存情况一览表</w:t>
            </w:r>
          </w:p>
          <w:tbl>
            <w:tblPr>
              <w:tblStyle w:val="5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fixed"/>
              <w:tblCellMar>
                <w:top w:w="0" w:type="dxa"/>
                <w:left w:w="28" w:type="dxa"/>
                <w:bottom w:w="0" w:type="dxa"/>
                <w:right w:w="28" w:type="dxa"/>
              </w:tblCellMar>
            </w:tblPr>
            <w:tblGrid>
              <w:gridCol w:w="681"/>
              <w:gridCol w:w="905"/>
              <w:gridCol w:w="1360"/>
              <w:gridCol w:w="1630"/>
              <w:gridCol w:w="1522"/>
              <w:gridCol w:w="1315"/>
              <w:gridCol w:w="953"/>
            </w:tblGrid>
            <w:tr w14:paraId="29FFBC29">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28" w:type="dxa"/>
                  <w:bottom w:w="0" w:type="dxa"/>
                  <w:right w:w="28" w:type="dxa"/>
                </w:tblCellMar>
              </w:tblPrEx>
              <w:trPr>
                <w:trHeight w:val="306" w:hRule="atLeast"/>
                <w:jc w:val="center"/>
              </w:trPr>
              <w:tc>
                <w:tcPr>
                  <w:tcW w:w="407" w:type="pct"/>
                  <w:tcBorders>
                    <w:tl2br w:val="nil"/>
                    <w:tr2bl w:val="nil"/>
                  </w:tcBorders>
                  <w:noWrap w:val="0"/>
                  <w:vAlign w:val="center"/>
                </w:tcPr>
                <w:p w14:paraId="6CC3792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序号</w:t>
                  </w:r>
                </w:p>
              </w:tc>
              <w:tc>
                <w:tcPr>
                  <w:tcW w:w="540" w:type="pct"/>
                  <w:tcBorders>
                    <w:tl2br w:val="nil"/>
                    <w:tr2bl w:val="nil"/>
                  </w:tcBorders>
                  <w:noWrap w:val="0"/>
                  <w:vAlign w:val="center"/>
                </w:tcPr>
                <w:p w14:paraId="11D1AAE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名称</w:t>
                  </w:r>
                </w:p>
              </w:tc>
              <w:tc>
                <w:tcPr>
                  <w:tcW w:w="812" w:type="pct"/>
                  <w:tcBorders>
                    <w:tl2br w:val="nil"/>
                    <w:tr2bl w:val="nil"/>
                  </w:tcBorders>
                  <w:noWrap w:val="0"/>
                  <w:vAlign w:val="center"/>
                </w:tcPr>
                <w:p w14:paraId="3365190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消耗量（t/a）</w:t>
                  </w:r>
                </w:p>
              </w:tc>
              <w:tc>
                <w:tcPr>
                  <w:tcW w:w="974" w:type="pct"/>
                  <w:tcBorders>
                    <w:tl2br w:val="nil"/>
                    <w:tr2bl w:val="nil"/>
                  </w:tcBorders>
                  <w:noWrap w:val="0"/>
                  <w:vAlign w:val="center"/>
                </w:tcPr>
                <w:p w14:paraId="771EDD3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包装规格</w:t>
                  </w:r>
                </w:p>
              </w:tc>
              <w:tc>
                <w:tcPr>
                  <w:tcW w:w="909" w:type="pct"/>
                  <w:tcBorders>
                    <w:tl2br w:val="nil"/>
                    <w:tr2bl w:val="nil"/>
                  </w:tcBorders>
                  <w:noWrap w:val="0"/>
                  <w:vAlign w:val="center"/>
                </w:tcPr>
                <w:p w14:paraId="7466BA0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最大储存（t）</w:t>
                  </w:r>
                </w:p>
              </w:tc>
              <w:tc>
                <w:tcPr>
                  <w:tcW w:w="785" w:type="pct"/>
                  <w:tcBorders>
                    <w:tl2br w:val="nil"/>
                    <w:tr2bl w:val="nil"/>
                  </w:tcBorders>
                  <w:noWrap w:val="0"/>
                  <w:vAlign w:val="center"/>
                </w:tcPr>
                <w:p w14:paraId="74F1D67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贮存周期</w:t>
                  </w:r>
                </w:p>
              </w:tc>
              <w:tc>
                <w:tcPr>
                  <w:tcW w:w="569" w:type="pct"/>
                  <w:tcBorders>
                    <w:tl2br w:val="nil"/>
                    <w:tr2bl w:val="nil"/>
                  </w:tcBorders>
                  <w:noWrap w:val="0"/>
                  <w:vAlign w:val="center"/>
                </w:tcPr>
                <w:p w14:paraId="4FE333E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贮存位置</w:t>
                  </w:r>
                </w:p>
              </w:tc>
            </w:tr>
            <w:tr w14:paraId="7C9D40CE">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28" w:type="dxa"/>
                  <w:bottom w:w="0" w:type="dxa"/>
                  <w:right w:w="28" w:type="dxa"/>
                </w:tblCellMar>
              </w:tblPrEx>
              <w:trPr>
                <w:trHeight w:val="306" w:hRule="atLeast"/>
                <w:jc w:val="center"/>
              </w:trPr>
              <w:tc>
                <w:tcPr>
                  <w:tcW w:w="407" w:type="pct"/>
                  <w:tcBorders>
                    <w:tl2br w:val="nil"/>
                    <w:tr2bl w:val="nil"/>
                  </w:tcBorders>
                  <w:noWrap w:val="0"/>
                  <w:vAlign w:val="center"/>
                </w:tcPr>
                <w:p w14:paraId="514AA97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540" w:type="pct"/>
                  <w:tcBorders>
                    <w:tl2br w:val="nil"/>
                    <w:tr2bl w:val="nil"/>
                  </w:tcBorders>
                  <w:noWrap w:val="0"/>
                  <w:vAlign w:val="center"/>
                </w:tcPr>
                <w:p w14:paraId="684A4B9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rPr>
                  </w:pPr>
                  <w:r>
                    <w:rPr>
                      <w:rFonts w:hint="default" w:ascii="Times New Roman" w:hAnsi="Times New Roman" w:cs="Times New Roman"/>
                      <w:color w:val="auto"/>
                      <w:sz w:val="21"/>
                      <w:szCs w:val="21"/>
                      <w:lang w:val="en-US" w:eastAsia="zh-CN"/>
                    </w:rPr>
                    <w:t>淬火油</w:t>
                  </w:r>
                </w:p>
              </w:tc>
              <w:tc>
                <w:tcPr>
                  <w:tcW w:w="812" w:type="pct"/>
                  <w:tcBorders>
                    <w:tl2br w:val="nil"/>
                    <w:tr2bl w:val="nil"/>
                  </w:tcBorders>
                  <w:noWrap w:val="0"/>
                  <w:vAlign w:val="center"/>
                </w:tcPr>
                <w:p w14:paraId="3D58401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val="en-US" w:eastAsia="zh-CN"/>
                    </w:rPr>
                    <w:t>12</w:t>
                  </w:r>
                </w:p>
              </w:tc>
              <w:tc>
                <w:tcPr>
                  <w:tcW w:w="974" w:type="pct"/>
                  <w:tcBorders>
                    <w:tl2br w:val="nil"/>
                    <w:tr2bl w:val="nil"/>
                  </w:tcBorders>
                  <w:noWrap w:val="0"/>
                  <w:vAlign w:val="center"/>
                </w:tcPr>
                <w:p w14:paraId="67A412C6">
                  <w:pPr>
                    <w:pStyle w:val="463"/>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桶装，</w:t>
                  </w:r>
                  <w:r>
                    <w:rPr>
                      <w:rFonts w:hint="default" w:ascii="Times New Roman" w:hAnsi="Times New Roman" w:cs="Times New Roman"/>
                      <w:color w:val="auto"/>
                      <w:sz w:val="21"/>
                      <w:szCs w:val="21"/>
                      <w:lang w:val="en-US" w:eastAsia="zh-CN"/>
                    </w:rPr>
                    <w:t>2</w:t>
                  </w:r>
                  <w:r>
                    <w:rPr>
                      <w:rFonts w:hint="default" w:ascii="Times New Roman" w:hAnsi="Times New Roman" w:cs="Times New Roman"/>
                      <w:color w:val="auto"/>
                      <w:sz w:val="21"/>
                      <w:szCs w:val="21"/>
                    </w:rPr>
                    <w:t>0</w:t>
                  </w:r>
                  <w:r>
                    <w:rPr>
                      <w:rFonts w:hint="default" w:ascii="Times New Roman" w:hAnsi="Times New Roman" w:cs="Times New Roman"/>
                      <w:color w:val="auto"/>
                      <w:sz w:val="21"/>
                      <w:szCs w:val="21"/>
                      <w:lang w:val="en-US" w:eastAsia="zh-CN"/>
                    </w:rPr>
                    <w:t>0</w:t>
                  </w:r>
                  <w:r>
                    <w:rPr>
                      <w:rFonts w:hint="default" w:ascii="Times New Roman" w:hAnsi="Times New Roman" w:cs="Times New Roman"/>
                      <w:color w:val="auto"/>
                      <w:sz w:val="21"/>
                      <w:szCs w:val="21"/>
                    </w:rPr>
                    <w:t>kg/桶</w:t>
                  </w:r>
                </w:p>
              </w:tc>
              <w:tc>
                <w:tcPr>
                  <w:tcW w:w="909" w:type="pct"/>
                  <w:tcBorders>
                    <w:tl2br w:val="nil"/>
                    <w:tr2bl w:val="nil"/>
                  </w:tcBorders>
                  <w:noWrap w:val="0"/>
                  <w:vAlign w:val="center"/>
                </w:tcPr>
                <w:p w14:paraId="5FCDBA8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1.2</w:t>
                  </w:r>
                </w:p>
              </w:tc>
              <w:tc>
                <w:tcPr>
                  <w:tcW w:w="785" w:type="pct"/>
                  <w:tcBorders>
                    <w:tl2br w:val="nil"/>
                    <w:tr2bl w:val="nil"/>
                  </w:tcBorders>
                  <w:noWrap w:val="0"/>
                  <w:vAlign w:val="center"/>
                </w:tcPr>
                <w:p w14:paraId="0DA5EF90">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30个工作日</w:t>
                  </w:r>
                </w:p>
              </w:tc>
              <w:tc>
                <w:tcPr>
                  <w:tcW w:w="569" w:type="pct"/>
                  <w:vMerge w:val="restart"/>
                  <w:tcBorders>
                    <w:tl2br w:val="nil"/>
                    <w:tr2bl w:val="nil"/>
                  </w:tcBorders>
                  <w:noWrap w:val="0"/>
                  <w:vAlign w:val="center"/>
                </w:tcPr>
                <w:p w14:paraId="0FCFA5B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化学品库</w:t>
                  </w:r>
                </w:p>
              </w:tc>
            </w:tr>
            <w:tr w14:paraId="42E0A391">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28" w:type="dxa"/>
                  <w:bottom w:w="0" w:type="dxa"/>
                  <w:right w:w="28" w:type="dxa"/>
                </w:tblCellMar>
              </w:tblPrEx>
              <w:trPr>
                <w:trHeight w:val="306" w:hRule="atLeast"/>
                <w:jc w:val="center"/>
              </w:trPr>
              <w:tc>
                <w:tcPr>
                  <w:tcW w:w="407" w:type="pct"/>
                  <w:tcBorders>
                    <w:tl2br w:val="nil"/>
                    <w:tr2bl w:val="nil"/>
                  </w:tcBorders>
                  <w:noWrap w:val="0"/>
                  <w:vAlign w:val="center"/>
                </w:tcPr>
                <w:p w14:paraId="13B4DFD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540" w:type="pct"/>
                  <w:tcBorders>
                    <w:tl2br w:val="nil"/>
                    <w:tr2bl w:val="nil"/>
                  </w:tcBorders>
                  <w:noWrap w:val="0"/>
                  <w:vAlign w:val="center"/>
                </w:tcPr>
                <w:p w14:paraId="74E74F3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rPr>
                  </w:pPr>
                  <w:r>
                    <w:rPr>
                      <w:rFonts w:hint="default" w:ascii="Times New Roman" w:hAnsi="Times New Roman" w:cs="Times New Roman"/>
                      <w:color w:val="auto"/>
                      <w:sz w:val="21"/>
                      <w:szCs w:val="21"/>
                      <w:lang w:val="en-US" w:eastAsia="zh-CN"/>
                    </w:rPr>
                    <w:t>丙烷</w:t>
                  </w:r>
                </w:p>
              </w:tc>
              <w:tc>
                <w:tcPr>
                  <w:tcW w:w="812" w:type="pct"/>
                  <w:tcBorders>
                    <w:tl2br w:val="nil"/>
                    <w:tr2bl w:val="nil"/>
                  </w:tcBorders>
                  <w:noWrap w:val="0"/>
                  <w:vAlign w:val="center"/>
                </w:tcPr>
                <w:p w14:paraId="4999133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42</w:t>
                  </w:r>
                </w:p>
              </w:tc>
              <w:tc>
                <w:tcPr>
                  <w:tcW w:w="974" w:type="pct"/>
                  <w:tcBorders>
                    <w:tl2br w:val="nil"/>
                    <w:tr2bl w:val="nil"/>
                  </w:tcBorders>
                  <w:noWrap w:val="0"/>
                  <w:vAlign w:val="center"/>
                </w:tcPr>
                <w:p w14:paraId="4BB1A5A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瓶</w:t>
                  </w:r>
                  <w:r>
                    <w:rPr>
                      <w:rFonts w:hint="default" w:ascii="Times New Roman" w:hAnsi="Times New Roman" w:eastAsia="宋体" w:cs="Times New Roman"/>
                      <w:color w:val="auto"/>
                      <w:sz w:val="21"/>
                      <w:szCs w:val="21"/>
                    </w:rPr>
                    <w:t>装，</w:t>
                  </w:r>
                  <w:r>
                    <w:rPr>
                      <w:rFonts w:hint="default" w:ascii="Times New Roman" w:hAnsi="Times New Roman" w:cs="Times New Roman"/>
                      <w:color w:val="auto"/>
                      <w:sz w:val="21"/>
                      <w:szCs w:val="21"/>
                      <w:lang w:val="en-US" w:eastAsia="zh-CN"/>
                    </w:rPr>
                    <w:t>2</w:t>
                  </w:r>
                  <w:r>
                    <w:rPr>
                      <w:rFonts w:hint="default" w:ascii="Times New Roman" w:hAnsi="Times New Roman" w:cs="Times New Roman"/>
                      <w:color w:val="auto"/>
                      <w:sz w:val="21"/>
                      <w:szCs w:val="21"/>
                    </w:rPr>
                    <w:t>0</w:t>
                  </w:r>
                  <w:r>
                    <w:rPr>
                      <w:rFonts w:hint="default" w:ascii="Times New Roman" w:hAnsi="Times New Roman" w:cs="Times New Roman"/>
                      <w:color w:val="auto"/>
                      <w:sz w:val="21"/>
                      <w:szCs w:val="21"/>
                      <w:lang w:val="en-US" w:eastAsia="zh-CN"/>
                    </w:rPr>
                    <w:t>0</w:t>
                  </w:r>
                  <w:r>
                    <w:rPr>
                      <w:rFonts w:hint="default" w:ascii="Times New Roman" w:hAnsi="Times New Roman" w:cs="Times New Roman"/>
                      <w:color w:val="auto"/>
                      <w:sz w:val="21"/>
                      <w:szCs w:val="21"/>
                    </w:rPr>
                    <w:t>kg/</w:t>
                  </w:r>
                  <w:r>
                    <w:rPr>
                      <w:rFonts w:hint="default" w:ascii="Times New Roman" w:hAnsi="Times New Roman" w:eastAsia="宋体" w:cs="Times New Roman"/>
                      <w:color w:val="auto"/>
                      <w:sz w:val="21"/>
                      <w:szCs w:val="21"/>
                      <w:lang w:eastAsia="zh-CN"/>
                    </w:rPr>
                    <w:t>瓶</w:t>
                  </w:r>
                </w:p>
              </w:tc>
              <w:tc>
                <w:tcPr>
                  <w:tcW w:w="909" w:type="pct"/>
                  <w:tcBorders>
                    <w:tl2br w:val="nil"/>
                    <w:tr2bl w:val="nil"/>
                  </w:tcBorders>
                  <w:noWrap w:val="0"/>
                  <w:vAlign w:val="center"/>
                </w:tcPr>
                <w:p w14:paraId="1D3C67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i w:val="0"/>
                      <w:iCs w:val="0"/>
                      <w:color w:val="auto"/>
                      <w:kern w:val="0"/>
                      <w:sz w:val="21"/>
                      <w:szCs w:val="21"/>
                      <w:u w:val="none"/>
                      <w:lang w:val="en-US" w:eastAsia="zh-CN" w:bidi="ar"/>
                    </w:rPr>
                    <w:t>2.1</w:t>
                  </w:r>
                </w:p>
              </w:tc>
              <w:tc>
                <w:tcPr>
                  <w:tcW w:w="785" w:type="pct"/>
                  <w:tcBorders>
                    <w:tl2br w:val="nil"/>
                    <w:tr2bl w:val="nil"/>
                  </w:tcBorders>
                  <w:noWrap w:val="0"/>
                  <w:vAlign w:val="center"/>
                </w:tcPr>
                <w:p w14:paraId="7DA04C7C">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15</w:t>
                  </w:r>
                  <w:r>
                    <w:rPr>
                      <w:rFonts w:hint="default" w:ascii="Times New Roman" w:hAnsi="Times New Roman" w:eastAsia="宋体" w:cs="Times New Roman"/>
                      <w:color w:val="auto"/>
                      <w:kern w:val="0"/>
                      <w:sz w:val="21"/>
                      <w:szCs w:val="21"/>
                      <w:lang w:val="en-US" w:eastAsia="zh-CN"/>
                    </w:rPr>
                    <w:t>个工作日</w:t>
                  </w:r>
                </w:p>
              </w:tc>
              <w:tc>
                <w:tcPr>
                  <w:tcW w:w="569" w:type="pct"/>
                  <w:vMerge w:val="continue"/>
                  <w:tcBorders>
                    <w:tl2br w:val="nil"/>
                    <w:tr2bl w:val="nil"/>
                  </w:tcBorders>
                  <w:noWrap w:val="0"/>
                  <w:vAlign w:val="center"/>
                </w:tcPr>
                <w:p w14:paraId="28A88B33">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sz w:val="21"/>
                      <w:szCs w:val="21"/>
                    </w:rPr>
                  </w:pPr>
                </w:p>
              </w:tc>
            </w:tr>
            <w:tr w14:paraId="5B9F6204">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28" w:type="dxa"/>
                  <w:bottom w:w="0" w:type="dxa"/>
                  <w:right w:w="28" w:type="dxa"/>
                </w:tblCellMar>
              </w:tblPrEx>
              <w:trPr>
                <w:trHeight w:val="306" w:hRule="atLeast"/>
                <w:jc w:val="center"/>
              </w:trPr>
              <w:tc>
                <w:tcPr>
                  <w:tcW w:w="407" w:type="pct"/>
                  <w:tcBorders>
                    <w:tl2br w:val="nil"/>
                    <w:tr2bl w:val="nil"/>
                  </w:tcBorders>
                  <w:noWrap w:val="0"/>
                  <w:vAlign w:val="center"/>
                </w:tcPr>
                <w:p w14:paraId="3305BA7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540" w:type="pct"/>
                  <w:tcBorders>
                    <w:tl2br w:val="nil"/>
                    <w:tr2bl w:val="nil"/>
                  </w:tcBorders>
                  <w:noWrap w:val="0"/>
                  <w:vAlign w:val="center"/>
                </w:tcPr>
                <w:p w14:paraId="50F8E1D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rPr>
                  </w:pPr>
                  <w:r>
                    <w:rPr>
                      <w:rFonts w:hint="default" w:ascii="Times New Roman" w:hAnsi="Times New Roman" w:cs="Times New Roman"/>
                      <w:color w:val="auto"/>
                      <w:sz w:val="21"/>
                      <w:szCs w:val="21"/>
                      <w:lang w:val="en-US" w:eastAsia="zh-CN"/>
                    </w:rPr>
                    <w:t>甲醇</w:t>
                  </w:r>
                </w:p>
              </w:tc>
              <w:tc>
                <w:tcPr>
                  <w:tcW w:w="812" w:type="pct"/>
                  <w:tcBorders>
                    <w:tl2br w:val="nil"/>
                    <w:tr2bl w:val="nil"/>
                  </w:tcBorders>
                  <w:noWrap w:val="0"/>
                  <w:vAlign w:val="center"/>
                </w:tcPr>
                <w:p w14:paraId="626904B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val="en-US" w:eastAsia="zh-CN"/>
                    </w:rPr>
                    <w:t>100</w:t>
                  </w:r>
                </w:p>
              </w:tc>
              <w:tc>
                <w:tcPr>
                  <w:tcW w:w="974" w:type="pct"/>
                  <w:tcBorders>
                    <w:tl2br w:val="nil"/>
                    <w:tr2bl w:val="nil"/>
                  </w:tcBorders>
                  <w:noWrap w:val="0"/>
                  <w:vAlign w:val="center"/>
                </w:tcPr>
                <w:p w14:paraId="4B84D64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瓶</w:t>
                  </w:r>
                  <w:r>
                    <w:rPr>
                      <w:rFonts w:hint="default" w:ascii="Times New Roman" w:hAnsi="Times New Roman" w:eastAsia="宋体" w:cs="Times New Roman"/>
                      <w:color w:val="auto"/>
                      <w:sz w:val="21"/>
                      <w:szCs w:val="21"/>
                    </w:rPr>
                    <w:t>装，</w:t>
                  </w:r>
                  <w:r>
                    <w:rPr>
                      <w:rFonts w:hint="default" w:ascii="Times New Roman" w:hAnsi="Times New Roman" w:cs="Times New Roman"/>
                      <w:color w:val="auto"/>
                      <w:sz w:val="21"/>
                      <w:szCs w:val="21"/>
                      <w:lang w:val="en-US" w:eastAsia="zh-CN"/>
                    </w:rPr>
                    <w:t>2</w:t>
                  </w:r>
                  <w:r>
                    <w:rPr>
                      <w:rFonts w:hint="default" w:ascii="Times New Roman" w:hAnsi="Times New Roman" w:cs="Times New Roman"/>
                      <w:color w:val="auto"/>
                      <w:sz w:val="21"/>
                      <w:szCs w:val="21"/>
                    </w:rPr>
                    <w:t>0</w:t>
                  </w:r>
                  <w:r>
                    <w:rPr>
                      <w:rFonts w:hint="default" w:ascii="Times New Roman" w:hAnsi="Times New Roman" w:cs="Times New Roman"/>
                      <w:color w:val="auto"/>
                      <w:sz w:val="21"/>
                      <w:szCs w:val="21"/>
                      <w:lang w:val="en-US" w:eastAsia="zh-CN"/>
                    </w:rPr>
                    <w:t>0</w:t>
                  </w:r>
                  <w:r>
                    <w:rPr>
                      <w:rFonts w:hint="default" w:ascii="Times New Roman" w:hAnsi="Times New Roman" w:cs="Times New Roman"/>
                      <w:color w:val="auto"/>
                      <w:sz w:val="21"/>
                      <w:szCs w:val="21"/>
                    </w:rPr>
                    <w:t>kg/</w:t>
                  </w:r>
                  <w:r>
                    <w:rPr>
                      <w:rFonts w:hint="default" w:ascii="Times New Roman" w:hAnsi="Times New Roman" w:eastAsia="宋体" w:cs="Times New Roman"/>
                      <w:color w:val="auto"/>
                      <w:sz w:val="21"/>
                      <w:szCs w:val="21"/>
                      <w:lang w:eastAsia="zh-CN"/>
                    </w:rPr>
                    <w:t>瓶</w:t>
                  </w:r>
                </w:p>
              </w:tc>
              <w:tc>
                <w:tcPr>
                  <w:tcW w:w="909" w:type="pct"/>
                  <w:tcBorders>
                    <w:tl2br w:val="nil"/>
                    <w:tr2bl w:val="nil"/>
                  </w:tcBorders>
                  <w:noWrap w:val="0"/>
                  <w:vAlign w:val="center"/>
                </w:tcPr>
                <w:p w14:paraId="52D6255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i w:val="0"/>
                      <w:iCs w:val="0"/>
                      <w:color w:val="auto"/>
                      <w:kern w:val="0"/>
                      <w:sz w:val="21"/>
                      <w:szCs w:val="21"/>
                      <w:u w:val="none"/>
                      <w:lang w:val="en-US" w:eastAsia="zh-CN" w:bidi="ar"/>
                    </w:rPr>
                    <w:t>3</w:t>
                  </w:r>
                </w:p>
              </w:tc>
              <w:tc>
                <w:tcPr>
                  <w:tcW w:w="785" w:type="pct"/>
                  <w:tcBorders>
                    <w:tl2br w:val="nil"/>
                    <w:tr2bl w:val="nil"/>
                  </w:tcBorders>
                  <w:noWrap w:val="0"/>
                  <w:vAlign w:val="center"/>
                </w:tcPr>
                <w:p w14:paraId="5C8768A0">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9</w:t>
                  </w:r>
                  <w:r>
                    <w:rPr>
                      <w:rFonts w:hint="default" w:ascii="Times New Roman" w:hAnsi="Times New Roman" w:eastAsia="宋体" w:cs="Times New Roman"/>
                      <w:color w:val="auto"/>
                      <w:kern w:val="0"/>
                      <w:sz w:val="21"/>
                      <w:szCs w:val="21"/>
                      <w:lang w:val="en-US" w:eastAsia="zh-CN"/>
                    </w:rPr>
                    <w:t>个工作日</w:t>
                  </w:r>
                </w:p>
              </w:tc>
              <w:tc>
                <w:tcPr>
                  <w:tcW w:w="569" w:type="pct"/>
                  <w:vMerge w:val="continue"/>
                  <w:tcBorders>
                    <w:tl2br w:val="nil"/>
                    <w:tr2bl w:val="nil"/>
                  </w:tcBorders>
                  <w:noWrap w:val="0"/>
                  <w:vAlign w:val="center"/>
                </w:tcPr>
                <w:p w14:paraId="4C98A52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p>
              </w:tc>
            </w:tr>
            <w:tr w14:paraId="356458DC">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28" w:type="dxa"/>
                  <w:bottom w:w="0" w:type="dxa"/>
                  <w:right w:w="28" w:type="dxa"/>
                </w:tblCellMar>
              </w:tblPrEx>
              <w:trPr>
                <w:trHeight w:val="306" w:hRule="atLeast"/>
                <w:jc w:val="center"/>
              </w:trPr>
              <w:tc>
                <w:tcPr>
                  <w:tcW w:w="407" w:type="pct"/>
                  <w:tcBorders>
                    <w:tl2br w:val="nil"/>
                    <w:tr2bl w:val="nil"/>
                  </w:tcBorders>
                  <w:noWrap w:val="0"/>
                  <w:vAlign w:val="center"/>
                </w:tcPr>
                <w:p w14:paraId="73DBD6B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4</w:t>
                  </w:r>
                </w:p>
              </w:tc>
              <w:tc>
                <w:tcPr>
                  <w:tcW w:w="540" w:type="pct"/>
                  <w:tcBorders>
                    <w:tl2br w:val="nil"/>
                    <w:tr2bl w:val="nil"/>
                  </w:tcBorders>
                  <w:noWrap w:val="0"/>
                  <w:vAlign w:val="center"/>
                </w:tcPr>
                <w:p w14:paraId="39755CA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润滑油</w:t>
                  </w:r>
                </w:p>
              </w:tc>
              <w:tc>
                <w:tcPr>
                  <w:tcW w:w="812" w:type="pct"/>
                  <w:tcBorders>
                    <w:tl2br w:val="nil"/>
                    <w:tr2bl w:val="nil"/>
                  </w:tcBorders>
                  <w:noWrap w:val="0"/>
                  <w:vAlign w:val="center"/>
                </w:tcPr>
                <w:p w14:paraId="1C18858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0.4</w:t>
                  </w:r>
                </w:p>
              </w:tc>
              <w:tc>
                <w:tcPr>
                  <w:tcW w:w="974" w:type="pct"/>
                  <w:tcBorders>
                    <w:tl2br w:val="nil"/>
                    <w:tr2bl w:val="nil"/>
                  </w:tcBorders>
                  <w:noWrap w:val="0"/>
                  <w:vAlign w:val="center"/>
                </w:tcPr>
                <w:p w14:paraId="227F8DF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瓶</w:t>
                  </w:r>
                  <w:r>
                    <w:rPr>
                      <w:rFonts w:hint="default" w:ascii="Times New Roman" w:hAnsi="Times New Roman" w:eastAsia="宋体" w:cs="Times New Roman"/>
                      <w:color w:val="auto"/>
                      <w:sz w:val="21"/>
                      <w:szCs w:val="21"/>
                    </w:rPr>
                    <w:t>装，</w:t>
                  </w:r>
                  <w:r>
                    <w:rPr>
                      <w:rFonts w:hint="default" w:ascii="Times New Roman" w:hAnsi="Times New Roman" w:cs="Times New Roman"/>
                      <w:color w:val="auto"/>
                      <w:sz w:val="21"/>
                      <w:szCs w:val="21"/>
                      <w:lang w:val="en-US" w:eastAsia="zh-CN"/>
                    </w:rPr>
                    <w:t>2</w:t>
                  </w:r>
                  <w:r>
                    <w:rPr>
                      <w:rFonts w:hint="default" w:ascii="Times New Roman" w:hAnsi="Times New Roman" w:cs="Times New Roman"/>
                      <w:color w:val="auto"/>
                      <w:sz w:val="21"/>
                      <w:szCs w:val="21"/>
                    </w:rPr>
                    <w:t>0</w:t>
                  </w:r>
                  <w:r>
                    <w:rPr>
                      <w:rFonts w:hint="default" w:ascii="Times New Roman" w:hAnsi="Times New Roman" w:cs="Times New Roman"/>
                      <w:color w:val="auto"/>
                      <w:sz w:val="21"/>
                      <w:szCs w:val="21"/>
                      <w:lang w:val="en-US" w:eastAsia="zh-CN"/>
                    </w:rPr>
                    <w:t>0</w:t>
                  </w:r>
                  <w:r>
                    <w:rPr>
                      <w:rFonts w:hint="default" w:ascii="Times New Roman" w:hAnsi="Times New Roman" w:cs="Times New Roman"/>
                      <w:color w:val="auto"/>
                      <w:sz w:val="21"/>
                      <w:szCs w:val="21"/>
                    </w:rPr>
                    <w:t>kg/</w:t>
                  </w:r>
                  <w:r>
                    <w:rPr>
                      <w:rFonts w:hint="default" w:ascii="Times New Roman" w:hAnsi="Times New Roman" w:eastAsia="宋体" w:cs="Times New Roman"/>
                      <w:color w:val="auto"/>
                      <w:sz w:val="21"/>
                      <w:szCs w:val="21"/>
                      <w:lang w:eastAsia="zh-CN"/>
                    </w:rPr>
                    <w:t>瓶</w:t>
                  </w:r>
                </w:p>
              </w:tc>
              <w:tc>
                <w:tcPr>
                  <w:tcW w:w="909" w:type="pct"/>
                  <w:tcBorders>
                    <w:tl2br w:val="nil"/>
                    <w:tr2bl w:val="nil"/>
                  </w:tcBorders>
                  <w:noWrap w:val="0"/>
                  <w:vAlign w:val="center"/>
                </w:tcPr>
                <w:p w14:paraId="01F61A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0.4</w:t>
                  </w:r>
                </w:p>
              </w:tc>
              <w:tc>
                <w:tcPr>
                  <w:tcW w:w="785" w:type="pct"/>
                  <w:tcBorders>
                    <w:tl2br w:val="nil"/>
                    <w:tr2bl w:val="nil"/>
                  </w:tcBorders>
                  <w:noWrap w:val="0"/>
                  <w:vAlign w:val="center"/>
                </w:tcPr>
                <w:p w14:paraId="37A3E39D">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300</w:t>
                  </w:r>
                  <w:r>
                    <w:rPr>
                      <w:rFonts w:hint="default" w:ascii="Times New Roman" w:hAnsi="Times New Roman" w:eastAsia="宋体" w:cs="Times New Roman"/>
                      <w:color w:val="auto"/>
                      <w:kern w:val="0"/>
                      <w:sz w:val="21"/>
                      <w:szCs w:val="21"/>
                      <w:lang w:val="en-US" w:eastAsia="zh-CN"/>
                    </w:rPr>
                    <w:t>个工作日</w:t>
                  </w:r>
                </w:p>
              </w:tc>
              <w:tc>
                <w:tcPr>
                  <w:tcW w:w="569" w:type="pct"/>
                  <w:vMerge w:val="continue"/>
                  <w:tcBorders>
                    <w:tl2br w:val="nil"/>
                    <w:tr2bl w:val="nil"/>
                  </w:tcBorders>
                  <w:noWrap w:val="0"/>
                  <w:vAlign w:val="center"/>
                </w:tcPr>
                <w:p w14:paraId="5546D3C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p>
              </w:tc>
            </w:tr>
          </w:tbl>
          <w:p w14:paraId="2B5A6637">
            <w:pPr>
              <w:pStyle w:val="62"/>
              <w:keepNext w:val="0"/>
              <w:keepLines w:val="0"/>
              <w:suppressLineNumbers w:val="0"/>
              <w:spacing w:before="0" w:beforeAutospacing="0" w:after="0" w:afterAutospacing="0"/>
              <w:ind w:left="0" w:right="0" w:firstLine="482"/>
              <w:rPr>
                <w:rFonts w:hint="default" w:ascii="Times New Roman" w:hAnsi="Times New Roman" w:eastAsia="宋体" w:cs="Times New Roman"/>
                <w:b/>
                <w:bCs/>
                <w:color w:val="000000" w:themeColor="text1"/>
              </w:rPr>
            </w:pPr>
            <w:r>
              <w:rPr>
                <w:rFonts w:hint="default" w:ascii="Times New Roman" w:hAnsi="Times New Roman" w:eastAsia="宋体" w:cs="Times New Roman"/>
                <w:b/>
                <w:bCs/>
                <w:color w:val="000000" w:themeColor="text1"/>
                <w:lang w:eastAsia="zh-CN"/>
              </w:rPr>
              <w:t>（</w:t>
            </w:r>
            <w:r>
              <w:rPr>
                <w:rFonts w:hint="eastAsia" w:cs="Times New Roman"/>
                <w:b/>
                <w:bCs/>
                <w:color w:val="000000" w:themeColor="text1"/>
                <w:lang w:val="en-US" w:eastAsia="zh-CN"/>
              </w:rPr>
              <w:t>3</w:t>
            </w:r>
            <w:r>
              <w:rPr>
                <w:rFonts w:hint="default" w:ascii="Times New Roman" w:hAnsi="Times New Roman" w:eastAsia="宋体" w:cs="Times New Roman"/>
                <w:b/>
                <w:bCs/>
                <w:color w:val="000000" w:themeColor="text1"/>
                <w:lang w:eastAsia="zh-CN"/>
              </w:rPr>
              <w:t>）</w:t>
            </w:r>
            <w:r>
              <w:rPr>
                <w:rFonts w:hint="default" w:ascii="Times New Roman" w:hAnsi="Times New Roman" w:eastAsia="宋体" w:cs="Times New Roman"/>
                <w:b/>
                <w:bCs/>
                <w:color w:val="000000" w:themeColor="text1"/>
              </w:rPr>
              <w:t>主要原料理化性质</w:t>
            </w:r>
          </w:p>
          <w:p w14:paraId="1F8CFB5C">
            <w:pPr>
              <w:pStyle w:val="63"/>
              <w:keepNext w:val="0"/>
              <w:keepLines w:val="0"/>
              <w:suppressLineNumbers w:val="0"/>
              <w:bidi w:val="0"/>
              <w:spacing w:before="0" w:beforeAutospacing="0" w:after="0" w:afterAutospacing="0"/>
              <w:ind w:left="0" w:right="0"/>
              <w:rPr>
                <w:rFonts w:hint="default" w:ascii="Times New Roman" w:hAnsi="Times New Roman" w:eastAsia="宋体" w:cs="Times New Roman"/>
                <w:b/>
                <w:bCs/>
                <w:i w:val="0"/>
                <w:iCs w:val="0"/>
                <w:color w:val="000000" w:themeColor="text1"/>
                <w:kern w:val="0"/>
                <w:szCs w:val="18"/>
                <w:u w:val="none"/>
                <w:lang w:val="en-US" w:eastAsia="zh-CN" w:bidi="ar"/>
              </w:rPr>
            </w:pPr>
            <w:r>
              <w:rPr>
                <w:rFonts w:hint="default" w:ascii="Times New Roman" w:hAnsi="Times New Roman" w:eastAsia="宋体" w:cs="Times New Roman"/>
                <w:color w:val="000000" w:themeColor="text1"/>
                <w:lang w:val="en-US" w:eastAsia="zh-CN"/>
              </w:rPr>
              <w:t>表2-</w:t>
            </w:r>
            <w:r>
              <w:rPr>
                <w:rFonts w:hint="eastAsia" w:cs="Times New Roman"/>
                <w:color w:val="000000" w:themeColor="text1"/>
                <w:lang w:val="en-US" w:eastAsia="zh-CN"/>
              </w:rPr>
              <w:t>8</w:t>
            </w:r>
            <w:r>
              <w:rPr>
                <w:rFonts w:hint="default" w:ascii="Times New Roman" w:hAnsi="Times New Roman" w:eastAsia="宋体" w:cs="Times New Roman"/>
                <w:color w:val="000000" w:themeColor="text1"/>
                <w:lang w:val="en-US" w:eastAsia="zh-CN"/>
              </w:rPr>
              <w:t xml:space="preserve">  主要原辅材料理化性质一览表</w:t>
            </w:r>
          </w:p>
          <w:tbl>
            <w:tblPr>
              <w:tblStyle w:val="5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785"/>
              <w:gridCol w:w="7581"/>
            </w:tblGrid>
            <w:tr w14:paraId="4E80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6" w:hRule="atLeast"/>
                <w:jc w:val="center"/>
              </w:trPr>
              <w:tc>
                <w:tcPr>
                  <w:tcW w:w="469" w:type="pct"/>
                  <w:noWrap w:val="0"/>
                  <w:vAlign w:val="center"/>
                </w:tcPr>
                <w:p w14:paraId="7D1BB912">
                  <w:pPr>
                    <w:keepNext w:val="0"/>
                    <w:keepLines w:val="0"/>
                    <w:suppressLineNumbers w:val="0"/>
                    <w:adjustRightInd w:val="0"/>
                    <w:spacing w:before="0" w:beforeAutospacing="0" w:after="0" w:afterAutospacing="0"/>
                    <w:ind w:left="0" w:right="0" w:hanging="3"/>
                    <w:jc w:val="center"/>
                    <w:textAlignment w:val="baseline"/>
                    <w:rPr>
                      <w:rFonts w:hint="default" w:ascii="Times New Roman" w:hAnsi="Times New Roman" w:cs="Times New Roman"/>
                      <w:b/>
                      <w:bCs/>
                      <w:color w:val="000000" w:themeColor="text1"/>
                      <w:sz w:val="21"/>
                      <w:szCs w:val="21"/>
                    </w:rPr>
                  </w:pPr>
                  <w:r>
                    <w:rPr>
                      <w:rFonts w:hint="default" w:ascii="Times New Roman" w:hAnsi="Times New Roman" w:cs="Times New Roman"/>
                      <w:b/>
                      <w:bCs/>
                      <w:color w:val="000000" w:themeColor="text1"/>
                      <w:sz w:val="21"/>
                      <w:szCs w:val="21"/>
                    </w:rPr>
                    <w:t>名称</w:t>
                  </w:r>
                </w:p>
              </w:tc>
              <w:tc>
                <w:tcPr>
                  <w:tcW w:w="4530" w:type="pct"/>
                  <w:noWrap w:val="0"/>
                  <w:vAlign w:val="center"/>
                </w:tcPr>
                <w:p w14:paraId="3FC3469C">
                  <w:pPr>
                    <w:keepNext w:val="0"/>
                    <w:keepLines w:val="0"/>
                    <w:suppressLineNumbers w:val="0"/>
                    <w:adjustRightInd w:val="0"/>
                    <w:spacing w:before="0" w:beforeAutospacing="0" w:after="0" w:afterAutospacing="0"/>
                    <w:ind w:left="0" w:right="0" w:firstLine="17" w:firstLineChars="8"/>
                    <w:jc w:val="center"/>
                    <w:textAlignment w:val="baseline"/>
                    <w:rPr>
                      <w:rFonts w:hint="default" w:ascii="Times New Roman" w:hAnsi="Times New Roman" w:cs="Times New Roman"/>
                      <w:b/>
                      <w:bCs/>
                      <w:color w:val="000000" w:themeColor="text1"/>
                      <w:sz w:val="21"/>
                      <w:szCs w:val="21"/>
                    </w:rPr>
                  </w:pPr>
                  <w:r>
                    <w:rPr>
                      <w:rFonts w:hint="default" w:ascii="Times New Roman" w:hAnsi="Times New Roman" w:cs="Times New Roman"/>
                      <w:b/>
                      <w:bCs/>
                      <w:color w:val="000000" w:themeColor="text1"/>
                      <w:sz w:val="21"/>
                      <w:szCs w:val="21"/>
                    </w:rPr>
                    <w:t>成分及理化性质</w:t>
                  </w:r>
                </w:p>
              </w:tc>
            </w:tr>
            <w:tr w14:paraId="5FA4E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6" w:hRule="atLeast"/>
                <w:jc w:val="center"/>
              </w:trPr>
              <w:tc>
                <w:tcPr>
                  <w:tcW w:w="469" w:type="pct"/>
                  <w:noWrap w:val="0"/>
                  <w:vAlign w:val="center"/>
                </w:tcPr>
                <w:p w14:paraId="6B2F0851">
                  <w:pPr>
                    <w:keepNext w:val="0"/>
                    <w:keepLines w:val="0"/>
                    <w:pageBreakBefore w:val="0"/>
                    <w:widowControl w:val="0"/>
                    <w:suppressLineNumbers w:val="0"/>
                    <w:kinsoku/>
                    <w:wordWrap/>
                    <w:overflowPunct/>
                    <w:topLinePunct w:val="0"/>
                    <w:autoSpaceDE w:val="0"/>
                    <w:autoSpaceDN w:val="0"/>
                    <w:bidi w:val="0"/>
                    <w:spacing w:before="0" w:beforeAutospacing="0" w:after="0" w:afterAutospacing="0"/>
                    <w:ind w:left="0" w:leftChars="0" w:right="0" w:rightChars="0"/>
                    <w:jc w:val="center"/>
                    <w:textAlignment w:val="auto"/>
                    <w:rPr>
                      <w:rFonts w:hint="default" w:ascii="Times New Roman" w:hAnsi="Times New Roman" w:cs="Times New Roman"/>
                      <w:color w:val="0000FF"/>
                      <w:sz w:val="21"/>
                      <w:szCs w:val="21"/>
                      <w:lang w:val="en-US" w:eastAsia="zh-CN"/>
                    </w:rPr>
                  </w:pPr>
                  <w:r>
                    <w:rPr>
                      <w:rFonts w:hint="eastAsia" w:ascii="Times New Roman" w:hAnsi="Times New Roman" w:cs="Times New Roman"/>
                      <w:color w:val="auto"/>
                      <w:spacing w:val="4"/>
                      <w:sz w:val="21"/>
                      <w:szCs w:val="21"/>
                      <w:highlight w:val="none"/>
                      <w:lang w:val="en-US" w:eastAsia="zh-CN"/>
                    </w:rPr>
                    <w:t>甲醇</w:t>
                  </w:r>
                </w:p>
              </w:tc>
              <w:tc>
                <w:tcPr>
                  <w:tcW w:w="4530" w:type="pct"/>
                  <w:noWrap w:val="0"/>
                  <w:vAlign w:val="center"/>
                </w:tcPr>
                <w:p w14:paraId="15A48FF7">
                  <w:pPr>
                    <w:keepNext w:val="0"/>
                    <w:keepLines w:val="0"/>
                    <w:pageBreakBefore w:val="0"/>
                    <w:widowControl w:val="0"/>
                    <w:suppressLineNumbers w:val="0"/>
                    <w:kinsoku/>
                    <w:wordWrap/>
                    <w:overflowPunct/>
                    <w:topLinePunct w:val="0"/>
                    <w:autoSpaceDE w:val="0"/>
                    <w:autoSpaceDN w:val="0"/>
                    <w:bidi w:val="0"/>
                    <w:spacing w:before="0" w:beforeAutospacing="0" w:after="0" w:afterAutospacing="0"/>
                    <w:ind w:left="0" w:leftChars="0" w:right="0" w:rightChars="0"/>
                    <w:jc w:val="both"/>
                    <w:textAlignment w:val="auto"/>
                    <w:rPr>
                      <w:rFonts w:hint="default" w:ascii="Times New Roman" w:hAnsi="Times New Roman" w:cs="Times New Roman"/>
                      <w:color w:val="0000FF"/>
                      <w:sz w:val="21"/>
                      <w:szCs w:val="21"/>
                      <w:lang w:val="en-US" w:eastAsia="zh-CN"/>
                    </w:rPr>
                  </w:pPr>
                  <w:r>
                    <w:rPr>
                      <w:rFonts w:hint="eastAsia" w:ascii="Times New Roman" w:hAnsi="Times New Roman" w:eastAsia="宋体" w:cs="Times New Roman"/>
                      <w:color w:val="auto"/>
                      <w:spacing w:val="4"/>
                      <w:sz w:val="21"/>
                      <w:szCs w:val="21"/>
                      <w:highlight w:val="none"/>
                      <w:lang w:val="en-US" w:eastAsia="zh-CN"/>
                    </w:rPr>
                    <w:t>别名木酒精，无色澄清液体，有刺激性气味，分子式CH</w:t>
                  </w:r>
                  <w:r>
                    <w:rPr>
                      <w:rFonts w:hint="eastAsia" w:ascii="Times New Roman" w:hAnsi="Times New Roman" w:eastAsia="宋体" w:cs="Times New Roman"/>
                      <w:color w:val="auto"/>
                      <w:spacing w:val="4"/>
                      <w:sz w:val="21"/>
                      <w:szCs w:val="21"/>
                      <w:highlight w:val="none"/>
                      <w:vertAlign w:val="subscript"/>
                      <w:lang w:val="en-US" w:eastAsia="zh-CN"/>
                    </w:rPr>
                    <w:t>4</w:t>
                  </w:r>
                  <w:r>
                    <w:rPr>
                      <w:rFonts w:hint="eastAsia" w:ascii="Times New Roman" w:hAnsi="Times New Roman" w:eastAsia="宋体" w:cs="Times New Roman"/>
                      <w:color w:val="auto"/>
                      <w:spacing w:val="4"/>
                      <w:sz w:val="21"/>
                      <w:szCs w:val="21"/>
                      <w:highlight w:val="none"/>
                      <w:lang w:val="en-US" w:eastAsia="zh-CN"/>
                    </w:rPr>
                    <w:t>O，蒸汽压：13.33kPa/21.2℃，闪点：11℃℃，熔点：-97.8℃℃，沸点：64.8℃，溶于水，可混入醇、醚等多数有机溶剂，相对密度(水=1)0.79；相对密度(空气=1)：1.11，侵入途径：吸入、食入、经皮吸收。健康危害：对中枢神经有麻醉作用。对视神经和视网膜有特殊选择作用，引起病变。可致代谢性酸中毒。急性中毒：短时大量吸入可能引起急性中毒，出现眼及上呼吸道刺激症状。经潜伏期后出现头痛、头晕、乏力、眩晕、醉酒感、意识朦胧，甚至昏迷。视神经及视网膜病变，可有视物模糊、复视等，重者失明。慢性中毒：出现神经衰弱功能症，植物神经功能失调，粘膜刺激，视力减退等。皮肤出现脱脂、皮炎等。急性毒性：LDso:5628mg/kg(大鼠经口)；15800mg/kg(免经皮)LC</w:t>
                  </w:r>
                  <w:r>
                    <w:rPr>
                      <w:rFonts w:hint="eastAsia" w:ascii="Times New Roman" w:hAnsi="Times New Roman" w:eastAsia="宋体" w:cs="Times New Roman"/>
                      <w:color w:val="auto"/>
                      <w:spacing w:val="4"/>
                      <w:sz w:val="21"/>
                      <w:szCs w:val="21"/>
                      <w:highlight w:val="none"/>
                      <w:vertAlign w:val="subscript"/>
                      <w:lang w:val="en-US" w:eastAsia="zh-CN"/>
                    </w:rPr>
                    <w:t>50</w:t>
                  </w:r>
                  <w:r>
                    <w:rPr>
                      <w:rFonts w:hint="eastAsia" w:ascii="Times New Roman" w:hAnsi="Times New Roman" w:eastAsia="宋体" w:cs="Times New Roman"/>
                      <w:color w:val="auto"/>
                      <w:spacing w:val="4"/>
                      <w:sz w:val="21"/>
                      <w:szCs w:val="21"/>
                      <w:highlight w:val="none"/>
                      <w:lang w:val="en-US" w:eastAsia="zh-CN"/>
                    </w:rPr>
                    <w:t>：83776mg/m</w:t>
                  </w:r>
                  <w:r>
                    <w:rPr>
                      <w:rFonts w:hint="eastAsia" w:ascii="Times New Roman" w:hAnsi="Times New Roman" w:eastAsia="宋体" w:cs="Times New Roman"/>
                      <w:color w:val="auto"/>
                      <w:spacing w:val="4"/>
                      <w:sz w:val="21"/>
                      <w:szCs w:val="21"/>
                      <w:highlight w:val="none"/>
                      <w:vertAlign w:val="superscript"/>
                      <w:lang w:val="en-US" w:eastAsia="zh-CN"/>
                    </w:rPr>
                    <w:t>3</w:t>
                  </w:r>
                  <w:r>
                    <w:rPr>
                      <w:rFonts w:hint="eastAsia" w:ascii="Times New Roman" w:hAnsi="Times New Roman" w:eastAsia="宋体" w:cs="Times New Roman"/>
                      <w:color w:val="auto"/>
                      <w:spacing w:val="4"/>
                      <w:sz w:val="21"/>
                      <w:szCs w:val="21"/>
                      <w:highlight w:val="none"/>
                      <w:lang w:val="en-US" w:eastAsia="zh-CN"/>
                    </w:rPr>
                    <w:t>，4小时(大鼠吸入)。</w:t>
                  </w:r>
                </w:p>
              </w:tc>
            </w:tr>
            <w:tr w14:paraId="3AC2B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6" w:hRule="atLeast"/>
                <w:jc w:val="center"/>
              </w:trPr>
              <w:tc>
                <w:tcPr>
                  <w:tcW w:w="469" w:type="pct"/>
                  <w:noWrap w:val="0"/>
                  <w:vAlign w:val="center"/>
                </w:tcPr>
                <w:p w14:paraId="66F594C5">
                  <w:pPr>
                    <w:keepNext w:val="0"/>
                    <w:keepLines w:val="0"/>
                    <w:pageBreakBefore w:val="0"/>
                    <w:widowControl w:val="0"/>
                    <w:suppressLineNumbers w:val="0"/>
                    <w:kinsoku/>
                    <w:wordWrap/>
                    <w:overflowPunct/>
                    <w:topLinePunct w:val="0"/>
                    <w:autoSpaceDE w:val="0"/>
                    <w:autoSpaceDN w:val="0"/>
                    <w:bidi w:val="0"/>
                    <w:spacing w:before="0" w:beforeAutospacing="0" w:after="0" w:afterAutospacing="0"/>
                    <w:ind w:left="0" w:leftChars="0" w:right="0" w:rightChars="0"/>
                    <w:jc w:val="center"/>
                    <w:textAlignment w:val="auto"/>
                    <w:rPr>
                      <w:rFonts w:hint="eastAsia" w:ascii="Times New Roman" w:hAnsi="Times New Roman" w:cs="Times New Roman"/>
                      <w:color w:val="0000FF"/>
                      <w:sz w:val="21"/>
                      <w:szCs w:val="21"/>
                      <w:lang w:val="en-US" w:eastAsia="zh-CN"/>
                    </w:rPr>
                  </w:pPr>
                  <w:r>
                    <w:rPr>
                      <w:rFonts w:hint="eastAsia" w:ascii="Times New Roman" w:hAnsi="Times New Roman" w:cs="Times New Roman"/>
                      <w:color w:val="auto"/>
                      <w:kern w:val="0"/>
                      <w:sz w:val="21"/>
                      <w:szCs w:val="21"/>
                      <w:highlight w:val="none"/>
                      <w:lang w:val="en-US" w:eastAsia="zh-CN"/>
                    </w:rPr>
                    <w:t>丙烷</w:t>
                  </w:r>
                </w:p>
              </w:tc>
              <w:tc>
                <w:tcPr>
                  <w:tcW w:w="4530" w:type="pct"/>
                  <w:noWrap w:val="0"/>
                  <w:vAlign w:val="center"/>
                </w:tcPr>
                <w:p w14:paraId="2B352C74">
                  <w:pPr>
                    <w:keepNext w:val="0"/>
                    <w:keepLines w:val="0"/>
                    <w:pageBreakBefore w:val="0"/>
                    <w:widowControl w:val="0"/>
                    <w:suppressLineNumbers w:val="0"/>
                    <w:kinsoku/>
                    <w:wordWrap/>
                    <w:overflowPunct/>
                    <w:topLinePunct w:val="0"/>
                    <w:autoSpaceDE w:val="0"/>
                    <w:autoSpaceDN w:val="0"/>
                    <w:bidi w:val="0"/>
                    <w:spacing w:before="0" w:beforeAutospacing="0" w:after="0" w:afterAutospacing="0"/>
                    <w:ind w:left="0" w:leftChars="0" w:right="0" w:rightChars="0"/>
                    <w:jc w:val="both"/>
                    <w:textAlignment w:val="auto"/>
                    <w:rPr>
                      <w:rFonts w:hint="default" w:ascii="Times New Roman" w:hAnsi="Times New Roman" w:cs="Times New Roman"/>
                      <w:color w:val="0000FF"/>
                      <w:sz w:val="21"/>
                      <w:szCs w:val="21"/>
                      <w:lang w:val="en-US" w:eastAsia="zh-CN"/>
                    </w:rPr>
                  </w:pPr>
                  <w:r>
                    <w:rPr>
                      <w:rFonts w:hint="eastAsia" w:ascii="Times New Roman" w:hAnsi="Times New Roman" w:eastAsia="宋体" w:cs="Times New Roman"/>
                      <w:color w:val="auto"/>
                      <w:kern w:val="0"/>
                      <w:sz w:val="21"/>
                      <w:szCs w:val="21"/>
                      <w:highlight w:val="none"/>
                      <w:lang w:eastAsia="zh-CN"/>
                    </w:rPr>
                    <w:t>无色气体，分子式C</w:t>
                  </w:r>
                  <w:r>
                    <w:rPr>
                      <w:rFonts w:hint="eastAsia" w:ascii="Times New Roman" w:hAnsi="Times New Roman" w:eastAsia="宋体" w:cs="Times New Roman"/>
                      <w:color w:val="auto"/>
                      <w:kern w:val="0"/>
                      <w:sz w:val="21"/>
                      <w:szCs w:val="21"/>
                      <w:highlight w:val="none"/>
                      <w:vertAlign w:val="subscript"/>
                      <w:lang w:eastAsia="zh-CN"/>
                    </w:rPr>
                    <w:t>3</w:t>
                  </w:r>
                  <w:r>
                    <w:rPr>
                      <w:rFonts w:hint="eastAsia" w:ascii="Times New Roman" w:hAnsi="Times New Roman" w:eastAsia="宋体" w:cs="Times New Roman"/>
                      <w:color w:val="auto"/>
                      <w:kern w:val="0"/>
                      <w:sz w:val="21"/>
                      <w:szCs w:val="21"/>
                      <w:highlight w:val="none"/>
                      <w:lang w:eastAsia="zh-CN"/>
                    </w:rPr>
                    <w:t>H</w:t>
                  </w:r>
                  <w:r>
                    <w:rPr>
                      <w:rFonts w:hint="eastAsia" w:ascii="Times New Roman" w:hAnsi="Times New Roman" w:eastAsia="宋体" w:cs="Times New Roman"/>
                      <w:color w:val="auto"/>
                      <w:kern w:val="0"/>
                      <w:sz w:val="21"/>
                      <w:szCs w:val="21"/>
                      <w:highlight w:val="none"/>
                      <w:vertAlign w:val="subscript"/>
                      <w:lang w:eastAsia="zh-CN"/>
                    </w:rPr>
                    <w:t>8</w:t>
                  </w:r>
                  <w:r>
                    <w:rPr>
                      <w:rFonts w:hint="eastAsia" w:ascii="Times New Roman" w:hAnsi="Times New Roman" w:eastAsia="宋体" w:cs="Times New Roman"/>
                      <w:color w:val="auto"/>
                      <w:kern w:val="0"/>
                      <w:sz w:val="21"/>
                      <w:szCs w:val="21"/>
                      <w:highlight w:val="none"/>
                      <w:lang w:eastAsia="zh-CN"/>
                    </w:rPr>
                    <w:t>，蒸汽压：53.32kPa/-55.6℃，闪点：-104℃，熔点：187.6℃，沸点：-42.1℃，微溶于水，溶于乙醇、乙醚，相对密度（水=1）：0.58/-44.5℃；相对密度（空气=1）：1.56，侵入途径：吸入。健康危害：本品有单纯性窒息及麻醉作用。人短暂接触1％丙烷，不引起症状；10％以下的浓度，只引起轻度头晕；接触高浓度时可出现麻醉状态、意识丧失；极高浓度时可致窒息。急性毒性：LD50：5800 mg/kg(大鼠经口)；20000 mg/kg(兔经皮)</w:t>
                  </w:r>
                </w:p>
              </w:tc>
            </w:tr>
            <w:tr w14:paraId="4E185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6" w:hRule="atLeast"/>
                <w:jc w:val="center"/>
              </w:trPr>
              <w:tc>
                <w:tcPr>
                  <w:tcW w:w="469" w:type="pct"/>
                  <w:noWrap w:val="0"/>
                  <w:vAlign w:val="center"/>
                </w:tcPr>
                <w:p w14:paraId="387CDB10">
                  <w:pPr>
                    <w:keepNext w:val="0"/>
                    <w:keepLines w:val="0"/>
                    <w:pageBreakBefore w:val="0"/>
                    <w:widowControl w:val="0"/>
                    <w:suppressLineNumbers w:val="0"/>
                    <w:kinsoku/>
                    <w:wordWrap/>
                    <w:overflowPunct/>
                    <w:topLinePunct w:val="0"/>
                    <w:bidi w:val="0"/>
                    <w:adjustRightInd w:val="0"/>
                    <w:snapToGrid/>
                    <w:spacing w:before="0" w:beforeAutospacing="0" w:after="0" w:afterAutospacing="0" w:line="260" w:lineRule="exact"/>
                    <w:ind w:left="0" w:right="0" w:hanging="19"/>
                    <w:jc w:val="center"/>
                    <w:textAlignment w:val="baseline"/>
                    <w:outlineLvl w:val="9"/>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淬火油</w:t>
                  </w:r>
                </w:p>
              </w:tc>
              <w:tc>
                <w:tcPr>
                  <w:tcW w:w="4530" w:type="pct"/>
                  <w:noWrap w:val="0"/>
                  <w:vAlign w:val="center"/>
                </w:tcPr>
                <w:p w14:paraId="3839C9DB">
                  <w:pPr>
                    <w:keepNext w:val="0"/>
                    <w:keepLines w:val="0"/>
                    <w:pageBreakBefore w:val="0"/>
                    <w:widowControl w:val="0"/>
                    <w:suppressLineNumbers w:val="0"/>
                    <w:kinsoku/>
                    <w:wordWrap/>
                    <w:overflowPunct/>
                    <w:topLinePunct w:val="0"/>
                    <w:bidi w:val="0"/>
                    <w:adjustRightInd w:val="0"/>
                    <w:snapToGrid/>
                    <w:spacing w:before="0" w:beforeAutospacing="0" w:after="0" w:afterAutospacing="0" w:line="260" w:lineRule="exact"/>
                    <w:ind w:left="0" w:right="0" w:hanging="13"/>
                    <w:textAlignment w:val="baseline"/>
                    <w:outlineLvl w:val="9"/>
                    <w:rPr>
                      <w:rFonts w:hint="default" w:ascii="Times New Roman" w:hAnsi="Times New Roman" w:cs="Times New Roman"/>
                      <w:color w:val="auto"/>
                      <w:sz w:val="21"/>
                      <w:szCs w:val="21"/>
                      <w:lang w:val="en-US" w:eastAsia="zh-CN"/>
                    </w:rPr>
                  </w:pPr>
                  <w:r>
                    <w:rPr>
                      <w:rFonts w:hint="default" w:ascii="Times New Roman" w:hAnsi="Times New Roman" w:eastAsia="宋体" w:cs="Times New Roman"/>
                      <w:color w:val="auto"/>
                      <w:spacing w:val="4"/>
                      <w:sz w:val="21"/>
                      <w:szCs w:val="21"/>
                      <w:highlight w:val="none"/>
                      <w:lang w:val="en-US" w:eastAsia="zh-CN"/>
                    </w:rPr>
                    <w:t>淬火油</w:t>
                  </w:r>
                  <w:r>
                    <w:rPr>
                      <w:rFonts w:hint="eastAsia" w:ascii="Times New Roman" w:hAnsi="Times New Roman" w:eastAsia="宋体" w:cs="Times New Roman"/>
                      <w:color w:val="auto"/>
                      <w:spacing w:val="4"/>
                      <w:sz w:val="21"/>
                      <w:szCs w:val="21"/>
                      <w:highlight w:val="none"/>
                      <w:lang w:val="en-US" w:eastAsia="zh-CN"/>
                    </w:rPr>
                    <w:t>是由基础油、添加剂组成，淡黄色黏性液体，有特殊气味；</w:t>
                  </w:r>
                  <w:r>
                    <w:rPr>
                      <w:rFonts w:hint="eastAsia" w:ascii="Times New Roman" w:hAnsi="Times New Roman" w:eastAsia="宋体" w:cs="Times New Roman"/>
                      <w:color w:val="auto"/>
                      <w:kern w:val="0"/>
                      <w:sz w:val="21"/>
                      <w:szCs w:val="21"/>
                      <w:highlight w:val="none"/>
                      <w:lang w:eastAsia="zh-CN"/>
                    </w:rPr>
                    <w:t>密度：</w:t>
                  </w:r>
                  <w:r>
                    <w:rPr>
                      <w:rFonts w:hint="eastAsia" w:ascii="Times New Roman" w:hAnsi="Times New Roman" w:eastAsia="宋体" w:cs="Times New Roman"/>
                      <w:color w:val="auto"/>
                      <w:kern w:val="0"/>
                      <w:sz w:val="21"/>
                      <w:szCs w:val="21"/>
                      <w:highlight w:val="none"/>
                      <w:lang w:val="en-US" w:eastAsia="zh-CN"/>
                    </w:rPr>
                    <w:t>0.8542g/cm³；正常温度及压力下稳定。</w:t>
                  </w:r>
                  <w:r>
                    <w:rPr>
                      <w:rFonts w:hint="default" w:ascii="Times New Roman" w:hAnsi="Times New Roman" w:eastAsia="宋体" w:cs="Times New Roman"/>
                      <w:color w:val="auto"/>
                      <w:spacing w:val="4"/>
                      <w:sz w:val="21"/>
                      <w:szCs w:val="21"/>
                      <w:highlight w:val="none"/>
                      <w:lang w:val="en-US" w:eastAsia="zh-CN"/>
                    </w:rPr>
                    <w:t>淬火油是一种工艺用油，用做淬火介质。</w:t>
                  </w:r>
                  <w:r>
                    <w:rPr>
                      <w:rFonts w:hint="eastAsia" w:ascii="Times New Roman" w:hAnsi="Times New Roman" w:eastAsia="宋体" w:cs="Times New Roman"/>
                      <w:color w:val="auto"/>
                      <w:spacing w:val="4"/>
                      <w:sz w:val="21"/>
                      <w:szCs w:val="21"/>
                      <w:highlight w:val="none"/>
                      <w:lang w:val="en-US" w:eastAsia="zh-CN"/>
                    </w:rPr>
                    <w:t>大部分</w:t>
                  </w:r>
                  <w:r>
                    <w:rPr>
                      <w:rFonts w:hint="default" w:ascii="Times New Roman" w:hAnsi="Times New Roman" w:eastAsia="宋体" w:cs="Times New Roman"/>
                      <w:color w:val="auto"/>
                      <w:spacing w:val="4"/>
                      <w:sz w:val="21"/>
                      <w:szCs w:val="21"/>
                      <w:highlight w:val="none"/>
                      <w:lang w:val="en-US" w:eastAsia="zh-CN"/>
                    </w:rPr>
                    <w:t>用于合金钢及小截面碳钢淬火，既可以得到满意的淬硬性和淬透性，又可防止开裂和减少变形。为了满足热处理的工艺要求，淬火用油应具备下列特点：①较高的闪点，以减少起火的危险；②较低的粘度，以减少油附着在工件上造成的损失；③不易氧化，性能稳定，以减缓老化，延长使用寿命。</w:t>
                  </w:r>
                </w:p>
              </w:tc>
            </w:tr>
          </w:tbl>
          <w:p w14:paraId="3C38927E">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40" w:lineRule="exact"/>
              <w:ind w:left="0" w:right="0"/>
              <w:textAlignment w:val="auto"/>
              <w:rPr>
                <w:rFonts w:hint="default" w:ascii="Times New Roman" w:hAnsi="Times New Roman" w:eastAsia="宋体" w:cs="Times New Roman"/>
                <w:b/>
                <w:color w:val="000000" w:themeColor="text1"/>
                <w:sz w:val="24"/>
              </w:rPr>
            </w:pPr>
            <w:r>
              <w:rPr>
                <w:rFonts w:hint="default" w:ascii="Times New Roman" w:hAnsi="Times New Roman" w:eastAsia="宋体" w:cs="Times New Roman"/>
                <w:b/>
                <w:color w:val="000000" w:themeColor="text1"/>
                <w:sz w:val="24"/>
              </w:rPr>
              <w:t>6、公用工程</w:t>
            </w:r>
          </w:p>
          <w:p w14:paraId="5596FA9F">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40" w:lineRule="exact"/>
              <w:ind w:left="0" w:right="0" w:firstLine="482" w:firstLineChars="200"/>
              <w:textAlignment w:val="auto"/>
              <w:rPr>
                <w:rFonts w:hint="default" w:ascii="Times New Roman" w:hAnsi="Times New Roman" w:eastAsia="宋体" w:cs="Times New Roman"/>
                <w:b/>
                <w:color w:val="000000" w:themeColor="text1"/>
                <w:sz w:val="24"/>
              </w:rPr>
            </w:pPr>
            <w:r>
              <w:rPr>
                <w:rFonts w:hint="default" w:ascii="Times New Roman" w:hAnsi="Times New Roman" w:eastAsia="宋体" w:cs="Times New Roman"/>
                <w:b/>
                <w:color w:val="000000" w:themeColor="text1"/>
                <w:sz w:val="24"/>
                <w:lang w:eastAsia="zh-CN"/>
              </w:rPr>
              <w:t>（</w:t>
            </w:r>
            <w:r>
              <w:rPr>
                <w:rFonts w:hint="default" w:ascii="Times New Roman" w:hAnsi="Times New Roman" w:eastAsia="宋体" w:cs="Times New Roman"/>
                <w:b/>
                <w:color w:val="000000" w:themeColor="text1"/>
                <w:sz w:val="24"/>
                <w:lang w:val="en-US" w:eastAsia="zh-CN"/>
              </w:rPr>
              <w:t>1</w:t>
            </w:r>
            <w:r>
              <w:rPr>
                <w:rFonts w:hint="default" w:ascii="Times New Roman" w:hAnsi="Times New Roman" w:eastAsia="宋体" w:cs="Times New Roman"/>
                <w:b/>
                <w:color w:val="000000" w:themeColor="text1"/>
                <w:sz w:val="24"/>
                <w:lang w:eastAsia="zh-CN"/>
              </w:rPr>
              <w:t>）</w:t>
            </w:r>
            <w:r>
              <w:rPr>
                <w:rFonts w:hint="default" w:ascii="Times New Roman" w:hAnsi="Times New Roman" w:eastAsia="宋体" w:cs="Times New Roman"/>
                <w:b/>
                <w:color w:val="000000" w:themeColor="text1"/>
                <w:sz w:val="24"/>
              </w:rPr>
              <w:t>供电</w:t>
            </w:r>
          </w:p>
          <w:p w14:paraId="06511503">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color w:val="000000" w:themeColor="text1"/>
              </w:rPr>
            </w:pPr>
            <w:r>
              <w:rPr>
                <w:rFonts w:hint="default" w:ascii="Times New Roman" w:hAnsi="Times New Roman" w:eastAsia="宋体" w:cs="Times New Roman"/>
                <w:color w:val="000000" w:themeColor="text1"/>
                <w:sz w:val="24"/>
                <w:szCs w:val="24"/>
              </w:rPr>
              <w:t>项目用电</w:t>
            </w:r>
            <w:r>
              <w:rPr>
                <w:rFonts w:hint="default"/>
                <w:color w:val="000000" w:themeColor="text1"/>
                <w:kern w:val="0"/>
                <w:sz w:val="24"/>
                <w:szCs w:val="24"/>
              </w:rPr>
              <w:t>市政供电系统</w:t>
            </w:r>
            <w:r>
              <w:rPr>
                <w:rFonts w:hint="default" w:ascii="Times New Roman" w:hAnsi="Times New Roman" w:eastAsia="宋体" w:cs="Times New Roman"/>
                <w:color w:val="000000" w:themeColor="text1"/>
                <w:sz w:val="24"/>
                <w:szCs w:val="24"/>
                <w:lang w:eastAsia="zh-CN"/>
              </w:rPr>
              <w:t>统一供电</w:t>
            </w:r>
            <w:r>
              <w:rPr>
                <w:rFonts w:hint="default" w:ascii="Times New Roman" w:hAnsi="Times New Roman" w:eastAsia="宋体" w:cs="Times New Roman"/>
                <w:color w:val="000000" w:themeColor="text1"/>
                <w:lang w:val="en-US" w:eastAsia="zh-CN"/>
              </w:rPr>
              <w:t>，年</w:t>
            </w:r>
            <w:r>
              <w:rPr>
                <w:rFonts w:hint="default" w:ascii="Times New Roman" w:hAnsi="Times New Roman" w:eastAsia="宋体" w:cs="Times New Roman"/>
                <w:color w:val="000000" w:themeColor="text1"/>
              </w:rPr>
              <w:t>用电</w:t>
            </w:r>
            <w:r>
              <w:rPr>
                <w:rFonts w:hint="default" w:ascii="Times New Roman" w:hAnsi="Times New Roman" w:eastAsia="宋体" w:cs="Times New Roman"/>
                <w:color w:val="000000" w:themeColor="text1"/>
                <w:lang w:val="en-US" w:eastAsia="zh-CN"/>
              </w:rPr>
              <w:t>约</w:t>
            </w:r>
            <w:r>
              <w:rPr>
                <w:rFonts w:hint="eastAsia" w:cs="Times New Roman"/>
                <w:color w:val="000000" w:themeColor="text1"/>
                <w:lang w:val="en-US" w:eastAsia="zh-CN"/>
              </w:rPr>
              <w:t>144</w:t>
            </w:r>
            <w:r>
              <w:rPr>
                <w:rFonts w:hint="default" w:ascii="Times New Roman" w:hAnsi="Times New Roman" w:eastAsia="宋体" w:cs="Times New Roman"/>
                <w:color w:val="000000" w:themeColor="text1"/>
              </w:rPr>
              <w:t>万</w:t>
            </w:r>
            <w:r>
              <w:rPr>
                <w:rStyle w:val="67"/>
                <w:rFonts w:hint="default"/>
                <w:color w:val="000000" w:themeColor="text1"/>
              </w:rPr>
              <w:t>kwh。</w:t>
            </w:r>
          </w:p>
          <w:p w14:paraId="1639BAC7">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40" w:lineRule="exact"/>
              <w:ind w:left="0" w:right="0" w:firstLine="482" w:firstLineChars="200"/>
              <w:textAlignment w:val="auto"/>
              <w:rPr>
                <w:rFonts w:hint="default" w:ascii="Times New Roman" w:hAnsi="Times New Roman" w:eastAsia="宋体" w:cs="Times New Roman"/>
                <w:b/>
                <w:color w:val="000000" w:themeColor="text1"/>
                <w:sz w:val="24"/>
              </w:rPr>
            </w:pPr>
            <w:r>
              <w:rPr>
                <w:rFonts w:hint="default" w:ascii="Times New Roman" w:hAnsi="Times New Roman" w:eastAsia="宋体" w:cs="Times New Roman"/>
                <w:b/>
                <w:color w:val="000000" w:themeColor="text1"/>
                <w:sz w:val="24"/>
                <w:lang w:eastAsia="zh-CN"/>
              </w:rPr>
              <w:t>（</w:t>
            </w:r>
            <w:r>
              <w:rPr>
                <w:rFonts w:hint="default" w:ascii="Times New Roman" w:hAnsi="Times New Roman" w:eastAsia="宋体" w:cs="Times New Roman"/>
                <w:b/>
                <w:color w:val="000000" w:themeColor="text1"/>
                <w:sz w:val="24"/>
                <w:lang w:val="en-US" w:eastAsia="zh-CN"/>
              </w:rPr>
              <w:t>2</w:t>
            </w:r>
            <w:r>
              <w:rPr>
                <w:rFonts w:hint="default" w:ascii="Times New Roman" w:hAnsi="Times New Roman" w:eastAsia="宋体" w:cs="Times New Roman"/>
                <w:b/>
                <w:color w:val="000000" w:themeColor="text1"/>
                <w:sz w:val="24"/>
                <w:lang w:eastAsia="zh-CN"/>
              </w:rPr>
              <w:t>）</w:t>
            </w:r>
            <w:r>
              <w:rPr>
                <w:rFonts w:hint="default" w:ascii="Times New Roman" w:hAnsi="Times New Roman" w:eastAsia="宋体" w:cs="Times New Roman"/>
                <w:b/>
                <w:color w:val="000000" w:themeColor="text1"/>
                <w:sz w:val="24"/>
              </w:rPr>
              <w:t>给</w:t>
            </w:r>
            <w:r>
              <w:rPr>
                <w:rFonts w:hint="default" w:ascii="Times New Roman" w:hAnsi="Times New Roman" w:eastAsia="宋体" w:cs="Times New Roman"/>
                <w:b/>
                <w:color w:val="000000" w:themeColor="text1"/>
                <w:sz w:val="24"/>
                <w:lang w:val="en-US" w:eastAsia="zh-CN"/>
              </w:rPr>
              <w:t>排</w:t>
            </w:r>
            <w:r>
              <w:rPr>
                <w:rFonts w:hint="default" w:ascii="Times New Roman" w:hAnsi="Times New Roman" w:eastAsia="宋体" w:cs="Times New Roman"/>
                <w:b/>
                <w:color w:val="000000" w:themeColor="text1"/>
                <w:sz w:val="24"/>
              </w:rPr>
              <w:t>水</w:t>
            </w:r>
          </w:p>
          <w:p w14:paraId="44660762">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440" w:lineRule="exact"/>
              <w:ind w:left="0" w:right="0" w:firstLine="482" w:firstLineChars="200"/>
              <w:textAlignment w:val="auto"/>
              <w:rPr>
                <w:rFonts w:hint="default" w:ascii="Times New Roman" w:hAnsi="Times New Roman" w:eastAsia="宋体" w:cs="Times New Roman"/>
                <w:b/>
                <w:color w:val="000000" w:themeColor="text1"/>
                <w:sz w:val="24"/>
              </w:rPr>
            </w:pPr>
            <w:r>
              <w:rPr>
                <w:rFonts w:hint="default" w:ascii="Times New Roman" w:hAnsi="Times New Roman" w:eastAsia="宋体" w:cs="Times New Roman"/>
                <w:b/>
                <w:color w:val="000000" w:themeColor="text1"/>
                <w:sz w:val="24"/>
              </w:rPr>
              <w:t>Ⅰ、给水</w:t>
            </w:r>
          </w:p>
          <w:p w14:paraId="7D1C79DE">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color w:val="000000" w:themeColor="text1"/>
              </w:rPr>
            </w:pPr>
            <w:r>
              <w:rPr>
                <w:rFonts w:hint="default"/>
                <w:color w:val="000000" w:themeColor="text1"/>
              </w:rPr>
              <w:t>本项目用水环节主要为</w:t>
            </w:r>
            <w:r>
              <w:rPr>
                <w:rFonts w:hint="eastAsia"/>
                <w:color w:val="000000" w:themeColor="text1"/>
                <w:lang w:val="en-US" w:eastAsia="zh-CN"/>
              </w:rPr>
              <w:t>废气</w:t>
            </w:r>
            <w:r>
              <w:rPr>
                <w:rFonts w:hint="default"/>
                <w:color w:val="000000" w:themeColor="text1"/>
              </w:rPr>
              <w:t>冷却循环</w:t>
            </w:r>
            <w:r>
              <w:rPr>
                <w:rFonts w:hint="eastAsia"/>
                <w:color w:val="000000" w:themeColor="text1"/>
                <w:lang w:val="en-US" w:eastAsia="zh-CN"/>
              </w:rPr>
              <w:t>系统用</w:t>
            </w:r>
            <w:r>
              <w:rPr>
                <w:rFonts w:hint="default"/>
                <w:color w:val="000000" w:themeColor="text1"/>
              </w:rPr>
              <w:t>水</w:t>
            </w:r>
            <w:r>
              <w:rPr>
                <w:rFonts w:hint="eastAsia"/>
                <w:color w:val="000000" w:themeColor="text1"/>
                <w:lang w:val="en-US" w:eastAsia="zh-CN"/>
              </w:rPr>
              <w:t>、</w:t>
            </w:r>
            <w:r>
              <w:rPr>
                <w:rFonts w:hint="default"/>
                <w:color w:val="000000" w:themeColor="text1"/>
              </w:rPr>
              <w:t>生活用水</w:t>
            </w:r>
            <w:r>
              <w:rPr>
                <w:rFonts w:hint="eastAsia"/>
                <w:color w:val="000000" w:themeColor="text1"/>
                <w:lang w:eastAsia="zh-CN"/>
              </w:rPr>
              <w:t>、</w:t>
            </w:r>
            <w:r>
              <w:rPr>
                <w:rFonts w:hint="eastAsia"/>
                <w:color w:val="000000" w:themeColor="text1"/>
                <w:lang w:val="en-US" w:eastAsia="zh-CN"/>
              </w:rPr>
              <w:t>水淬池用水</w:t>
            </w:r>
            <w:r>
              <w:rPr>
                <w:rFonts w:hint="default" w:ascii="Times New Roman" w:hAnsi="Times New Roman" w:eastAsia="宋体" w:cs="Times New Roman"/>
                <w:color w:val="000000" w:themeColor="text1"/>
              </w:rPr>
              <w:t>。</w:t>
            </w:r>
          </w:p>
          <w:p w14:paraId="7E390D64">
            <w:pPr>
              <w:pStyle w:val="62"/>
              <w:keepNext w:val="0"/>
              <w:keepLines w:val="0"/>
              <w:suppressLineNumbers w:val="0"/>
              <w:bidi w:val="0"/>
              <w:spacing w:before="0" w:beforeAutospacing="0" w:after="0" w:afterAutospacing="0"/>
              <w:ind w:left="0" w:right="0"/>
              <w:rPr>
                <w:rFonts w:hint="default" w:ascii="Times New Roman" w:hAnsi="Times New Roman" w:cs="Times New Roman"/>
                <w:color w:val="000000" w:themeColor="text1"/>
                <w:lang w:eastAsia="zh-CN"/>
              </w:rPr>
            </w:pPr>
            <w:r>
              <w:rPr>
                <w:rFonts w:hint="default" w:ascii="Times New Roman" w:hAnsi="Times New Roman" w:eastAsia="宋体" w:cs="Times New Roman"/>
                <w:color w:val="000000" w:themeColor="text1"/>
                <w:sz w:val="24"/>
              </w:rPr>
              <w:t>A、</w:t>
            </w:r>
            <w:r>
              <w:rPr>
                <w:rFonts w:hint="default" w:ascii="Times New Roman" w:hAnsi="Times New Roman" w:cs="Times New Roman"/>
                <w:color w:val="000000" w:themeColor="text1"/>
                <w:lang w:val="en-US" w:eastAsia="zh-CN"/>
              </w:rPr>
              <w:t>废气</w:t>
            </w:r>
            <w:r>
              <w:rPr>
                <w:rFonts w:hint="default" w:ascii="Times New Roman" w:hAnsi="Times New Roman" w:cs="Times New Roman"/>
                <w:color w:val="000000" w:themeColor="text1"/>
              </w:rPr>
              <w:t>冷却循环</w:t>
            </w:r>
            <w:r>
              <w:rPr>
                <w:rFonts w:hint="default" w:ascii="Times New Roman" w:hAnsi="Times New Roman" w:cs="Times New Roman"/>
                <w:color w:val="000000" w:themeColor="text1"/>
                <w:lang w:val="en-US" w:eastAsia="zh-CN"/>
              </w:rPr>
              <w:t>系统用</w:t>
            </w:r>
            <w:r>
              <w:rPr>
                <w:rFonts w:hint="default" w:ascii="Times New Roman" w:hAnsi="Times New Roman" w:cs="Times New Roman"/>
                <w:color w:val="000000" w:themeColor="text1"/>
              </w:rPr>
              <w:t>水</w:t>
            </w:r>
          </w:p>
          <w:p w14:paraId="25268A68">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firstLine="480" w:firstLineChars="200"/>
              <w:textAlignment w:val="auto"/>
              <w:rPr>
                <w:rFonts w:hint="default" w:ascii="Times New Roman" w:hAnsi="Times New Roman" w:cs="Times New Roman"/>
                <w:color w:val="000000" w:themeColor="text1"/>
                <w:sz w:val="24"/>
                <w:szCs w:val="24"/>
              </w:rPr>
            </w:pPr>
            <w:r>
              <w:rPr>
                <w:rFonts w:hint="default" w:ascii="Times New Roman" w:hAnsi="Times New Roman" w:cs="Times New Roman"/>
                <w:color w:val="000000" w:themeColor="text1"/>
                <w:kern w:val="0"/>
                <w:sz w:val="24"/>
                <w:szCs w:val="24"/>
                <w:lang w:bidi="ar"/>
              </w:rPr>
              <w:t>废气处理设备自带1个废气冷却循环系统，初始需注入2</w:t>
            </w:r>
            <w:r>
              <w:rPr>
                <w:rFonts w:hint="default" w:ascii="Times New Roman" w:hAnsi="Times New Roman" w:cs="Times New Roman"/>
                <w:color w:val="000000" w:themeColor="text1"/>
                <w:sz w:val="24"/>
                <w:szCs w:val="24"/>
              </w:rPr>
              <w:t>m</w:t>
            </w:r>
            <w:r>
              <w:rPr>
                <w:rFonts w:hint="default" w:ascii="Times New Roman" w:hAnsi="Times New Roman" w:cs="Times New Roman"/>
                <w:color w:val="000000" w:themeColor="text1"/>
                <w:sz w:val="24"/>
                <w:szCs w:val="24"/>
                <w:vertAlign w:val="superscript"/>
              </w:rPr>
              <w:t>3</w:t>
            </w:r>
            <w:r>
              <w:rPr>
                <w:rFonts w:hint="default" w:ascii="Times New Roman" w:hAnsi="Times New Roman" w:cs="Times New Roman"/>
                <w:color w:val="000000" w:themeColor="text1"/>
                <w:sz w:val="24"/>
                <w:szCs w:val="24"/>
              </w:rPr>
              <w:t>的水</w:t>
            </w:r>
            <w:r>
              <w:rPr>
                <w:rFonts w:hint="default" w:ascii="Times New Roman" w:hAnsi="Times New Roman" w:cs="Times New Roman"/>
                <w:color w:val="000000" w:themeColor="text1"/>
                <w:kern w:val="0"/>
                <w:sz w:val="24"/>
                <w:szCs w:val="24"/>
                <w:lang w:bidi="ar"/>
              </w:rPr>
              <w:t>，循环水</w:t>
            </w:r>
            <w:r>
              <w:rPr>
                <w:rFonts w:hint="default" w:ascii="Times New Roman" w:hAnsi="Times New Roman" w:cs="Times New Roman"/>
                <w:color w:val="000000" w:themeColor="text1"/>
                <w:sz w:val="24"/>
                <w:szCs w:val="24"/>
              </w:rPr>
              <w:t>1</w:t>
            </w:r>
          </w:p>
          <w:p w14:paraId="780E57DA">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textAlignment w:val="auto"/>
              <w:rPr>
                <w:rFonts w:hint="default" w:ascii="Times New Roman" w:hAnsi="Times New Roman" w:eastAsia="宋体" w:cs="Times New Roman"/>
                <w:color w:val="0000FF"/>
                <w:sz w:val="24"/>
                <w:szCs w:val="24"/>
                <w:lang w:val="en-US" w:eastAsia="zh-CN"/>
              </w:rPr>
            </w:pPr>
            <w:r>
              <w:rPr>
                <w:rFonts w:hint="default" w:ascii="Times New Roman" w:hAnsi="Times New Roman" w:cs="Times New Roman"/>
                <w:color w:val="000000" w:themeColor="text1"/>
                <w:sz w:val="24"/>
                <w:szCs w:val="24"/>
              </w:rPr>
              <w:t>m³/h</w:t>
            </w:r>
            <w:r>
              <w:rPr>
                <w:rFonts w:hint="default" w:ascii="Times New Roman" w:hAnsi="Times New Roman" w:cs="Times New Roman"/>
                <w:color w:val="000000" w:themeColor="text1"/>
                <w:kern w:val="0"/>
                <w:sz w:val="24"/>
                <w:szCs w:val="24"/>
                <w:lang w:bidi="ar"/>
              </w:rPr>
              <w:t>。</w:t>
            </w:r>
            <w:r>
              <w:rPr>
                <w:rFonts w:hint="default" w:ascii="Times New Roman" w:hAnsi="Times New Roman" w:cs="Times New Roman"/>
                <w:color w:val="000000" w:themeColor="text1"/>
                <w:sz w:val="24"/>
                <w:szCs w:val="24"/>
              </w:rPr>
              <w:t>根据《工业循环冷却水处理设计规范》（GB50050-2007）说明，循环冷却水系统蒸发水量约占循环水量的2.0%，即新水补充量占循环水量的2.0%。项目废气冷却循环系统使用时间约8h/d，年工作300天，总循环水量为2400m</w:t>
            </w:r>
            <w:r>
              <w:rPr>
                <w:rFonts w:hint="default" w:ascii="Times New Roman" w:hAnsi="Times New Roman" w:cs="Times New Roman"/>
                <w:color w:val="000000" w:themeColor="text1"/>
                <w:sz w:val="24"/>
                <w:szCs w:val="24"/>
                <w:vertAlign w:val="superscript"/>
              </w:rPr>
              <w:t>3</w:t>
            </w:r>
            <w:r>
              <w:rPr>
                <w:rFonts w:hint="default" w:ascii="Times New Roman" w:hAnsi="Times New Roman" w:cs="Times New Roman"/>
                <w:color w:val="000000" w:themeColor="text1"/>
                <w:sz w:val="24"/>
                <w:szCs w:val="24"/>
              </w:rPr>
              <w:t>/a，新鲜水补充量为48m</w:t>
            </w:r>
            <w:r>
              <w:rPr>
                <w:rFonts w:hint="default" w:ascii="Times New Roman" w:hAnsi="Times New Roman" w:cs="Times New Roman"/>
                <w:color w:val="000000" w:themeColor="text1"/>
                <w:sz w:val="24"/>
                <w:szCs w:val="24"/>
                <w:vertAlign w:val="superscript"/>
              </w:rPr>
              <w:t>3</w:t>
            </w:r>
            <w:r>
              <w:rPr>
                <w:rFonts w:hint="default" w:ascii="Times New Roman" w:hAnsi="Times New Roman" w:cs="Times New Roman"/>
                <w:color w:val="000000" w:themeColor="text1"/>
                <w:sz w:val="24"/>
                <w:szCs w:val="24"/>
              </w:rPr>
              <w:t>/a（0.16m</w:t>
            </w:r>
            <w:r>
              <w:rPr>
                <w:rFonts w:hint="default" w:ascii="Times New Roman" w:hAnsi="Times New Roman" w:cs="Times New Roman"/>
                <w:color w:val="000000" w:themeColor="text1"/>
                <w:sz w:val="24"/>
                <w:szCs w:val="24"/>
                <w:vertAlign w:val="superscript"/>
              </w:rPr>
              <w:t>3/</w:t>
            </w:r>
            <w:r>
              <w:rPr>
                <w:rFonts w:hint="default" w:ascii="Times New Roman" w:hAnsi="Times New Roman" w:cs="Times New Roman"/>
                <w:color w:val="000000" w:themeColor="text1"/>
                <w:sz w:val="24"/>
                <w:szCs w:val="24"/>
              </w:rPr>
              <w:t>d</w:t>
            </w:r>
            <w:r>
              <w:rPr>
                <w:rFonts w:hint="default" w:ascii="Times New Roman" w:hAnsi="Times New Roman" w:cs="Times New Roman"/>
                <w:color w:val="000000" w:themeColor="text1"/>
                <w:kern w:val="0"/>
                <w:sz w:val="24"/>
                <w:szCs w:val="24"/>
              </w:rPr>
              <w:t>）</w:t>
            </w:r>
            <w:r>
              <w:rPr>
                <w:rFonts w:hint="default" w:ascii="Times New Roman" w:hAnsi="Times New Roman" w:eastAsia="Times New Roman" w:cs="Times New Roman"/>
                <w:color w:val="000000" w:themeColor="text1"/>
                <w:sz w:val="24"/>
                <w:szCs w:val="24"/>
                <w:lang w:eastAsia="zh-CN"/>
              </w:rPr>
              <w:t>。</w:t>
            </w:r>
          </w:p>
          <w:p w14:paraId="5738E8F4">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color w:val="000000" w:themeColor="text1"/>
                <w:sz w:val="24"/>
              </w:rPr>
            </w:pPr>
            <w:r>
              <w:rPr>
                <w:rFonts w:hint="eastAsia" w:ascii="宋体" w:hAnsi="宋体" w:eastAsia="宋体" w:cs="宋体"/>
                <w:color w:val="000000" w:themeColor="text1"/>
                <w:sz w:val="24"/>
                <w:szCs w:val="24"/>
              </w:rPr>
              <w:t>B、</w:t>
            </w:r>
            <w:r>
              <w:rPr>
                <w:rFonts w:hint="default" w:ascii="Times New Roman" w:hAnsi="Times New Roman" w:eastAsia="宋体" w:cs="Times New Roman"/>
                <w:color w:val="000000" w:themeColor="text1"/>
                <w:sz w:val="24"/>
              </w:rPr>
              <w:t>生活用水</w:t>
            </w:r>
          </w:p>
          <w:p w14:paraId="6CFCF68D">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firstLine="480" w:firstLineChars="200"/>
              <w:textAlignment w:val="auto"/>
              <w:rPr>
                <w:rFonts w:hint="eastAsia" w:ascii="Times New Roman" w:hAnsi="Times New Roman" w:eastAsia="Times New Roman" w:cs="Times New Roman"/>
                <w:color w:val="000000" w:themeColor="text1"/>
                <w:sz w:val="24"/>
              </w:rPr>
            </w:pPr>
            <w:r>
              <w:rPr>
                <w:rFonts w:hint="eastAsia" w:ascii="Times New Roman" w:hAnsi="宋体" w:eastAsia="Times New Roman" w:cs="Times New Roman"/>
                <w:color w:val="000000" w:themeColor="text1"/>
                <w:sz w:val="24"/>
              </w:rPr>
              <w:t>项目员工</w:t>
            </w:r>
            <w:r>
              <w:rPr>
                <w:rFonts w:hint="eastAsia" w:ascii="Times New Roman" w:hAnsi="宋体" w:eastAsia="Times New Roman" w:cs="Times New Roman"/>
                <w:color w:val="000000" w:themeColor="text1"/>
                <w:sz w:val="24"/>
                <w:lang w:val="en-US" w:eastAsia="zh-CN"/>
              </w:rPr>
              <w:t>20</w:t>
            </w:r>
            <w:r>
              <w:rPr>
                <w:rFonts w:hint="default" w:ascii="Times New Roman" w:hAnsi="宋体" w:eastAsia="Times New Roman" w:cs="Times New Roman"/>
                <w:color w:val="000000" w:themeColor="text1"/>
                <w:sz w:val="24"/>
              </w:rPr>
              <w:t>人</w:t>
            </w:r>
            <w:r>
              <w:rPr>
                <w:rFonts w:hint="eastAsia" w:ascii="Times New Roman" w:hAnsi="宋体" w:eastAsia="Times New Roman" w:cs="Times New Roman"/>
                <w:color w:val="000000" w:themeColor="text1"/>
                <w:sz w:val="24"/>
              </w:rPr>
              <w:t>，厂内不提供食宿</w:t>
            </w:r>
            <w:r>
              <w:rPr>
                <w:rFonts w:hint="eastAsia" w:hAnsi="宋体" w:eastAsia="宋体" w:cs="Times New Roman"/>
                <w:color w:val="000000" w:themeColor="text1"/>
                <w:sz w:val="24"/>
                <w:lang w:eastAsia="zh-CN"/>
              </w:rPr>
              <w:t>。</w:t>
            </w:r>
            <w:r>
              <w:rPr>
                <w:rFonts w:hint="eastAsia" w:ascii="Times New Roman" w:hAnsi="Times New Roman" w:eastAsia="宋体" w:cs="Times New Roman"/>
                <w:color w:val="000000" w:themeColor="text1"/>
                <w:sz w:val="24"/>
                <w:szCs w:val="24"/>
                <w:lang w:val="en-US" w:eastAsia="zh-CN"/>
              </w:rPr>
              <w:t>根据《安徽省行业用水定额》（DB34/T679-2025），城镇居民日常生活用水量按照200L/人·d计，本项目员工不在厂区内食宿，因此用水定额保守取50L/人·d</w:t>
            </w:r>
            <w:r>
              <w:rPr>
                <w:rFonts w:hint="eastAsia" w:ascii="Times New Roman" w:hAnsi="宋体" w:eastAsia="Times New Roman" w:cs="Times New Roman"/>
                <w:color w:val="000000" w:themeColor="text1"/>
                <w:sz w:val="24"/>
              </w:rPr>
              <w:t>，则生活用水量为</w:t>
            </w:r>
            <w:r>
              <w:rPr>
                <w:rFonts w:hint="eastAsia" w:ascii="Times New Roman" w:hAnsi="宋体" w:eastAsia="Times New Roman" w:cs="Times New Roman"/>
                <w:color w:val="000000" w:themeColor="text1"/>
                <w:sz w:val="24"/>
                <w:lang w:val="en-US" w:eastAsia="zh-CN"/>
              </w:rPr>
              <w:t>300</w:t>
            </w:r>
            <w:r>
              <w:rPr>
                <w:rFonts w:hint="eastAsia" w:ascii="Times New Roman" w:hAnsi="宋体" w:eastAsia="Times New Roman" w:cs="Times New Roman"/>
                <w:color w:val="000000" w:themeColor="text1"/>
                <w:sz w:val="24"/>
              </w:rPr>
              <w:t>m</w:t>
            </w:r>
            <w:r>
              <w:rPr>
                <w:rFonts w:hint="eastAsia" w:ascii="Times New Roman" w:hAnsi="宋体" w:eastAsia="Times New Roman" w:cs="Times New Roman"/>
                <w:color w:val="000000" w:themeColor="text1"/>
                <w:sz w:val="24"/>
                <w:vertAlign w:val="superscript"/>
              </w:rPr>
              <w:t>3</w:t>
            </w:r>
            <w:r>
              <w:rPr>
                <w:rFonts w:hint="eastAsia" w:ascii="Times New Roman" w:hAnsi="宋体" w:eastAsia="Times New Roman" w:cs="Times New Roman"/>
                <w:color w:val="000000" w:themeColor="text1"/>
                <w:sz w:val="24"/>
              </w:rPr>
              <w:t>/a</w:t>
            </w:r>
            <w:r>
              <w:rPr>
                <w:rFonts w:hint="eastAsia" w:ascii="Times New Roman" w:hAnsi="宋体" w:eastAsia="Times New Roman" w:cs="Times New Roman"/>
                <w:color w:val="000000" w:themeColor="text1"/>
                <w:sz w:val="24"/>
                <w:lang w:eastAsia="zh-CN"/>
              </w:rPr>
              <w:t>（</w:t>
            </w:r>
            <w:r>
              <w:rPr>
                <w:rFonts w:hint="eastAsia" w:ascii="Times New Roman" w:hAnsi="宋体" w:eastAsia="Times New Roman" w:cs="Times New Roman"/>
                <w:color w:val="000000" w:themeColor="text1"/>
                <w:sz w:val="24"/>
                <w:lang w:val="en-US" w:eastAsia="zh-CN"/>
              </w:rPr>
              <w:t>1</w:t>
            </w:r>
            <w:r>
              <w:rPr>
                <w:rFonts w:hint="eastAsia" w:ascii="Times New Roman" w:hAnsi="宋体" w:eastAsia="Times New Roman" w:cs="Times New Roman"/>
                <w:color w:val="000000" w:themeColor="text1"/>
                <w:sz w:val="24"/>
              </w:rPr>
              <w:t>m</w:t>
            </w:r>
            <w:r>
              <w:rPr>
                <w:rFonts w:hint="eastAsia" w:ascii="Times New Roman" w:hAnsi="宋体" w:eastAsia="Times New Roman" w:cs="Times New Roman"/>
                <w:color w:val="000000" w:themeColor="text1"/>
                <w:sz w:val="24"/>
                <w:vertAlign w:val="superscript"/>
              </w:rPr>
              <w:t>3</w:t>
            </w:r>
            <w:r>
              <w:rPr>
                <w:rFonts w:hint="eastAsia" w:ascii="Times New Roman" w:hAnsi="宋体" w:eastAsia="Times New Roman" w:cs="Times New Roman"/>
                <w:color w:val="000000" w:themeColor="text1"/>
                <w:sz w:val="24"/>
              </w:rPr>
              <w:t>/d</w:t>
            </w:r>
            <w:r>
              <w:rPr>
                <w:rFonts w:hint="eastAsia" w:ascii="Times New Roman" w:hAnsi="宋体" w:eastAsia="Times New Roman" w:cs="Times New Roman"/>
                <w:color w:val="000000" w:themeColor="text1"/>
                <w:sz w:val="24"/>
                <w:lang w:eastAsia="zh-CN"/>
              </w:rPr>
              <w:t>）</w:t>
            </w:r>
            <w:r>
              <w:rPr>
                <w:rFonts w:hint="eastAsia" w:ascii="Times New Roman" w:hAnsi="宋体" w:eastAsia="Times New Roman" w:cs="Times New Roman"/>
                <w:color w:val="000000" w:themeColor="text1"/>
                <w:sz w:val="24"/>
              </w:rPr>
              <w:t>。污水产生系数取0.8，则生活污水量为</w:t>
            </w:r>
            <w:r>
              <w:rPr>
                <w:rFonts w:hint="eastAsia" w:ascii="Times New Roman" w:hAnsi="宋体" w:eastAsia="Times New Roman" w:cs="Times New Roman"/>
                <w:color w:val="000000" w:themeColor="text1"/>
                <w:sz w:val="24"/>
                <w:lang w:val="en-US" w:eastAsia="zh-CN"/>
              </w:rPr>
              <w:t>240</w:t>
            </w:r>
            <w:r>
              <w:rPr>
                <w:rFonts w:hint="eastAsia" w:ascii="Times New Roman" w:hAnsi="宋体" w:eastAsia="Times New Roman" w:cs="Times New Roman"/>
                <w:color w:val="000000" w:themeColor="text1"/>
                <w:sz w:val="24"/>
              </w:rPr>
              <w:t>m</w:t>
            </w:r>
            <w:r>
              <w:rPr>
                <w:rFonts w:hint="eastAsia" w:ascii="Times New Roman" w:hAnsi="宋体" w:eastAsia="Times New Roman" w:cs="Times New Roman"/>
                <w:color w:val="000000" w:themeColor="text1"/>
                <w:sz w:val="24"/>
                <w:vertAlign w:val="superscript"/>
              </w:rPr>
              <w:t>3</w:t>
            </w:r>
            <w:r>
              <w:rPr>
                <w:rFonts w:hint="eastAsia" w:ascii="Times New Roman" w:hAnsi="宋体" w:eastAsia="Times New Roman" w:cs="Times New Roman"/>
                <w:color w:val="000000" w:themeColor="text1"/>
                <w:sz w:val="24"/>
              </w:rPr>
              <w:t>/a</w:t>
            </w:r>
            <w:r>
              <w:rPr>
                <w:rFonts w:hint="eastAsia" w:ascii="Times New Roman" w:hAnsi="宋体" w:eastAsia="Times New Roman" w:cs="Times New Roman"/>
                <w:color w:val="000000" w:themeColor="text1"/>
                <w:sz w:val="24"/>
                <w:lang w:eastAsia="zh-CN"/>
              </w:rPr>
              <w:t>（</w:t>
            </w:r>
            <w:r>
              <w:rPr>
                <w:rFonts w:hint="eastAsia" w:ascii="Times New Roman" w:hAnsi="宋体" w:eastAsia="Times New Roman" w:cs="Times New Roman"/>
                <w:color w:val="000000" w:themeColor="text1"/>
                <w:sz w:val="24"/>
                <w:lang w:val="en-US" w:eastAsia="zh-CN"/>
              </w:rPr>
              <w:t>0.8</w:t>
            </w:r>
            <w:r>
              <w:rPr>
                <w:rFonts w:hint="eastAsia" w:ascii="Times New Roman" w:hAnsi="宋体" w:eastAsia="Times New Roman" w:cs="Times New Roman"/>
                <w:color w:val="000000" w:themeColor="text1"/>
                <w:sz w:val="24"/>
              </w:rPr>
              <w:t>m</w:t>
            </w:r>
            <w:r>
              <w:rPr>
                <w:rFonts w:hint="eastAsia" w:ascii="Times New Roman" w:hAnsi="宋体" w:eastAsia="Times New Roman" w:cs="Times New Roman"/>
                <w:color w:val="000000" w:themeColor="text1"/>
                <w:sz w:val="24"/>
                <w:vertAlign w:val="superscript"/>
              </w:rPr>
              <w:t>3</w:t>
            </w:r>
            <w:r>
              <w:rPr>
                <w:rFonts w:hint="eastAsia" w:ascii="Times New Roman" w:hAnsi="宋体" w:eastAsia="Times New Roman" w:cs="Times New Roman"/>
                <w:color w:val="000000" w:themeColor="text1"/>
                <w:sz w:val="24"/>
              </w:rPr>
              <w:t>/d</w:t>
            </w:r>
            <w:r>
              <w:rPr>
                <w:rFonts w:hint="eastAsia" w:ascii="Times New Roman" w:hAnsi="宋体" w:eastAsia="Times New Roman" w:cs="Times New Roman"/>
                <w:color w:val="000000" w:themeColor="text1"/>
                <w:sz w:val="24"/>
                <w:lang w:eastAsia="zh-CN"/>
              </w:rPr>
              <w:t>）</w:t>
            </w:r>
            <w:r>
              <w:rPr>
                <w:rFonts w:hint="eastAsia" w:ascii="Times New Roman" w:hAnsi="宋体" w:eastAsia="Times New Roman" w:cs="Times New Roman"/>
                <w:color w:val="000000" w:themeColor="text1"/>
                <w:sz w:val="24"/>
              </w:rPr>
              <w:t>。</w:t>
            </w:r>
          </w:p>
          <w:p w14:paraId="6B473ED8">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szCs w:val="24"/>
                <w:lang w:val="en-US" w:eastAsia="zh-CN"/>
              </w:rPr>
              <w:t>C</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水淬池</w:t>
            </w:r>
            <w:r>
              <w:rPr>
                <w:rFonts w:hint="default" w:ascii="Times New Roman" w:hAnsi="Times New Roman" w:eastAsia="宋体" w:cs="Times New Roman"/>
                <w:color w:val="auto"/>
                <w:sz w:val="24"/>
              </w:rPr>
              <w:t>用水</w:t>
            </w:r>
          </w:p>
          <w:p w14:paraId="5C14AEB2">
            <w:pPr>
              <w:pStyle w:val="62"/>
              <w:keepNext w:val="0"/>
              <w:keepLines w:val="0"/>
              <w:suppressLineNumbers w:val="0"/>
              <w:bidi w:val="0"/>
              <w:spacing w:before="0" w:beforeAutospacing="0" w:after="0" w:afterAutospacing="0"/>
              <w:ind w:left="0" w:right="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Cs w:val="24"/>
                <w:lang w:val="en-US" w:eastAsia="zh-CN"/>
              </w:rPr>
              <w:t>根据建设单位提供资料可知，项目设置2个水淬池</w:t>
            </w:r>
            <w:r>
              <w:rPr>
                <w:rFonts w:hint="default" w:ascii="Times New Roman" w:hAnsi="Times New Roman" w:cs="Times New Roman"/>
                <w:color w:val="auto"/>
                <w:lang w:val="en-US" w:eastAsia="zh-CN"/>
              </w:rPr>
              <w:t>（尺寸：2.5m*3.5m*1.4m，淬水池容积为9.8m³/个），初始注入80%水量，即19.6m³；</w:t>
            </w:r>
            <w:r>
              <w:rPr>
                <w:rFonts w:hint="default" w:ascii="Times New Roman" w:hAnsi="Times New Roman" w:cs="Times New Roman"/>
                <w:color w:val="auto"/>
                <w:sz w:val="24"/>
                <w:szCs w:val="24"/>
                <w:lang w:val="en-US" w:eastAsia="zh-CN"/>
              </w:rPr>
              <w:t>水淬池水不外排，需要定期补充损耗，损耗水量按10%计算，需补充新鲜水量为1.96m</w:t>
            </w:r>
            <w:r>
              <w:rPr>
                <w:rFonts w:hint="default" w:ascii="Times New Roman" w:hAnsi="Times New Roman" w:cs="Times New Roman"/>
                <w:color w:val="auto"/>
                <w:sz w:val="24"/>
                <w:szCs w:val="24"/>
                <w:vertAlign w:val="superscript"/>
                <w:lang w:val="en-US" w:eastAsia="zh-CN"/>
              </w:rPr>
              <w:t>3</w:t>
            </w:r>
            <w:r>
              <w:rPr>
                <w:rFonts w:hint="default" w:ascii="Times New Roman" w:hAnsi="Times New Roman" w:cs="Times New Roman"/>
                <w:color w:val="auto"/>
                <w:sz w:val="24"/>
                <w:szCs w:val="24"/>
                <w:lang w:val="en-US" w:eastAsia="zh-CN"/>
              </w:rPr>
              <w:t>/d。</w:t>
            </w:r>
          </w:p>
          <w:p w14:paraId="5B9E6B8E">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440" w:lineRule="exact"/>
              <w:ind w:left="0" w:right="0" w:firstLine="482" w:firstLineChars="200"/>
              <w:textAlignment w:val="auto"/>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Ⅱ、排水</w:t>
            </w:r>
          </w:p>
          <w:p w14:paraId="792FC1FD">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sz w:val="24"/>
              </w:rPr>
            </w:pPr>
            <w:r>
              <w:rPr>
                <w:rFonts w:hint="default"/>
                <w:color w:val="auto"/>
              </w:rPr>
              <w:t>项目实行雨污分流。雨水经厂内雨水管排入园区雨水管网。本项目废水主要为生活</w:t>
            </w:r>
            <w:r>
              <w:rPr>
                <w:rFonts w:hint="eastAsia"/>
                <w:color w:val="auto"/>
                <w:lang w:val="en-US" w:eastAsia="zh-CN"/>
              </w:rPr>
              <w:t>污水，</w:t>
            </w:r>
            <w:r>
              <w:rPr>
                <w:rFonts w:hint="default" w:ascii="Times New Roman" w:hAnsi="Times New Roman" w:cs="Times New Roman"/>
                <w:color w:val="auto"/>
                <w:lang w:val="en-US" w:eastAsia="zh-CN"/>
              </w:rPr>
              <w:t>废气</w:t>
            </w:r>
            <w:r>
              <w:rPr>
                <w:rFonts w:hint="default" w:ascii="Times New Roman" w:hAnsi="Times New Roman" w:cs="Times New Roman"/>
                <w:color w:val="auto"/>
              </w:rPr>
              <w:t>冷却循环</w:t>
            </w:r>
            <w:r>
              <w:rPr>
                <w:rFonts w:hint="default" w:ascii="Times New Roman" w:hAnsi="Times New Roman" w:cs="Times New Roman"/>
                <w:color w:val="auto"/>
                <w:lang w:val="en-US" w:eastAsia="zh-CN"/>
              </w:rPr>
              <w:t>系统用</w:t>
            </w:r>
            <w:r>
              <w:rPr>
                <w:rFonts w:hint="default" w:ascii="Times New Roman" w:hAnsi="Times New Roman" w:cs="Times New Roman"/>
                <w:color w:val="auto"/>
              </w:rPr>
              <w:t>水</w:t>
            </w:r>
            <w:r>
              <w:rPr>
                <w:rFonts w:hint="eastAsia" w:ascii="Times New Roman" w:hAnsi="Times New Roman" w:cs="Times New Roman"/>
                <w:color w:val="auto"/>
                <w:lang w:val="en-US" w:eastAsia="zh-CN"/>
              </w:rPr>
              <w:t>循环使用，不外排</w:t>
            </w:r>
            <w:r>
              <w:rPr>
                <w:rFonts w:hint="eastAsia" w:cs="Times New Roman"/>
                <w:color w:val="auto"/>
                <w:lang w:val="en-US" w:eastAsia="zh-CN"/>
              </w:rPr>
              <w:t>，</w:t>
            </w:r>
            <w:r>
              <w:rPr>
                <w:rFonts w:hint="default" w:ascii="Times New Roman" w:hAnsi="Times New Roman" w:eastAsia="宋体" w:cs="Times New Roman"/>
                <w:color w:val="auto"/>
                <w:sz w:val="24"/>
                <w:szCs w:val="24"/>
                <w:lang w:val="en-US" w:eastAsia="zh-CN"/>
              </w:rPr>
              <w:t>水淬池</w:t>
            </w:r>
            <w:r>
              <w:rPr>
                <w:rFonts w:hint="eastAsia" w:ascii="Times New Roman" w:hAnsi="Times New Roman" w:eastAsia="宋体" w:cs="Times New Roman"/>
                <w:color w:val="auto"/>
                <w:sz w:val="24"/>
                <w:szCs w:val="24"/>
                <w:lang w:val="en-US" w:eastAsia="zh-CN"/>
              </w:rPr>
              <w:t>水不外排</w:t>
            </w:r>
            <w:r>
              <w:rPr>
                <w:rFonts w:hint="default"/>
                <w:color w:val="auto"/>
              </w:rPr>
              <w:t>。生活</w:t>
            </w:r>
            <w:r>
              <w:rPr>
                <w:rFonts w:hint="eastAsia"/>
                <w:color w:val="auto"/>
                <w:lang w:val="en-US" w:eastAsia="zh-CN"/>
              </w:rPr>
              <w:t>污水经化粪池预处理后</w:t>
            </w:r>
            <w:r>
              <w:rPr>
                <w:rFonts w:hint="eastAsia"/>
                <w:color w:val="auto"/>
                <w:lang w:eastAsia="zh-CN"/>
              </w:rPr>
              <w:t>，</w:t>
            </w:r>
            <w:r>
              <w:rPr>
                <w:rFonts w:hint="eastAsia"/>
                <w:color w:val="auto"/>
                <w:kern w:val="0"/>
                <w:szCs w:val="21"/>
              </w:rPr>
              <w:t>由市政污水管网</w:t>
            </w:r>
            <w:r>
              <w:rPr>
                <w:rFonts w:hint="default"/>
                <w:color w:val="auto"/>
                <w:kern w:val="0"/>
                <w:szCs w:val="21"/>
              </w:rPr>
              <w:t>接入</w:t>
            </w:r>
            <w:r>
              <w:rPr>
                <w:rFonts w:hint="default" w:ascii="Times New Roman" w:hAnsi="Times New Roman"/>
                <w:color w:val="auto"/>
                <w:sz w:val="24"/>
                <w:szCs w:val="24"/>
                <w:lang w:eastAsia="zh-CN"/>
              </w:rPr>
              <w:t>淮南经济技术开发区工业污水处理厂</w:t>
            </w:r>
            <w:r>
              <w:rPr>
                <w:rFonts w:hint="default"/>
                <w:color w:val="auto"/>
                <w:kern w:val="0"/>
                <w:sz w:val="24"/>
                <w:szCs w:val="24"/>
              </w:rPr>
              <w:t>处理，处理达标后排入</w:t>
            </w:r>
            <w:r>
              <w:rPr>
                <w:rFonts w:hint="eastAsia"/>
                <w:color w:val="auto"/>
                <w:kern w:val="0"/>
                <w:sz w:val="24"/>
                <w:szCs w:val="24"/>
                <w:lang w:val="en-US" w:eastAsia="zh-CN"/>
              </w:rPr>
              <w:t>淮</w:t>
            </w:r>
            <w:r>
              <w:rPr>
                <w:rFonts w:hint="eastAsia"/>
                <w:color w:val="auto"/>
                <w:kern w:val="0"/>
                <w:sz w:val="24"/>
                <w:szCs w:val="24"/>
              </w:rPr>
              <w:t>河</w:t>
            </w:r>
            <w:r>
              <w:rPr>
                <w:rFonts w:hint="default"/>
                <w:color w:val="auto"/>
                <w:sz w:val="24"/>
                <w:szCs w:val="24"/>
              </w:rPr>
              <w:t>。</w:t>
            </w:r>
            <w:r>
              <w:rPr>
                <w:rFonts w:hint="default" w:ascii="Times New Roman" w:hAnsi="Times New Roman" w:eastAsia="宋体" w:cs="Times New Roman"/>
                <w:color w:val="auto"/>
                <w:sz w:val="24"/>
              </w:rPr>
              <w:t>项目用</w:t>
            </w:r>
            <w:r>
              <w:rPr>
                <w:rFonts w:hint="eastAsia" w:ascii="Times New Roman" w:hAnsi="Times New Roman" w:cs="Times New Roman"/>
                <w:color w:val="auto"/>
                <w:sz w:val="24"/>
                <w:lang w:eastAsia="zh-CN"/>
              </w:rPr>
              <w:t>、</w:t>
            </w:r>
            <w:r>
              <w:rPr>
                <w:rFonts w:hint="default" w:ascii="Times New Roman" w:hAnsi="Times New Roman" w:eastAsia="宋体" w:cs="Times New Roman"/>
                <w:color w:val="auto"/>
                <w:sz w:val="24"/>
              </w:rPr>
              <w:t>排水情况一览表如下：</w:t>
            </w:r>
          </w:p>
          <w:p w14:paraId="1A1874DD">
            <w:pPr>
              <w:pStyle w:val="63"/>
              <w:keepNext w:val="0"/>
              <w:keepLines w:val="0"/>
              <w:pageBreakBefore w:val="0"/>
              <w:widowControl w:val="0"/>
              <w:suppressLineNumbers w:val="0"/>
              <w:kinsoku/>
              <w:wordWrap/>
              <w:overflowPunct/>
              <w:topLinePunct w:val="0"/>
              <w:autoSpaceDE/>
              <w:autoSpaceDN/>
              <w:bidi w:val="0"/>
              <w:snapToGrid/>
              <w:spacing w:before="0" w:beforeAutospacing="0" w:after="0" w:afterAutospacing="0"/>
              <w:ind w:left="0" w:right="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表2-</w:t>
            </w:r>
            <w:r>
              <w:rPr>
                <w:rFonts w:hint="eastAsia" w:ascii="Times New Roman" w:hAnsi="Times New Roman" w:eastAsia="宋体" w:cs="Times New Roman"/>
                <w:color w:val="auto"/>
                <w:lang w:val="en-US" w:eastAsia="zh-CN"/>
              </w:rPr>
              <w:t>9</w:t>
            </w:r>
            <w:r>
              <w:rPr>
                <w:rFonts w:hint="default" w:ascii="Times New Roman" w:hAnsi="Times New Roman" w:eastAsia="宋体" w:cs="Times New Roman"/>
                <w:color w:val="auto"/>
              </w:rPr>
              <w:t xml:space="preserve">  项目用排水情况一览表</w:t>
            </w:r>
          </w:p>
          <w:tbl>
            <w:tblPr>
              <w:tblStyle w:val="5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1902"/>
              <w:gridCol w:w="2720"/>
              <w:gridCol w:w="740"/>
              <w:gridCol w:w="837"/>
              <w:gridCol w:w="800"/>
              <w:gridCol w:w="804"/>
            </w:tblGrid>
            <w:tr w14:paraId="2B77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37" w:type="pct"/>
                  <w:vMerge w:val="restart"/>
                  <w:tcBorders>
                    <w:top w:val="single" w:color="auto" w:sz="4" w:space="0"/>
                    <w:left w:val="single" w:color="auto" w:sz="4" w:space="0"/>
                    <w:right w:val="single" w:color="auto" w:sz="4" w:space="0"/>
                  </w:tcBorders>
                  <w:noWrap w:val="0"/>
                  <w:vAlign w:val="center"/>
                </w:tcPr>
                <w:p w14:paraId="06472D8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105" w:leftChars="-50" w:right="-105" w:rightChars="-50"/>
                    <w:jc w:val="center"/>
                    <w:textAlignment w:val="auto"/>
                    <w:rPr>
                      <w:rFonts w:hint="default" w:ascii="Times New Roman" w:hAnsi="Times New Roman" w:eastAsia="Times New Roman" w:cs="Times New Roman"/>
                      <w:b/>
                      <w:bCs/>
                      <w:color w:val="auto"/>
                      <w:kern w:val="0"/>
                      <w:szCs w:val="21"/>
                    </w:rPr>
                  </w:pPr>
                  <w:r>
                    <w:rPr>
                      <w:rFonts w:hint="default" w:ascii="Times New Roman" w:hAnsi="Times New Roman" w:eastAsia="Times New Roman" w:cs="Times New Roman"/>
                      <w:b/>
                      <w:bCs/>
                      <w:color w:val="auto"/>
                      <w:kern w:val="0"/>
                      <w:szCs w:val="21"/>
                    </w:rPr>
                    <w:t>序号</w:t>
                  </w:r>
                </w:p>
              </w:tc>
              <w:tc>
                <w:tcPr>
                  <w:tcW w:w="1136" w:type="pct"/>
                  <w:vMerge w:val="restart"/>
                  <w:tcBorders>
                    <w:top w:val="single" w:color="auto" w:sz="4" w:space="0"/>
                    <w:left w:val="single" w:color="auto" w:sz="4" w:space="0"/>
                    <w:right w:val="single" w:color="auto" w:sz="4" w:space="0"/>
                  </w:tcBorders>
                  <w:noWrap w:val="0"/>
                  <w:vAlign w:val="center"/>
                </w:tcPr>
                <w:p w14:paraId="45D89A89">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Times New Roman" w:cs="Times New Roman"/>
                      <w:b/>
                      <w:bCs/>
                      <w:color w:val="auto"/>
                      <w:kern w:val="0"/>
                      <w:szCs w:val="21"/>
                    </w:rPr>
                  </w:pPr>
                  <w:r>
                    <w:rPr>
                      <w:rFonts w:hint="default" w:ascii="Times New Roman" w:hAnsi="Times New Roman" w:eastAsia="Times New Roman" w:cs="Times New Roman"/>
                      <w:b/>
                      <w:bCs/>
                      <w:color w:val="auto"/>
                      <w:kern w:val="0"/>
                      <w:szCs w:val="21"/>
                    </w:rPr>
                    <w:t>用水环节</w:t>
                  </w:r>
                </w:p>
              </w:tc>
              <w:tc>
                <w:tcPr>
                  <w:tcW w:w="1625" w:type="pct"/>
                  <w:vMerge w:val="restart"/>
                  <w:tcBorders>
                    <w:top w:val="single" w:color="auto" w:sz="4" w:space="0"/>
                    <w:left w:val="single" w:color="auto" w:sz="4" w:space="0"/>
                    <w:right w:val="single" w:color="auto" w:sz="4" w:space="0"/>
                  </w:tcBorders>
                  <w:noWrap w:val="0"/>
                  <w:vAlign w:val="center"/>
                </w:tcPr>
                <w:p w14:paraId="51C45A38">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Times New Roman" w:cs="Times New Roman"/>
                      <w:b/>
                      <w:bCs/>
                      <w:color w:val="auto"/>
                      <w:kern w:val="0"/>
                      <w:szCs w:val="21"/>
                    </w:rPr>
                  </w:pPr>
                  <w:r>
                    <w:rPr>
                      <w:rFonts w:hint="default" w:ascii="Times New Roman" w:hAnsi="Times New Roman" w:eastAsia="Times New Roman" w:cs="Times New Roman"/>
                      <w:b/>
                      <w:bCs/>
                      <w:color w:val="auto"/>
                      <w:kern w:val="0"/>
                      <w:szCs w:val="21"/>
                    </w:rPr>
                    <w:t>用水指标</w:t>
                  </w:r>
                </w:p>
              </w:tc>
              <w:tc>
                <w:tcPr>
                  <w:tcW w:w="942" w:type="pct"/>
                  <w:gridSpan w:val="2"/>
                  <w:tcBorders>
                    <w:top w:val="single" w:color="auto" w:sz="4" w:space="0"/>
                    <w:left w:val="single" w:color="auto" w:sz="4" w:space="0"/>
                    <w:bottom w:val="single" w:color="auto" w:sz="4" w:space="0"/>
                    <w:right w:val="single" w:color="auto" w:sz="4" w:space="0"/>
                  </w:tcBorders>
                  <w:noWrap w:val="0"/>
                  <w:vAlign w:val="center"/>
                </w:tcPr>
                <w:p w14:paraId="62A3D04F">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宋体" w:cs="Times New Roman"/>
                      <w:b/>
                      <w:bCs/>
                      <w:color w:val="auto"/>
                      <w:kern w:val="0"/>
                      <w:szCs w:val="21"/>
                      <w:lang w:val="en-US" w:eastAsia="zh-CN"/>
                    </w:rPr>
                  </w:pPr>
                  <w:r>
                    <w:rPr>
                      <w:rFonts w:hint="default" w:ascii="Times New Roman" w:hAnsi="Times New Roman" w:eastAsia="Times New Roman" w:cs="Times New Roman"/>
                      <w:b/>
                      <w:bCs/>
                      <w:color w:val="auto"/>
                      <w:kern w:val="0"/>
                      <w:szCs w:val="21"/>
                    </w:rPr>
                    <w:t>用水</w:t>
                  </w:r>
                  <w:r>
                    <w:rPr>
                      <w:rFonts w:hint="default" w:ascii="Times New Roman" w:hAnsi="Times New Roman" w:eastAsia="Times New Roman" w:cs="Times New Roman"/>
                      <w:b/>
                      <w:bCs/>
                      <w:color w:val="auto"/>
                      <w:kern w:val="0"/>
                      <w:szCs w:val="21"/>
                      <w:lang w:val="en-US" w:eastAsia="zh-CN"/>
                    </w:rPr>
                    <w:t>/补水</w:t>
                  </w:r>
                  <w:r>
                    <w:rPr>
                      <w:rFonts w:hint="default" w:ascii="Times New Roman" w:hAnsi="Times New Roman" w:eastAsia="Times New Roman" w:cs="Times New Roman"/>
                      <w:b/>
                      <w:bCs/>
                      <w:color w:val="auto"/>
                      <w:kern w:val="0"/>
                      <w:szCs w:val="21"/>
                    </w:rPr>
                    <w:t>量</w:t>
                  </w:r>
                </w:p>
              </w:tc>
              <w:tc>
                <w:tcPr>
                  <w:tcW w:w="958" w:type="pct"/>
                  <w:gridSpan w:val="2"/>
                  <w:tcBorders>
                    <w:top w:val="single" w:color="auto" w:sz="4" w:space="0"/>
                    <w:left w:val="single" w:color="auto" w:sz="4" w:space="0"/>
                    <w:bottom w:val="single" w:color="auto" w:sz="4" w:space="0"/>
                    <w:right w:val="single" w:color="auto" w:sz="4" w:space="0"/>
                  </w:tcBorders>
                  <w:noWrap w:val="0"/>
                  <w:vAlign w:val="center"/>
                </w:tcPr>
                <w:p w14:paraId="3B3648FD">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宋体" w:cs="Times New Roman"/>
                      <w:b/>
                      <w:bCs/>
                      <w:color w:val="auto"/>
                      <w:kern w:val="0"/>
                      <w:szCs w:val="21"/>
                      <w:lang w:val="en-US" w:eastAsia="zh-CN"/>
                    </w:rPr>
                  </w:pPr>
                  <w:r>
                    <w:rPr>
                      <w:rFonts w:hint="default" w:ascii="Times New Roman" w:hAnsi="Times New Roman" w:eastAsia="Times New Roman" w:cs="Times New Roman"/>
                      <w:b/>
                      <w:bCs/>
                      <w:color w:val="auto"/>
                      <w:kern w:val="0"/>
                      <w:szCs w:val="21"/>
                      <w:lang w:val="en-US" w:eastAsia="zh-CN"/>
                    </w:rPr>
                    <w:t>废水产生量</w:t>
                  </w:r>
                </w:p>
              </w:tc>
            </w:tr>
            <w:tr w14:paraId="18991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337" w:type="pct"/>
                  <w:vMerge w:val="continue"/>
                  <w:tcBorders>
                    <w:left w:val="single" w:color="auto" w:sz="4" w:space="0"/>
                    <w:bottom w:val="single" w:color="auto" w:sz="4" w:space="0"/>
                    <w:right w:val="single" w:color="auto" w:sz="4" w:space="0"/>
                  </w:tcBorders>
                  <w:noWrap w:val="0"/>
                  <w:vAlign w:val="center"/>
                </w:tcPr>
                <w:p w14:paraId="7949E0A4">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Times New Roman" w:cs="Times New Roman"/>
                      <w:b/>
                      <w:bCs/>
                      <w:color w:val="auto"/>
                      <w:kern w:val="0"/>
                      <w:szCs w:val="21"/>
                    </w:rPr>
                  </w:pPr>
                </w:p>
              </w:tc>
              <w:tc>
                <w:tcPr>
                  <w:tcW w:w="1136" w:type="pct"/>
                  <w:vMerge w:val="continue"/>
                  <w:tcBorders>
                    <w:left w:val="single" w:color="auto" w:sz="4" w:space="0"/>
                    <w:bottom w:val="single" w:color="auto" w:sz="4" w:space="0"/>
                    <w:right w:val="single" w:color="auto" w:sz="4" w:space="0"/>
                  </w:tcBorders>
                  <w:noWrap w:val="0"/>
                  <w:vAlign w:val="center"/>
                </w:tcPr>
                <w:p w14:paraId="23151419">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Times New Roman" w:cs="Times New Roman"/>
                      <w:b/>
                      <w:bCs/>
                      <w:color w:val="auto"/>
                      <w:kern w:val="0"/>
                      <w:szCs w:val="21"/>
                    </w:rPr>
                  </w:pPr>
                </w:p>
              </w:tc>
              <w:tc>
                <w:tcPr>
                  <w:tcW w:w="1625" w:type="pct"/>
                  <w:vMerge w:val="continue"/>
                  <w:tcBorders>
                    <w:left w:val="single" w:color="auto" w:sz="4" w:space="0"/>
                    <w:bottom w:val="single" w:color="auto" w:sz="4" w:space="0"/>
                    <w:right w:val="single" w:color="auto" w:sz="4" w:space="0"/>
                  </w:tcBorders>
                  <w:noWrap w:val="0"/>
                  <w:vAlign w:val="center"/>
                </w:tcPr>
                <w:p w14:paraId="495775AE">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Times New Roman" w:cs="Times New Roman"/>
                      <w:b/>
                      <w:bCs/>
                      <w:color w:val="auto"/>
                      <w:kern w:val="0"/>
                      <w:szCs w:val="21"/>
                    </w:rPr>
                  </w:pPr>
                </w:p>
              </w:tc>
              <w:tc>
                <w:tcPr>
                  <w:tcW w:w="442" w:type="pct"/>
                  <w:tcBorders>
                    <w:top w:val="single" w:color="auto" w:sz="4" w:space="0"/>
                    <w:left w:val="single" w:color="auto" w:sz="4" w:space="0"/>
                    <w:bottom w:val="single" w:color="auto" w:sz="4" w:space="0"/>
                    <w:right w:val="single" w:color="auto" w:sz="4" w:space="0"/>
                  </w:tcBorders>
                  <w:noWrap w:val="0"/>
                  <w:vAlign w:val="center"/>
                </w:tcPr>
                <w:p w14:paraId="021D78FC">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Times New Roman" w:cs="Times New Roman"/>
                      <w:b/>
                      <w:bCs/>
                      <w:color w:val="auto"/>
                      <w:kern w:val="0"/>
                      <w:szCs w:val="21"/>
                    </w:rPr>
                  </w:pPr>
                  <w:r>
                    <w:rPr>
                      <w:rFonts w:hint="default" w:ascii="Times New Roman" w:hAnsi="Times New Roman" w:eastAsia="Times New Roman" w:cs="Times New Roman"/>
                      <w:b/>
                      <w:bCs/>
                      <w:color w:val="auto"/>
                      <w:sz w:val="21"/>
                      <w:szCs w:val="21"/>
                    </w:rPr>
                    <w:t>m</w:t>
                  </w:r>
                  <w:r>
                    <w:rPr>
                      <w:rFonts w:hint="default" w:ascii="Times New Roman" w:hAnsi="Times New Roman" w:eastAsia="Times New Roman" w:cs="Times New Roman"/>
                      <w:b/>
                      <w:bCs/>
                      <w:color w:val="auto"/>
                      <w:sz w:val="21"/>
                      <w:szCs w:val="21"/>
                      <w:vertAlign w:val="superscript"/>
                    </w:rPr>
                    <w:t>3</w:t>
                  </w:r>
                  <w:r>
                    <w:rPr>
                      <w:rFonts w:hint="default" w:ascii="Times New Roman" w:hAnsi="Times New Roman" w:eastAsia="Times New Roman" w:cs="Times New Roman"/>
                      <w:b/>
                      <w:bCs/>
                      <w:color w:val="auto"/>
                      <w:sz w:val="21"/>
                      <w:szCs w:val="21"/>
                    </w:rPr>
                    <w:t>/d</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744D8629">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Times New Roman" w:cs="Times New Roman"/>
                      <w:b/>
                      <w:bCs/>
                      <w:color w:val="auto"/>
                      <w:kern w:val="0"/>
                      <w:szCs w:val="21"/>
                    </w:rPr>
                  </w:pPr>
                  <w:r>
                    <w:rPr>
                      <w:rFonts w:hint="default" w:ascii="Times New Roman" w:hAnsi="Times New Roman" w:eastAsia="Times New Roman" w:cs="Times New Roman"/>
                      <w:b/>
                      <w:bCs/>
                      <w:color w:val="auto"/>
                      <w:sz w:val="21"/>
                      <w:szCs w:val="21"/>
                    </w:rPr>
                    <w:t>m</w:t>
                  </w:r>
                  <w:r>
                    <w:rPr>
                      <w:rFonts w:hint="default" w:ascii="Times New Roman" w:hAnsi="Times New Roman" w:eastAsia="Times New Roman" w:cs="Times New Roman"/>
                      <w:b/>
                      <w:bCs/>
                      <w:color w:val="auto"/>
                      <w:sz w:val="21"/>
                      <w:szCs w:val="21"/>
                      <w:vertAlign w:val="superscript"/>
                    </w:rPr>
                    <w:t>3</w:t>
                  </w:r>
                  <w:r>
                    <w:rPr>
                      <w:rFonts w:hint="default" w:ascii="Times New Roman" w:hAnsi="Times New Roman" w:eastAsia="Times New Roman" w:cs="Times New Roman"/>
                      <w:b/>
                      <w:bCs/>
                      <w:color w:val="auto"/>
                      <w:kern w:val="0"/>
                      <w:sz w:val="21"/>
                      <w:szCs w:val="21"/>
                    </w:rPr>
                    <w:t>/a</w:t>
                  </w:r>
                </w:p>
              </w:tc>
              <w:tc>
                <w:tcPr>
                  <w:tcW w:w="478" w:type="pct"/>
                  <w:tcBorders>
                    <w:top w:val="single" w:color="auto" w:sz="4" w:space="0"/>
                    <w:left w:val="single" w:color="auto" w:sz="4" w:space="0"/>
                    <w:bottom w:val="single" w:color="auto" w:sz="4" w:space="0"/>
                    <w:right w:val="single" w:color="auto" w:sz="4" w:space="0"/>
                  </w:tcBorders>
                  <w:noWrap w:val="0"/>
                  <w:vAlign w:val="center"/>
                </w:tcPr>
                <w:p w14:paraId="57C15A8B">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Times New Roman" w:cs="Times New Roman"/>
                      <w:b/>
                      <w:bCs/>
                      <w:color w:val="auto"/>
                      <w:kern w:val="0"/>
                      <w:szCs w:val="21"/>
                      <w:lang w:val="en-US" w:eastAsia="zh-CN"/>
                    </w:rPr>
                  </w:pPr>
                  <w:r>
                    <w:rPr>
                      <w:rFonts w:hint="default" w:ascii="Times New Roman" w:hAnsi="Times New Roman" w:eastAsia="Times New Roman" w:cs="Times New Roman"/>
                      <w:b/>
                      <w:bCs/>
                      <w:color w:val="auto"/>
                      <w:sz w:val="21"/>
                      <w:szCs w:val="21"/>
                    </w:rPr>
                    <w:t>m</w:t>
                  </w:r>
                  <w:r>
                    <w:rPr>
                      <w:rFonts w:hint="default" w:ascii="Times New Roman" w:hAnsi="Times New Roman" w:eastAsia="Times New Roman" w:cs="Times New Roman"/>
                      <w:b/>
                      <w:bCs/>
                      <w:color w:val="auto"/>
                      <w:sz w:val="21"/>
                      <w:szCs w:val="21"/>
                      <w:vertAlign w:val="superscript"/>
                    </w:rPr>
                    <w:t>3</w:t>
                  </w:r>
                  <w:r>
                    <w:rPr>
                      <w:rFonts w:hint="default" w:ascii="Times New Roman" w:hAnsi="Times New Roman" w:eastAsia="Times New Roman" w:cs="Times New Roman"/>
                      <w:b/>
                      <w:bCs/>
                      <w:color w:val="auto"/>
                      <w:sz w:val="21"/>
                      <w:szCs w:val="21"/>
                    </w:rPr>
                    <w:t>/d</w:t>
                  </w:r>
                </w:p>
              </w:tc>
              <w:tc>
                <w:tcPr>
                  <w:tcW w:w="480" w:type="pct"/>
                  <w:tcBorders>
                    <w:top w:val="single" w:color="auto" w:sz="4" w:space="0"/>
                    <w:left w:val="single" w:color="auto" w:sz="4" w:space="0"/>
                    <w:bottom w:val="single" w:color="auto" w:sz="4" w:space="0"/>
                    <w:right w:val="single" w:color="auto" w:sz="4" w:space="0"/>
                  </w:tcBorders>
                  <w:noWrap w:val="0"/>
                  <w:vAlign w:val="center"/>
                </w:tcPr>
                <w:p w14:paraId="6DC0BE14">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Times New Roman" w:cs="Times New Roman"/>
                      <w:b/>
                      <w:bCs/>
                      <w:color w:val="auto"/>
                      <w:kern w:val="0"/>
                      <w:szCs w:val="21"/>
                      <w:lang w:val="en-US" w:eastAsia="zh-CN"/>
                    </w:rPr>
                  </w:pPr>
                  <w:r>
                    <w:rPr>
                      <w:rFonts w:hint="default" w:ascii="Times New Roman" w:hAnsi="Times New Roman" w:eastAsia="Times New Roman" w:cs="Times New Roman"/>
                      <w:b/>
                      <w:bCs/>
                      <w:color w:val="auto"/>
                      <w:sz w:val="21"/>
                      <w:szCs w:val="21"/>
                    </w:rPr>
                    <w:t>m</w:t>
                  </w:r>
                  <w:r>
                    <w:rPr>
                      <w:rFonts w:hint="default" w:ascii="Times New Roman" w:hAnsi="Times New Roman" w:eastAsia="Times New Roman" w:cs="Times New Roman"/>
                      <w:b/>
                      <w:bCs/>
                      <w:color w:val="auto"/>
                      <w:sz w:val="21"/>
                      <w:szCs w:val="21"/>
                      <w:vertAlign w:val="superscript"/>
                    </w:rPr>
                    <w:t>3</w:t>
                  </w:r>
                  <w:r>
                    <w:rPr>
                      <w:rFonts w:hint="default" w:ascii="Times New Roman" w:hAnsi="Times New Roman" w:eastAsia="Times New Roman" w:cs="Times New Roman"/>
                      <w:b/>
                      <w:bCs/>
                      <w:color w:val="auto"/>
                      <w:kern w:val="0"/>
                      <w:sz w:val="21"/>
                      <w:szCs w:val="21"/>
                    </w:rPr>
                    <w:t>/a</w:t>
                  </w:r>
                </w:p>
              </w:tc>
            </w:tr>
            <w:tr w14:paraId="02C0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37" w:type="pct"/>
                  <w:tcBorders>
                    <w:top w:val="single" w:color="auto" w:sz="4" w:space="0"/>
                    <w:left w:val="single" w:color="auto" w:sz="4" w:space="0"/>
                    <w:bottom w:val="single" w:color="auto" w:sz="4" w:space="0"/>
                    <w:right w:val="single" w:color="auto" w:sz="4" w:space="0"/>
                  </w:tcBorders>
                  <w:noWrap w:val="0"/>
                  <w:vAlign w:val="center"/>
                </w:tcPr>
                <w:p w14:paraId="719E5F30">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Times New Roman" w:cs="Times New Roman"/>
                      <w:color w:val="auto"/>
                      <w:kern w:val="0"/>
                      <w:szCs w:val="21"/>
                    </w:rPr>
                  </w:pPr>
                  <w:r>
                    <w:rPr>
                      <w:rFonts w:hint="default" w:ascii="Times New Roman" w:hAnsi="Times New Roman" w:eastAsia="Times New Roman" w:cs="Times New Roman"/>
                      <w:color w:val="auto"/>
                      <w:kern w:val="0"/>
                      <w:szCs w:val="21"/>
                    </w:rPr>
                    <w:t>1</w:t>
                  </w:r>
                </w:p>
              </w:tc>
              <w:tc>
                <w:tcPr>
                  <w:tcW w:w="1136" w:type="pct"/>
                  <w:tcBorders>
                    <w:top w:val="single" w:color="auto" w:sz="4" w:space="0"/>
                    <w:left w:val="single" w:color="auto" w:sz="4" w:space="0"/>
                    <w:bottom w:val="single" w:color="auto" w:sz="4" w:space="0"/>
                    <w:right w:val="single" w:color="auto" w:sz="4" w:space="0"/>
                  </w:tcBorders>
                  <w:noWrap w:val="0"/>
                  <w:vAlign w:val="center"/>
                </w:tcPr>
                <w:p w14:paraId="05DBF4FD">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Times New Roman" w:cs="Times New Roman"/>
                      <w:color w:val="auto"/>
                      <w:kern w:val="0"/>
                      <w:szCs w:val="21"/>
                    </w:rPr>
                  </w:pPr>
                  <w:r>
                    <w:rPr>
                      <w:rFonts w:hint="default" w:ascii="Times New Roman" w:hAnsi="Times New Roman" w:eastAsia="Times New Roman" w:cs="Times New Roman"/>
                      <w:color w:val="auto"/>
                      <w:kern w:val="0"/>
                      <w:szCs w:val="21"/>
                    </w:rPr>
                    <w:t>生活用水</w:t>
                  </w:r>
                </w:p>
              </w:tc>
              <w:tc>
                <w:tcPr>
                  <w:tcW w:w="1625" w:type="pct"/>
                  <w:tcBorders>
                    <w:top w:val="single" w:color="auto" w:sz="4" w:space="0"/>
                    <w:left w:val="single" w:color="auto" w:sz="4" w:space="0"/>
                    <w:bottom w:val="single" w:color="auto" w:sz="4" w:space="0"/>
                    <w:right w:val="single" w:color="auto" w:sz="4" w:space="0"/>
                  </w:tcBorders>
                  <w:noWrap w:val="0"/>
                  <w:vAlign w:val="center"/>
                </w:tcPr>
                <w:p w14:paraId="0E5C5DC8">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Times New Roman" w:cs="Times New Roman"/>
                      <w:color w:val="auto"/>
                      <w:kern w:val="0"/>
                      <w:szCs w:val="21"/>
                    </w:rPr>
                  </w:pPr>
                  <w:r>
                    <w:rPr>
                      <w:rFonts w:hint="default" w:ascii="Times New Roman" w:hAnsi="Times New Roman" w:eastAsia="Times New Roman" w:cs="Times New Roman"/>
                      <w:color w:val="auto"/>
                      <w:kern w:val="0"/>
                      <w:szCs w:val="21"/>
                    </w:rPr>
                    <w:t>50L/</w:t>
                  </w:r>
                  <w:r>
                    <w:rPr>
                      <w:rFonts w:hint="default" w:ascii="Times New Roman" w:hAnsi="Times New Roman" w:eastAsia="Times New Roman" w:cs="Times New Roman"/>
                      <w:color w:val="auto"/>
                      <w:szCs w:val="21"/>
                    </w:rPr>
                    <w:t>人·d（</w:t>
                  </w:r>
                  <w:r>
                    <w:rPr>
                      <w:rFonts w:hint="default" w:ascii="Times New Roman" w:hAnsi="Times New Roman" w:eastAsia="Times New Roman" w:cs="Times New Roman"/>
                      <w:color w:val="auto"/>
                      <w:szCs w:val="21"/>
                      <w:lang w:val="en-US" w:eastAsia="zh-CN"/>
                    </w:rPr>
                    <w:t>20</w:t>
                  </w:r>
                  <w:r>
                    <w:rPr>
                      <w:rFonts w:hint="default" w:ascii="Times New Roman" w:hAnsi="Times New Roman" w:eastAsia="Times New Roman" w:cs="Times New Roman"/>
                      <w:color w:val="auto"/>
                      <w:szCs w:val="21"/>
                      <w:lang w:val="zh-CN"/>
                    </w:rPr>
                    <w:t>人，</w:t>
                  </w:r>
                  <w:r>
                    <w:rPr>
                      <w:rFonts w:hint="default" w:ascii="Times New Roman" w:hAnsi="Times New Roman" w:eastAsia="Times New Roman" w:cs="Times New Roman"/>
                      <w:color w:val="auto"/>
                      <w:szCs w:val="21"/>
                    </w:rPr>
                    <w:t>300d）</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5F2850A9">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宋体" w:cs="Times New Roman"/>
                      <w:b w:val="0"/>
                      <w:bCs w:val="0"/>
                      <w:color w:val="auto"/>
                      <w:kern w:val="0"/>
                      <w:szCs w:val="21"/>
                      <w:lang w:val="en-US" w:eastAsia="zh-CN"/>
                    </w:rPr>
                  </w:pPr>
                  <w:r>
                    <w:rPr>
                      <w:rFonts w:hint="default" w:ascii="Times New Roman" w:hAnsi="Times New Roman" w:eastAsia="宋体" w:cs="Times New Roman"/>
                      <w:b w:val="0"/>
                      <w:bCs w:val="0"/>
                      <w:color w:val="auto"/>
                      <w:kern w:val="0"/>
                      <w:szCs w:val="21"/>
                      <w:lang w:val="en-US" w:eastAsia="zh-CN"/>
                    </w:rPr>
                    <w:t>1</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5E221EAD">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Times New Roman" w:cs="Times New Roman"/>
                      <w:b w:val="0"/>
                      <w:bCs w:val="0"/>
                      <w:color w:val="auto"/>
                      <w:kern w:val="0"/>
                      <w:szCs w:val="21"/>
                      <w:lang w:val="en-US" w:eastAsia="zh-CN"/>
                    </w:rPr>
                  </w:pPr>
                  <w:r>
                    <w:rPr>
                      <w:rFonts w:hint="default" w:ascii="Times New Roman" w:hAnsi="Times New Roman" w:eastAsia="Times New Roman" w:cs="Times New Roman"/>
                      <w:b w:val="0"/>
                      <w:bCs w:val="0"/>
                      <w:color w:val="auto"/>
                      <w:kern w:val="0"/>
                      <w:szCs w:val="21"/>
                      <w:lang w:val="en-US" w:eastAsia="zh-CN"/>
                    </w:rPr>
                    <w:t>300</w:t>
                  </w:r>
                </w:p>
              </w:tc>
              <w:tc>
                <w:tcPr>
                  <w:tcW w:w="478" w:type="pct"/>
                  <w:tcBorders>
                    <w:top w:val="single" w:color="auto" w:sz="4" w:space="0"/>
                    <w:left w:val="single" w:color="auto" w:sz="4" w:space="0"/>
                    <w:bottom w:val="single" w:color="auto" w:sz="4" w:space="0"/>
                    <w:right w:val="single" w:color="auto" w:sz="4" w:space="0"/>
                  </w:tcBorders>
                  <w:noWrap w:val="0"/>
                  <w:vAlign w:val="center"/>
                </w:tcPr>
                <w:p w14:paraId="17D1423D">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宋体" w:cs="Times New Roman"/>
                      <w:b w:val="0"/>
                      <w:bCs w:val="0"/>
                      <w:color w:val="auto"/>
                      <w:kern w:val="0"/>
                      <w:szCs w:val="21"/>
                      <w:lang w:val="en-US" w:eastAsia="zh-CN"/>
                    </w:rPr>
                  </w:pPr>
                  <w:r>
                    <w:rPr>
                      <w:rFonts w:hint="default" w:ascii="Times New Roman" w:hAnsi="Times New Roman" w:eastAsia="宋体" w:cs="Times New Roman"/>
                      <w:b w:val="0"/>
                      <w:bCs w:val="0"/>
                      <w:color w:val="auto"/>
                      <w:kern w:val="0"/>
                      <w:szCs w:val="21"/>
                      <w:lang w:val="en-US" w:eastAsia="zh-CN"/>
                    </w:rPr>
                    <w:t>0.8</w:t>
                  </w:r>
                </w:p>
              </w:tc>
              <w:tc>
                <w:tcPr>
                  <w:tcW w:w="480" w:type="pct"/>
                  <w:tcBorders>
                    <w:top w:val="single" w:color="auto" w:sz="4" w:space="0"/>
                    <w:left w:val="single" w:color="auto" w:sz="4" w:space="0"/>
                    <w:bottom w:val="single" w:color="auto" w:sz="4" w:space="0"/>
                    <w:right w:val="single" w:color="auto" w:sz="4" w:space="0"/>
                  </w:tcBorders>
                  <w:noWrap w:val="0"/>
                  <w:vAlign w:val="center"/>
                </w:tcPr>
                <w:p w14:paraId="2855E3AB">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Times New Roman" w:cs="Times New Roman"/>
                      <w:color w:val="auto"/>
                      <w:sz w:val="21"/>
                      <w:szCs w:val="21"/>
                      <w:lang w:val="en-US" w:eastAsia="zh-CN"/>
                    </w:rPr>
                  </w:pPr>
                  <w:r>
                    <w:rPr>
                      <w:rFonts w:hint="default" w:ascii="Times New Roman" w:hAnsi="Times New Roman" w:eastAsia="Times New Roman" w:cs="Times New Roman"/>
                      <w:color w:val="auto"/>
                      <w:sz w:val="21"/>
                      <w:szCs w:val="21"/>
                      <w:lang w:val="en-US" w:eastAsia="zh-CN"/>
                    </w:rPr>
                    <w:t>240</w:t>
                  </w:r>
                </w:p>
              </w:tc>
            </w:tr>
            <w:tr w14:paraId="264D4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37" w:type="pct"/>
                  <w:tcBorders>
                    <w:top w:val="single" w:color="auto" w:sz="4" w:space="0"/>
                    <w:left w:val="single" w:color="auto" w:sz="4" w:space="0"/>
                    <w:bottom w:val="single" w:color="auto" w:sz="4" w:space="0"/>
                    <w:right w:val="single" w:color="auto" w:sz="4" w:space="0"/>
                  </w:tcBorders>
                  <w:noWrap w:val="0"/>
                  <w:vAlign w:val="center"/>
                </w:tcPr>
                <w:p w14:paraId="5B30EB4C">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Times New Roman" w:cs="Times New Roman"/>
                      <w:color w:val="auto"/>
                      <w:kern w:val="0"/>
                      <w:szCs w:val="21"/>
                      <w:lang w:val="en-US" w:eastAsia="zh-CN"/>
                    </w:rPr>
                    <w:t>2</w:t>
                  </w:r>
                </w:p>
              </w:tc>
              <w:tc>
                <w:tcPr>
                  <w:tcW w:w="1136" w:type="pct"/>
                  <w:tcBorders>
                    <w:top w:val="single" w:color="auto" w:sz="4" w:space="0"/>
                    <w:left w:val="single" w:color="auto" w:sz="4" w:space="0"/>
                    <w:bottom w:val="single" w:color="auto" w:sz="4" w:space="0"/>
                    <w:right w:val="single" w:color="auto" w:sz="4" w:space="0"/>
                  </w:tcBorders>
                  <w:noWrap w:val="0"/>
                  <w:vAlign w:val="center"/>
                </w:tcPr>
                <w:p w14:paraId="5A67061D">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Times New Roman" w:cs="Times New Roman"/>
                      <w:color w:val="auto"/>
                      <w:kern w:val="0"/>
                      <w:sz w:val="21"/>
                      <w:szCs w:val="21"/>
                    </w:rPr>
                  </w:pPr>
                  <w:r>
                    <w:rPr>
                      <w:rFonts w:hint="default" w:ascii="Times New Roman" w:hAnsi="Times New Roman" w:eastAsia="Times New Roman" w:cs="Times New Roman"/>
                      <w:color w:val="auto"/>
                      <w:sz w:val="21"/>
                      <w:szCs w:val="21"/>
                      <w:lang w:val="en-US" w:eastAsia="zh-CN"/>
                    </w:rPr>
                    <w:t>废气冷却循环用水</w:t>
                  </w:r>
                </w:p>
              </w:tc>
              <w:tc>
                <w:tcPr>
                  <w:tcW w:w="1625" w:type="pct"/>
                  <w:tcBorders>
                    <w:top w:val="single" w:color="auto" w:sz="4" w:space="0"/>
                    <w:left w:val="single" w:color="auto" w:sz="4" w:space="0"/>
                    <w:bottom w:val="single" w:color="auto" w:sz="4" w:space="0"/>
                    <w:right w:val="single" w:color="auto" w:sz="4" w:space="0"/>
                  </w:tcBorders>
                  <w:noWrap w:val="0"/>
                  <w:vAlign w:val="center"/>
                </w:tcPr>
                <w:p w14:paraId="066985AC">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Times New Roman" w:cs="Times New Roman"/>
                      <w:color w:val="auto"/>
                      <w:szCs w:val="21"/>
                    </w:rPr>
                  </w:pPr>
                  <w:r>
                    <w:rPr>
                      <w:rFonts w:hint="default" w:ascii="Times New Roman" w:hAnsi="Times New Roman" w:eastAsia="Times New Roman" w:cs="Times New Roman"/>
                      <w:color w:val="auto"/>
                      <w:sz w:val="21"/>
                      <w:szCs w:val="21"/>
                      <w:lang w:val="en-US" w:eastAsia="zh-CN"/>
                    </w:rPr>
                    <w:t>初始2</w:t>
                  </w:r>
                  <w:r>
                    <w:rPr>
                      <w:rFonts w:hint="default" w:ascii="Times New Roman" w:hAnsi="Times New Roman" w:eastAsia="Times New Roman" w:cs="Times New Roman"/>
                      <w:color w:val="auto"/>
                      <w:sz w:val="21"/>
                      <w:szCs w:val="21"/>
                    </w:rPr>
                    <w:t>m</w:t>
                  </w:r>
                  <w:r>
                    <w:rPr>
                      <w:rFonts w:hint="default" w:ascii="Times New Roman" w:hAnsi="Times New Roman" w:eastAsia="Times New Roman" w:cs="Times New Roman"/>
                      <w:color w:val="auto"/>
                      <w:sz w:val="21"/>
                      <w:szCs w:val="21"/>
                      <w:vertAlign w:val="superscript"/>
                    </w:rPr>
                    <w:t>3</w:t>
                  </w:r>
                  <w:r>
                    <w:rPr>
                      <w:rFonts w:hint="default" w:ascii="Times New Roman" w:hAnsi="Times New Roman" w:eastAsia="Times New Roman" w:cs="Times New Roman"/>
                      <w:color w:val="auto"/>
                      <w:kern w:val="0"/>
                      <w:szCs w:val="21"/>
                    </w:rPr>
                    <w:t>，</w:t>
                  </w:r>
                  <w:r>
                    <w:rPr>
                      <w:rFonts w:hint="default" w:ascii="Times New Roman" w:hAnsi="Times New Roman" w:eastAsia="Times New Roman" w:cs="Times New Roman"/>
                      <w:color w:val="auto"/>
                      <w:kern w:val="0"/>
                      <w:szCs w:val="21"/>
                      <w:lang w:val="en-US" w:eastAsia="zh-CN"/>
                    </w:rPr>
                    <w:t>补水0.16</w:t>
                  </w:r>
                  <w:r>
                    <w:rPr>
                      <w:rFonts w:hint="default" w:ascii="Times New Roman" w:hAnsi="Times New Roman" w:eastAsia="Times New Roman" w:cs="Times New Roman"/>
                      <w:color w:val="auto"/>
                      <w:szCs w:val="21"/>
                    </w:rPr>
                    <w:t>m</w:t>
                  </w:r>
                  <w:r>
                    <w:rPr>
                      <w:rFonts w:hint="default" w:ascii="Times New Roman" w:hAnsi="Times New Roman" w:eastAsia="Times New Roman" w:cs="Times New Roman"/>
                      <w:color w:val="auto"/>
                      <w:szCs w:val="21"/>
                      <w:vertAlign w:val="superscript"/>
                      <w:lang w:val="en-US" w:eastAsia="zh-CN"/>
                    </w:rPr>
                    <w:t>3</w:t>
                  </w:r>
                  <w:r>
                    <w:rPr>
                      <w:rFonts w:hint="default" w:ascii="Times New Roman" w:hAnsi="Times New Roman" w:eastAsia="Times New Roman" w:cs="Times New Roman"/>
                      <w:color w:val="auto"/>
                      <w:kern w:val="0"/>
                      <w:szCs w:val="21"/>
                    </w:rPr>
                    <w:t>/</w:t>
                  </w:r>
                  <w:r>
                    <w:rPr>
                      <w:rFonts w:hint="default" w:ascii="Times New Roman" w:hAnsi="Times New Roman" w:eastAsia="Times New Roman" w:cs="Times New Roman"/>
                      <w:color w:val="auto"/>
                      <w:kern w:val="0"/>
                      <w:szCs w:val="21"/>
                      <w:lang w:val="en-US" w:eastAsia="zh-CN"/>
                    </w:rPr>
                    <w:t>d</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221F53C9">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Times New Roman" w:cs="Times New Roman"/>
                      <w:b w:val="0"/>
                      <w:bCs w:val="0"/>
                      <w:color w:val="auto"/>
                      <w:kern w:val="0"/>
                      <w:szCs w:val="21"/>
                      <w:lang w:val="en-US" w:eastAsia="zh-CN"/>
                    </w:rPr>
                  </w:pPr>
                  <w:r>
                    <w:rPr>
                      <w:rFonts w:hint="default" w:ascii="Times New Roman" w:hAnsi="Times New Roman" w:eastAsia="Times New Roman" w:cs="Times New Roman"/>
                      <w:b w:val="0"/>
                      <w:bCs w:val="0"/>
                      <w:color w:val="auto"/>
                      <w:kern w:val="0"/>
                      <w:szCs w:val="21"/>
                      <w:lang w:val="en-US" w:eastAsia="zh-CN"/>
                    </w:rPr>
                    <w:t>0.16</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5F7D0125">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Times New Roman" w:cs="Times New Roman"/>
                      <w:b w:val="0"/>
                      <w:bCs w:val="0"/>
                      <w:color w:val="auto"/>
                      <w:kern w:val="0"/>
                      <w:szCs w:val="21"/>
                      <w:lang w:val="en-US" w:eastAsia="zh-CN"/>
                    </w:rPr>
                  </w:pPr>
                  <w:r>
                    <w:rPr>
                      <w:rFonts w:hint="default" w:ascii="Times New Roman" w:hAnsi="Times New Roman" w:eastAsia="Times New Roman" w:cs="Times New Roman"/>
                      <w:b w:val="0"/>
                      <w:bCs w:val="0"/>
                      <w:color w:val="auto"/>
                      <w:kern w:val="0"/>
                      <w:szCs w:val="21"/>
                      <w:lang w:val="en-US" w:eastAsia="zh-CN"/>
                    </w:rPr>
                    <w:t>50</w:t>
                  </w:r>
                </w:p>
              </w:tc>
              <w:tc>
                <w:tcPr>
                  <w:tcW w:w="478" w:type="pct"/>
                  <w:tcBorders>
                    <w:top w:val="single" w:color="auto" w:sz="4" w:space="0"/>
                    <w:left w:val="single" w:color="auto" w:sz="4" w:space="0"/>
                    <w:bottom w:val="single" w:color="auto" w:sz="4" w:space="0"/>
                    <w:right w:val="single" w:color="auto" w:sz="4" w:space="0"/>
                  </w:tcBorders>
                  <w:noWrap w:val="0"/>
                  <w:vAlign w:val="center"/>
                </w:tcPr>
                <w:p w14:paraId="484F2160">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Times New Roman" w:cs="Times New Roman"/>
                      <w:color w:val="auto"/>
                      <w:sz w:val="21"/>
                      <w:szCs w:val="21"/>
                      <w:lang w:val="en-US" w:eastAsia="zh-CN"/>
                    </w:rPr>
                  </w:pPr>
                  <w:r>
                    <w:rPr>
                      <w:rFonts w:hint="default" w:ascii="Times New Roman" w:hAnsi="Times New Roman" w:eastAsia="Times New Roman" w:cs="Times New Roman"/>
                      <w:color w:val="auto"/>
                      <w:sz w:val="21"/>
                      <w:szCs w:val="21"/>
                      <w:lang w:val="en-US" w:eastAsia="zh-CN"/>
                    </w:rPr>
                    <w:t>/</w:t>
                  </w:r>
                </w:p>
              </w:tc>
              <w:tc>
                <w:tcPr>
                  <w:tcW w:w="480" w:type="pct"/>
                  <w:tcBorders>
                    <w:top w:val="single" w:color="auto" w:sz="4" w:space="0"/>
                    <w:left w:val="single" w:color="auto" w:sz="4" w:space="0"/>
                    <w:bottom w:val="single" w:color="auto" w:sz="4" w:space="0"/>
                    <w:right w:val="single" w:color="auto" w:sz="4" w:space="0"/>
                  </w:tcBorders>
                  <w:noWrap w:val="0"/>
                  <w:vAlign w:val="center"/>
                </w:tcPr>
                <w:p w14:paraId="0E8947A8">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Times New Roman" w:cs="Times New Roman"/>
                      <w:color w:val="auto"/>
                      <w:sz w:val="21"/>
                      <w:szCs w:val="21"/>
                      <w:lang w:val="en-US" w:eastAsia="zh-CN"/>
                    </w:rPr>
                  </w:pPr>
                  <w:r>
                    <w:rPr>
                      <w:rFonts w:hint="default" w:ascii="Times New Roman" w:hAnsi="Times New Roman" w:eastAsia="Times New Roman" w:cs="Times New Roman"/>
                      <w:color w:val="auto"/>
                      <w:sz w:val="21"/>
                      <w:szCs w:val="21"/>
                      <w:lang w:val="en-US" w:eastAsia="zh-CN"/>
                    </w:rPr>
                    <w:t>/</w:t>
                  </w:r>
                </w:p>
              </w:tc>
            </w:tr>
            <w:tr w14:paraId="729B3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37" w:type="pct"/>
                  <w:tcBorders>
                    <w:top w:val="single" w:color="auto" w:sz="4" w:space="0"/>
                    <w:left w:val="single" w:color="auto" w:sz="4" w:space="0"/>
                    <w:bottom w:val="single" w:color="auto" w:sz="4" w:space="0"/>
                    <w:right w:val="single" w:color="auto" w:sz="4" w:space="0"/>
                  </w:tcBorders>
                  <w:noWrap w:val="0"/>
                  <w:vAlign w:val="center"/>
                </w:tcPr>
                <w:p w14:paraId="1523659D">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Times New Roman" w:cs="Times New Roman"/>
                      <w:color w:val="auto"/>
                      <w:kern w:val="0"/>
                      <w:szCs w:val="21"/>
                      <w:lang w:val="en-US" w:eastAsia="zh-CN"/>
                    </w:rPr>
                  </w:pPr>
                  <w:r>
                    <w:rPr>
                      <w:rFonts w:hint="eastAsia" w:ascii="Times New Roman" w:hAnsi="Times New Roman" w:eastAsia="Times New Roman" w:cs="Times New Roman"/>
                      <w:color w:val="auto"/>
                      <w:kern w:val="0"/>
                      <w:szCs w:val="21"/>
                      <w:lang w:val="en-US" w:eastAsia="zh-CN"/>
                    </w:rPr>
                    <w:t>3</w:t>
                  </w:r>
                </w:p>
              </w:tc>
              <w:tc>
                <w:tcPr>
                  <w:tcW w:w="1136" w:type="pct"/>
                  <w:tcBorders>
                    <w:top w:val="single" w:color="auto" w:sz="4" w:space="0"/>
                    <w:left w:val="single" w:color="auto" w:sz="4" w:space="0"/>
                    <w:bottom w:val="single" w:color="auto" w:sz="4" w:space="0"/>
                    <w:right w:val="single" w:color="auto" w:sz="4" w:space="0"/>
                  </w:tcBorders>
                  <w:noWrap w:val="0"/>
                  <w:vAlign w:val="center"/>
                </w:tcPr>
                <w:p w14:paraId="0F66F449">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Times New Roman" w:cs="Times New Roman"/>
                      <w:color w:val="auto"/>
                      <w:sz w:val="21"/>
                      <w:szCs w:val="21"/>
                      <w:lang w:val="en-US" w:eastAsia="zh-CN"/>
                    </w:rPr>
                  </w:pPr>
                  <w:r>
                    <w:rPr>
                      <w:rFonts w:hint="eastAsia" w:ascii="Times New Roman" w:hAnsi="Times New Roman" w:eastAsia="Times New Roman" w:cs="Times New Roman"/>
                      <w:color w:val="auto"/>
                      <w:sz w:val="21"/>
                      <w:szCs w:val="21"/>
                      <w:lang w:val="en-US" w:eastAsia="zh-CN"/>
                    </w:rPr>
                    <w:t>水淬池用水</w:t>
                  </w:r>
                </w:p>
              </w:tc>
              <w:tc>
                <w:tcPr>
                  <w:tcW w:w="1625" w:type="pct"/>
                  <w:tcBorders>
                    <w:top w:val="single" w:color="auto" w:sz="4" w:space="0"/>
                    <w:left w:val="single" w:color="auto" w:sz="4" w:space="0"/>
                    <w:bottom w:val="single" w:color="auto" w:sz="4" w:space="0"/>
                    <w:right w:val="single" w:color="auto" w:sz="4" w:space="0"/>
                  </w:tcBorders>
                  <w:noWrap w:val="0"/>
                  <w:vAlign w:val="center"/>
                </w:tcPr>
                <w:p w14:paraId="19A9BEE3">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Times New Roman" w:cs="Times New Roman"/>
                      <w:color w:val="auto"/>
                      <w:sz w:val="21"/>
                      <w:szCs w:val="21"/>
                      <w:lang w:val="en-US" w:eastAsia="zh-CN"/>
                    </w:rPr>
                  </w:pPr>
                  <w:r>
                    <w:rPr>
                      <w:rFonts w:hint="default" w:ascii="Times New Roman" w:hAnsi="Times New Roman" w:eastAsia="Times New Roman" w:cs="Times New Roman"/>
                      <w:color w:val="auto"/>
                      <w:sz w:val="21"/>
                      <w:szCs w:val="21"/>
                      <w:lang w:val="en-US" w:eastAsia="zh-CN"/>
                    </w:rPr>
                    <w:t>初始</w:t>
                  </w:r>
                  <w:r>
                    <w:rPr>
                      <w:rFonts w:hint="eastAsia" w:ascii="Times New Roman" w:hAnsi="Times New Roman" w:eastAsia="Times New Roman" w:cs="Times New Roman"/>
                      <w:color w:val="auto"/>
                      <w:sz w:val="21"/>
                      <w:szCs w:val="21"/>
                      <w:lang w:val="en-US" w:eastAsia="zh-CN"/>
                    </w:rPr>
                    <w:t>19.6</w:t>
                  </w:r>
                  <w:r>
                    <w:rPr>
                      <w:rFonts w:hint="default" w:ascii="Times New Roman" w:hAnsi="Times New Roman" w:eastAsia="Times New Roman" w:cs="Times New Roman"/>
                      <w:color w:val="auto"/>
                      <w:sz w:val="21"/>
                      <w:szCs w:val="21"/>
                    </w:rPr>
                    <w:t>m</w:t>
                  </w:r>
                  <w:r>
                    <w:rPr>
                      <w:rFonts w:hint="default" w:ascii="Times New Roman" w:hAnsi="Times New Roman" w:eastAsia="Times New Roman" w:cs="Times New Roman"/>
                      <w:color w:val="auto"/>
                      <w:sz w:val="21"/>
                      <w:szCs w:val="21"/>
                      <w:vertAlign w:val="superscript"/>
                    </w:rPr>
                    <w:t>3</w:t>
                  </w:r>
                  <w:r>
                    <w:rPr>
                      <w:rFonts w:hint="default" w:ascii="Times New Roman" w:hAnsi="Times New Roman" w:eastAsia="Times New Roman" w:cs="Times New Roman"/>
                      <w:color w:val="auto"/>
                      <w:kern w:val="0"/>
                      <w:szCs w:val="21"/>
                    </w:rPr>
                    <w:t>，</w:t>
                  </w:r>
                  <w:r>
                    <w:rPr>
                      <w:rFonts w:hint="default" w:ascii="Times New Roman" w:hAnsi="Times New Roman" w:eastAsia="Times New Roman" w:cs="Times New Roman"/>
                      <w:color w:val="auto"/>
                      <w:kern w:val="0"/>
                      <w:szCs w:val="21"/>
                      <w:lang w:val="en-US" w:eastAsia="zh-CN"/>
                    </w:rPr>
                    <w:t>补水</w:t>
                  </w:r>
                  <w:r>
                    <w:rPr>
                      <w:rFonts w:hint="eastAsia" w:ascii="Times New Roman" w:hAnsi="Times New Roman" w:eastAsia="Times New Roman" w:cs="Times New Roman"/>
                      <w:color w:val="auto"/>
                      <w:kern w:val="0"/>
                      <w:szCs w:val="21"/>
                      <w:lang w:val="en-US" w:eastAsia="zh-CN"/>
                    </w:rPr>
                    <w:t>1.9</w:t>
                  </w:r>
                  <w:r>
                    <w:rPr>
                      <w:rFonts w:hint="default" w:ascii="Times New Roman" w:hAnsi="Times New Roman" w:eastAsia="Times New Roman" w:cs="Times New Roman"/>
                      <w:color w:val="auto"/>
                      <w:kern w:val="0"/>
                      <w:szCs w:val="21"/>
                      <w:lang w:val="en-US" w:eastAsia="zh-CN"/>
                    </w:rPr>
                    <w:t>6</w:t>
                  </w:r>
                  <w:r>
                    <w:rPr>
                      <w:rFonts w:hint="default" w:ascii="Times New Roman" w:hAnsi="Times New Roman" w:eastAsia="Times New Roman" w:cs="Times New Roman"/>
                      <w:color w:val="auto"/>
                      <w:szCs w:val="21"/>
                    </w:rPr>
                    <w:t>m</w:t>
                  </w:r>
                  <w:r>
                    <w:rPr>
                      <w:rFonts w:hint="default" w:ascii="Times New Roman" w:hAnsi="Times New Roman" w:eastAsia="Times New Roman" w:cs="Times New Roman"/>
                      <w:color w:val="auto"/>
                      <w:szCs w:val="21"/>
                      <w:vertAlign w:val="superscript"/>
                      <w:lang w:val="en-US" w:eastAsia="zh-CN"/>
                    </w:rPr>
                    <w:t>3</w:t>
                  </w:r>
                  <w:r>
                    <w:rPr>
                      <w:rFonts w:hint="default" w:ascii="Times New Roman" w:hAnsi="Times New Roman" w:eastAsia="Times New Roman" w:cs="Times New Roman"/>
                      <w:color w:val="auto"/>
                      <w:kern w:val="0"/>
                      <w:szCs w:val="21"/>
                    </w:rPr>
                    <w:t>/</w:t>
                  </w:r>
                  <w:r>
                    <w:rPr>
                      <w:rFonts w:hint="default" w:ascii="Times New Roman" w:hAnsi="Times New Roman" w:eastAsia="Times New Roman" w:cs="Times New Roman"/>
                      <w:color w:val="auto"/>
                      <w:kern w:val="0"/>
                      <w:szCs w:val="21"/>
                      <w:lang w:val="en-US" w:eastAsia="zh-CN"/>
                    </w:rPr>
                    <w:t>d</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08B8DBC8">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Times New Roman" w:cs="Times New Roman"/>
                      <w:b w:val="0"/>
                      <w:bCs w:val="0"/>
                      <w:color w:val="auto"/>
                      <w:kern w:val="0"/>
                      <w:szCs w:val="21"/>
                      <w:lang w:val="en-US" w:eastAsia="zh-CN"/>
                    </w:rPr>
                  </w:pPr>
                  <w:r>
                    <w:rPr>
                      <w:rFonts w:hint="eastAsia" w:ascii="Times New Roman" w:hAnsi="Times New Roman" w:eastAsia="Times New Roman" w:cs="Times New Roman"/>
                      <w:b w:val="0"/>
                      <w:bCs w:val="0"/>
                      <w:color w:val="auto"/>
                      <w:kern w:val="0"/>
                      <w:szCs w:val="21"/>
                      <w:lang w:val="en-US" w:eastAsia="zh-CN"/>
                    </w:rPr>
                    <w:t>1.96</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0549F62A">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Times New Roman" w:cs="Times New Roman"/>
                      <w:b w:val="0"/>
                      <w:bCs w:val="0"/>
                      <w:color w:val="auto"/>
                      <w:kern w:val="0"/>
                      <w:szCs w:val="21"/>
                      <w:lang w:val="en-US" w:eastAsia="zh-CN"/>
                    </w:rPr>
                  </w:pPr>
                  <w:r>
                    <w:rPr>
                      <w:rFonts w:hint="eastAsia" w:ascii="Times New Roman" w:hAnsi="Times New Roman" w:eastAsia="Times New Roman" w:cs="Times New Roman"/>
                      <w:b w:val="0"/>
                      <w:bCs w:val="0"/>
                      <w:color w:val="auto"/>
                      <w:kern w:val="0"/>
                      <w:szCs w:val="21"/>
                      <w:lang w:val="en-US" w:eastAsia="zh-CN"/>
                    </w:rPr>
                    <w:t>607.6</w:t>
                  </w:r>
                </w:p>
              </w:tc>
              <w:tc>
                <w:tcPr>
                  <w:tcW w:w="800" w:type="dxa"/>
                  <w:tcBorders>
                    <w:top w:val="single" w:color="auto" w:sz="4" w:space="0"/>
                    <w:left w:val="single" w:color="auto" w:sz="4" w:space="0"/>
                    <w:bottom w:val="single" w:color="auto" w:sz="4" w:space="0"/>
                    <w:right w:val="single" w:color="auto" w:sz="4" w:space="0"/>
                  </w:tcBorders>
                  <w:noWrap w:val="0"/>
                  <w:vAlign w:val="center"/>
                </w:tcPr>
                <w:p w14:paraId="725926E7">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Times New Roman" w:cs="Times New Roman"/>
                      <w:color w:val="0000FF"/>
                      <w:sz w:val="21"/>
                      <w:szCs w:val="21"/>
                      <w:lang w:val="en-US" w:eastAsia="zh-CN"/>
                    </w:rPr>
                  </w:pPr>
                  <w:r>
                    <w:rPr>
                      <w:rFonts w:hint="default" w:ascii="Times New Roman" w:hAnsi="Times New Roman" w:eastAsia="Times New Roman" w:cs="Times New Roman"/>
                      <w:color w:val="auto"/>
                      <w:sz w:val="21"/>
                      <w:szCs w:val="21"/>
                      <w:lang w:val="en-US" w:eastAsia="zh-CN"/>
                    </w:rPr>
                    <w:t>/</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6122D7F3">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Times New Roman" w:cs="Times New Roman"/>
                      <w:color w:val="0000FF"/>
                      <w:sz w:val="21"/>
                      <w:szCs w:val="21"/>
                      <w:lang w:val="en-US" w:eastAsia="zh-CN"/>
                    </w:rPr>
                  </w:pPr>
                  <w:r>
                    <w:rPr>
                      <w:rFonts w:hint="default" w:ascii="Times New Roman" w:hAnsi="Times New Roman" w:eastAsia="Times New Roman" w:cs="Times New Roman"/>
                      <w:color w:val="auto"/>
                      <w:sz w:val="21"/>
                      <w:szCs w:val="21"/>
                      <w:lang w:val="en-US" w:eastAsia="zh-CN"/>
                    </w:rPr>
                    <w:t>/</w:t>
                  </w:r>
                </w:p>
              </w:tc>
            </w:tr>
            <w:tr w14:paraId="5FDD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099" w:type="pct"/>
                  <w:gridSpan w:val="3"/>
                  <w:tcBorders>
                    <w:top w:val="single" w:color="auto" w:sz="4" w:space="0"/>
                    <w:left w:val="single" w:color="auto" w:sz="4" w:space="0"/>
                    <w:bottom w:val="single" w:color="auto" w:sz="4" w:space="0"/>
                    <w:right w:val="single" w:color="auto" w:sz="4" w:space="0"/>
                  </w:tcBorders>
                  <w:noWrap w:val="0"/>
                  <w:vAlign w:val="center"/>
                </w:tcPr>
                <w:p w14:paraId="050D8470">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Times New Roman" w:cs="Times New Roman"/>
                      <w:color w:val="auto"/>
                      <w:szCs w:val="21"/>
                    </w:rPr>
                  </w:pPr>
                  <w:r>
                    <w:rPr>
                      <w:rFonts w:hint="default" w:ascii="Times New Roman" w:hAnsi="Times New Roman" w:eastAsia="Times New Roman" w:cs="Times New Roman"/>
                      <w:color w:val="auto"/>
                      <w:szCs w:val="21"/>
                    </w:rPr>
                    <w:t>合计</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671A3E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Cs w:val="21"/>
                      <w:lang w:val="en-US" w:eastAsia="zh-CN"/>
                    </w:rPr>
                  </w:pPr>
                  <w:r>
                    <w:rPr>
                      <w:rFonts w:hint="eastAsia" w:ascii="Times New Roman" w:hAnsi="Times New Roman" w:cs="Times New Roman"/>
                      <w:i w:val="0"/>
                      <w:iCs w:val="0"/>
                      <w:color w:val="auto"/>
                      <w:kern w:val="0"/>
                      <w:sz w:val="21"/>
                      <w:szCs w:val="21"/>
                      <w:u w:val="none"/>
                      <w:lang w:val="en-US" w:eastAsia="zh-CN" w:bidi="ar"/>
                    </w:rPr>
                    <w:t>3.12</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7C1E75F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b w:val="0"/>
                      <w:bCs w:val="0"/>
                      <w:color w:val="auto"/>
                      <w:kern w:val="0"/>
                      <w:szCs w:val="21"/>
                      <w:lang w:val="en-US" w:eastAsia="zh-CN"/>
                    </w:rPr>
                  </w:pPr>
                  <w:r>
                    <w:rPr>
                      <w:rFonts w:hint="eastAsia" w:ascii="Times New Roman" w:hAnsi="Times New Roman" w:cs="Times New Roman"/>
                      <w:i w:val="0"/>
                      <w:iCs w:val="0"/>
                      <w:color w:val="auto"/>
                      <w:kern w:val="0"/>
                      <w:sz w:val="21"/>
                      <w:szCs w:val="21"/>
                      <w:u w:val="none"/>
                      <w:lang w:val="en-US" w:eastAsia="zh-CN" w:bidi="ar"/>
                    </w:rPr>
                    <w:t>957.6</w:t>
                  </w:r>
                </w:p>
              </w:tc>
              <w:tc>
                <w:tcPr>
                  <w:tcW w:w="478" w:type="pct"/>
                  <w:tcBorders>
                    <w:top w:val="single" w:color="auto" w:sz="4" w:space="0"/>
                    <w:left w:val="single" w:color="auto" w:sz="4" w:space="0"/>
                    <w:bottom w:val="single" w:color="auto" w:sz="4" w:space="0"/>
                    <w:right w:val="single" w:color="auto" w:sz="4" w:space="0"/>
                  </w:tcBorders>
                  <w:noWrap w:val="0"/>
                  <w:vAlign w:val="center"/>
                </w:tcPr>
                <w:p w14:paraId="66F779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b w:val="0"/>
                      <w:bCs w:val="0"/>
                      <w:color w:val="auto"/>
                      <w:kern w:val="0"/>
                      <w:szCs w:val="21"/>
                      <w:lang w:val="en-US" w:eastAsia="zh-CN"/>
                    </w:rPr>
                  </w:pPr>
                  <w:r>
                    <w:rPr>
                      <w:rFonts w:hint="eastAsia" w:ascii="Times New Roman" w:hAnsi="Times New Roman" w:eastAsia="宋体" w:cs="Times New Roman"/>
                      <w:i w:val="0"/>
                      <w:iCs w:val="0"/>
                      <w:color w:val="auto"/>
                      <w:kern w:val="0"/>
                      <w:sz w:val="21"/>
                      <w:szCs w:val="21"/>
                      <w:u w:val="none"/>
                      <w:lang w:val="en-US" w:eastAsia="zh-CN" w:bidi="ar"/>
                    </w:rPr>
                    <w:t>0.8</w:t>
                  </w:r>
                </w:p>
              </w:tc>
              <w:tc>
                <w:tcPr>
                  <w:tcW w:w="480" w:type="pct"/>
                  <w:tcBorders>
                    <w:top w:val="single" w:color="auto" w:sz="4" w:space="0"/>
                    <w:left w:val="single" w:color="auto" w:sz="4" w:space="0"/>
                    <w:bottom w:val="single" w:color="auto" w:sz="4" w:space="0"/>
                    <w:right w:val="single" w:color="auto" w:sz="4" w:space="0"/>
                  </w:tcBorders>
                  <w:noWrap w:val="0"/>
                  <w:vAlign w:val="center"/>
                </w:tcPr>
                <w:p w14:paraId="28E9E6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b w:val="0"/>
                      <w:bCs w:val="0"/>
                      <w:color w:val="auto"/>
                      <w:kern w:val="0"/>
                      <w:szCs w:val="21"/>
                      <w:lang w:val="en-US" w:eastAsia="zh-CN"/>
                    </w:rPr>
                  </w:pPr>
                  <w:r>
                    <w:rPr>
                      <w:rFonts w:hint="eastAsia" w:ascii="Times New Roman" w:hAnsi="Times New Roman" w:eastAsia="宋体" w:cs="Times New Roman"/>
                      <w:i w:val="0"/>
                      <w:iCs w:val="0"/>
                      <w:color w:val="auto"/>
                      <w:kern w:val="0"/>
                      <w:sz w:val="21"/>
                      <w:szCs w:val="21"/>
                      <w:u w:val="none"/>
                      <w:lang w:val="en-US" w:eastAsia="zh-CN" w:bidi="ar"/>
                    </w:rPr>
                    <w:t>240</w:t>
                  </w:r>
                </w:p>
              </w:tc>
            </w:tr>
          </w:tbl>
          <w:p w14:paraId="1CE91994">
            <w:pPr>
              <w:keepNext w:val="0"/>
              <w:keepLines w:val="0"/>
              <w:suppressLineNumbers w:val="0"/>
              <w:spacing w:before="0" w:beforeAutospacing="0" w:after="0" w:afterAutospacing="0"/>
              <w:ind w:left="0" w:right="0"/>
              <w:rPr>
                <w:rFonts w:hint="default" w:ascii="Times New Roman" w:hAnsi="Times New Roman" w:eastAsia="宋体" w:cs="Times New Roman"/>
                <w:b/>
                <w:color w:val="0000FF"/>
                <w:sz w:val="24"/>
              </w:rPr>
            </w:pPr>
            <w:r>
              <w:rPr>
                <w:rFonts w:hint="default" w:ascii="Times New Roman" w:hAnsi="Times New Roman" w:eastAsia="宋体" w:cs="Times New Roman"/>
                <w:color w:val="0000FF"/>
                <w:sz w:val="24"/>
              </w:rPr>
              <w:pict>
                <v:group id="画布 7661" o:spid="_x0000_s10385" o:spt="203" style="height:174pt;width:420.7pt;" coordsize="5342889,2209797" editas="canvas">
                  <o:lock v:ext="edit"/>
                  <v:shape id="画布 7661" o:spid="_x0000_s10386" o:spt="75" type="#_x0000_t75" style="position:absolute;left:0;top:0;height:2209797;width:5342889;" filled="f" stroked="f" coordsize="21600,21600">
                    <v:path/>
                    <v:fill on="f" focussize="0,0"/>
                    <v:stroke on="f"/>
                    <v:imagedata o:title=""/>
                    <o:lock v:ext="edit" rotation="t" aspectratio="f"/>
                  </v:shape>
                  <v:shape id="_x0000_s10399" o:spid="_x0000_s10399" o:spt="75" type="#_x0000_t75" style="position:absolute;left:533400;top:36830;height:2172968;width:3802380;" filled="f" o:preferrelative="t" stroked="f" coordsize="21600,21600">
                    <v:path/>
                    <v:fill on="f" focussize="0,0"/>
                    <v:stroke on="f"/>
                    <v:imagedata r:id="rId20" o:title=""/>
                    <o:lock v:ext="edit" aspectratio="t"/>
                  </v:shape>
                  <w10:wrap type="none"/>
                  <w10:anchorlock/>
                </v:group>
              </w:pict>
            </w:r>
          </w:p>
          <w:p w14:paraId="0D84E7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color w:val="0000FF"/>
                <w:lang w:eastAsia="zh-CN"/>
              </w:rPr>
            </w:pPr>
            <w:r>
              <w:rPr>
                <w:rFonts w:hint="default" w:ascii="Times New Roman" w:hAnsi="Times New Roman" w:eastAsia="宋体" w:cs="Times New Roman"/>
                <w:b/>
                <w:color w:val="auto"/>
                <w:kern w:val="0"/>
                <w:sz w:val="24"/>
                <w:szCs w:val="24"/>
              </w:rPr>
              <w:t>图2-</w:t>
            </w:r>
            <w:r>
              <w:rPr>
                <w:rFonts w:hint="default" w:ascii="Times New Roman" w:hAnsi="Times New Roman" w:eastAsia="宋体" w:cs="Times New Roman"/>
                <w:b/>
                <w:color w:val="auto"/>
                <w:kern w:val="0"/>
                <w:sz w:val="24"/>
                <w:szCs w:val="24"/>
                <w:lang w:val="en-US" w:eastAsia="zh-CN"/>
              </w:rPr>
              <w:t>1</w:t>
            </w:r>
            <w:r>
              <w:rPr>
                <w:rFonts w:hint="default" w:ascii="Times New Roman" w:hAnsi="Times New Roman" w:eastAsia="宋体" w:cs="Times New Roman"/>
                <w:b/>
                <w:color w:val="auto"/>
                <w:kern w:val="0"/>
                <w:sz w:val="24"/>
                <w:szCs w:val="24"/>
              </w:rPr>
              <w:t xml:space="preserve">  </w:t>
            </w:r>
            <w:r>
              <w:rPr>
                <w:rFonts w:hint="eastAsia" w:ascii="Times New Roman" w:hAnsi="Times New Roman" w:eastAsia="宋体" w:cs="Times New Roman"/>
                <w:b/>
                <w:color w:val="auto"/>
                <w:kern w:val="0"/>
                <w:sz w:val="24"/>
                <w:szCs w:val="24"/>
                <w:lang w:val="en-US" w:eastAsia="zh-CN"/>
              </w:rPr>
              <w:t>项目</w:t>
            </w:r>
            <w:r>
              <w:rPr>
                <w:rFonts w:hint="default" w:ascii="Times New Roman" w:hAnsi="Times New Roman" w:eastAsia="宋体" w:cs="Times New Roman"/>
                <w:b/>
                <w:color w:val="auto"/>
                <w:kern w:val="0"/>
                <w:sz w:val="24"/>
                <w:szCs w:val="24"/>
              </w:rPr>
              <w:t>水平衡图（单位：m³/d）</w:t>
            </w:r>
          </w:p>
        </w:tc>
      </w:tr>
    </w:tbl>
    <w:p w14:paraId="0264FE61">
      <w:pPr>
        <w:pStyle w:val="46"/>
        <w:spacing w:before="120" w:beforeLines="50" w:beforeAutospacing="0" w:after="0" w:afterAutospacing="0" w:line="360" w:lineRule="auto"/>
        <w:jc w:val="center"/>
        <w:outlineLvl w:val="0"/>
        <w:rPr>
          <w:rFonts w:hint="default" w:ascii="Times New Roman" w:hAnsi="Times New Roman" w:eastAsia="宋体" w:cs="Times New Roman"/>
          <w:b/>
          <w:snapToGrid w:val="0"/>
          <w:color w:val="0000FF"/>
          <w:sz w:val="28"/>
          <w:szCs w:val="28"/>
        </w:rPr>
        <w:sectPr>
          <w:headerReference r:id="rId6" w:type="default"/>
          <w:footerReference r:id="rId7" w:type="default"/>
          <w:pgSz w:w="11907" w:h="16840"/>
          <w:pgMar w:top="1440" w:right="1440" w:bottom="1440" w:left="1440" w:header="851" w:footer="851" w:gutter="0"/>
          <w:pgBorders>
            <w:top w:val="none" w:sz="0" w:space="0"/>
            <w:left w:val="none" w:sz="0" w:space="0"/>
            <w:bottom w:val="none" w:sz="0" w:space="0"/>
            <w:right w:val="none" w:sz="0" w:space="0"/>
          </w:pgBorders>
          <w:pgNumType w:fmt="numberInDash"/>
          <w:cols w:space="720" w:num="1"/>
          <w:docGrid w:linePitch="312" w:charSpace="0"/>
        </w:sectPr>
      </w:pPr>
    </w:p>
    <w:tbl>
      <w:tblPr>
        <w:tblStyle w:val="53"/>
        <w:tblW w:w="9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2"/>
        <w:gridCol w:w="913"/>
        <w:gridCol w:w="7943"/>
      </w:tblGrid>
      <w:tr w14:paraId="364E0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0" w:hRule="atLeast"/>
          <w:jc w:val="center"/>
        </w:trPr>
        <w:tc>
          <w:tcPr>
            <w:tcW w:w="602" w:type="dxa"/>
            <w:noWrap w:val="0"/>
            <w:vAlign w:val="center"/>
          </w:tcPr>
          <w:p w14:paraId="0323068A">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69EA29EE">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CB6A700">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3D0E00E">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F0216A7">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E4804E3">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3E5A09A9">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3451085F">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503C634">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0CA33847">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46DD55D">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26D297B">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E6AC99F">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7628DDE5">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72E29A16">
            <w:pPr>
              <w:pStyle w:val="46"/>
              <w:keepNext w:val="0"/>
              <w:keepLines w:val="0"/>
              <w:suppressLineNumbers w:val="0"/>
              <w:adjustRightInd w:val="0"/>
              <w:snapToGrid w:val="0"/>
              <w:spacing w:before="0" w:beforeAutospacing="0" w:after="0" w:afterAutospacing="0" w:line="360" w:lineRule="auto"/>
              <w:ind w:left="-105" w:leftChars="-50" w:right="-105" w:rightChars="-50"/>
              <w:jc w:val="center"/>
              <w:rPr>
                <w:rFonts w:hint="default" w:ascii="Times New Roman" w:hAnsi="Times New Roman" w:eastAsia="宋体" w:cs="Times New Roman"/>
                <w:color w:val="auto"/>
                <w:szCs w:val="24"/>
              </w:rPr>
            </w:pPr>
          </w:p>
          <w:p w14:paraId="440C6538">
            <w:pPr>
              <w:pStyle w:val="46"/>
              <w:keepNext w:val="0"/>
              <w:keepLines w:val="0"/>
              <w:suppressLineNumbers w:val="0"/>
              <w:adjustRightInd w:val="0"/>
              <w:snapToGrid w:val="0"/>
              <w:spacing w:before="0" w:beforeAutospacing="0" w:after="0" w:afterAutospacing="0" w:line="360" w:lineRule="auto"/>
              <w:ind w:left="-105" w:leftChars="-50" w:right="-105" w:rightChars="-5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建设内容</w:t>
            </w:r>
          </w:p>
          <w:p w14:paraId="0AE56A6D">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30E5D98E">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79DAAB76">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4F06731E">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066310C2">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2618828">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11905CD5">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13863C03">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1AF468EC">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7115342E">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0215276">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5BE8B06F">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7ECC75CC">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3DA24B5B">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284A5FDF">
            <w:pPr>
              <w:pStyle w:val="46"/>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4"/>
              </w:rPr>
            </w:pPr>
          </w:p>
          <w:p w14:paraId="68B7C63F">
            <w:pPr>
              <w:pStyle w:val="46"/>
              <w:keepNext w:val="0"/>
              <w:keepLines w:val="0"/>
              <w:suppressLineNumbers w:val="0"/>
              <w:adjustRightInd w:val="0"/>
              <w:snapToGrid w:val="0"/>
              <w:spacing w:before="0" w:beforeAutospacing="0" w:after="0" w:afterAutospacing="0" w:line="360" w:lineRule="auto"/>
              <w:ind w:left="0" w:right="0"/>
              <w:jc w:val="both"/>
              <w:rPr>
                <w:rFonts w:hint="default" w:ascii="Times New Roman" w:hAnsi="Times New Roman" w:eastAsia="宋体" w:cs="Times New Roman"/>
                <w:color w:val="auto"/>
                <w:szCs w:val="24"/>
              </w:rPr>
            </w:pPr>
          </w:p>
        </w:tc>
        <w:tc>
          <w:tcPr>
            <w:tcW w:w="8856" w:type="dxa"/>
            <w:gridSpan w:val="2"/>
            <w:noWrap w:val="0"/>
            <w:vAlign w:val="top"/>
          </w:tcPr>
          <w:p w14:paraId="2928EDC2">
            <w:pPr>
              <w:keepNext w:val="0"/>
              <w:keepLines w:val="0"/>
              <w:suppressLineNumbers w:val="0"/>
              <w:spacing w:before="0" w:beforeAutospacing="0" w:after="0" w:afterAutospacing="0" w:line="440" w:lineRule="exact"/>
              <w:ind w:left="0" w:right="0"/>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7、总定员人数及工作制度</w:t>
            </w:r>
          </w:p>
          <w:p w14:paraId="6B4DB789">
            <w:pPr>
              <w:pStyle w:val="62"/>
              <w:keepNext w:val="0"/>
              <w:keepLines w:val="0"/>
              <w:suppressLineNumbers w:val="0"/>
              <w:bidi w:val="0"/>
              <w:spacing w:before="0" w:beforeAutospacing="0" w:after="0" w:afterAutospacing="0"/>
              <w:ind w:left="0" w:right="0"/>
              <w:rPr>
                <w:rFonts w:hint="default"/>
                <w:color w:val="auto"/>
              </w:rPr>
            </w:pPr>
            <w:r>
              <w:rPr>
                <w:rFonts w:hint="default"/>
                <w:color w:val="auto"/>
              </w:rPr>
              <w:t>劳动定员</w:t>
            </w:r>
            <w:r>
              <w:rPr>
                <w:rFonts w:hint="eastAsia"/>
                <w:color w:val="auto"/>
                <w:lang w:val="en-US" w:eastAsia="zh-CN"/>
              </w:rPr>
              <w:t>及工作制度</w:t>
            </w:r>
            <w:r>
              <w:rPr>
                <w:rFonts w:hint="default"/>
                <w:color w:val="auto"/>
              </w:rPr>
              <w:t>：企业劳动定员</w:t>
            </w:r>
            <w:r>
              <w:rPr>
                <w:rFonts w:hint="eastAsia"/>
                <w:color w:val="auto"/>
                <w:lang w:val="en-US" w:eastAsia="zh-CN"/>
              </w:rPr>
              <w:t>20</w:t>
            </w:r>
            <w:r>
              <w:rPr>
                <w:rFonts w:hint="default"/>
                <w:color w:val="auto"/>
              </w:rPr>
              <w:t>人，</w:t>
            </w:r>
            <w:r>
              <w:rPr>
                <w:rFonts w:hint="eastAsia"/>
                <w:color w:val="auto"/>
                <w:lang w:val="en-US" w:eastAsia="zh-CN"/>
              </w:rPr>
              <w:t>单班</w:t>
            </w:r>
            <w:r>
              <w:rPr>
                <w:rFonts w:hint="default"/>
                <w:color w:val="auto"/>
              </w:rPr>
              <w:t>制，每班</w:t>
            </w:r>
            <w:r>
              <w:rPr>
                <w:rFonts w:hint="eastAsia"/>
                <w:color w:val="auto"/>
                <w:lang w:val="en-US" w:eastAsia="zh-CN"/>
              </w:rPr>
              <w:t>8</w:t>
            </w:r>
            <w:r>
              <w:rPr>
                <w:rFonts w:hint="default"/>
                <w:color w:val="auto"/>
              </w:rPr>
              <w:t>小时，年工作300天。</w:t>
            </w:r>
          </w:p>
          <w:p w14:paraId="054A73F6">
            <w:pPr>
              <w:keepNext w:val="0"/>
              <w:keepLines w:val="0"/>
              <w:suppressLineNumbers w:val="0"/>
              <w:spacing w:before="0" w:beforeAutospacing="0" w:after="0" w:afterAutospacing="0" w:line="440" w:lineRule="exact"/>
              <w:ind w:left="0" w:right="0"/>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8、平面布置</w:t>
            </w:r>
          </w:p>
          <w:p w14:paraId="54D53DA8">
            <w:pPr>
              <w:pStyle w:val="62"/>
              <w:keepNext w:val="0"/>
              <w:keepLines w:val="0"/>
              <w:suppressLineNumbers w:val="0"/>
              <w:bidi w:val="0"/>
              <w:spacing w:before="0" w:beforeAutospacing="0" w:after="0" w:afterAutospacing="0"/>
              <w:ind w:left="0" w:right="0"/>
              <w:rPr>
                <w:rFonts w:hint="default"/>
                <w:color w:val="auto"/>
              </w:rPr>
            </w:pPr>
            <w:r>
              <w:rPr>
                <w:rFonts w:hint="default"/>
                <w:color w:val="auto"/>
              </w:rPr>
              <w:t>总平面布置原则：结合场地现状条件，合理布置建、构筑物，使工艺流程合理，管线短捷，人货流畅通；符合防火、安全、卫生等有关规范的要求，为工厂安全生产创造有利条件。</w:t>
            </w:r>
          </w:p>
          <w:p w14:paraId="548F0FA0">
            <w:pPr>
              <w:pStyle w:val="62"/>
              <w:keepNext w:val="0"/>
              <w:keepLines w:val="0"/>
              <w:suppressLineNumbers w:val="0"/>
              <w:bidi w:val="0"/>
              <w:spacing w:before="0" w:beforeAutospacing="0" w:after="0" w:afterAutospacing="0"/>
              <w:ind w:left="0" w:right="0"/>
              <w:rPr>
                <w:rFonts w:hint="eastAsia"/>
                <w:color w:val="auto"/>
                <w:sz w:val="24"/>
                <w:szCs w:val="24"/>
              </w:rPr>
            </w:pPr>
            <w:r>
              <w:rPr>
                <w:rFonts w:hint="default"/>
                <w:color w:val="auto"/>
              </w:rPr>
              <w:t>本项目位于</w:t>
            </w:r>
            <w:r>
              <w:rPr>
                <w:rFonts w:hint="eastAsia" w:ascii="Times New Roman" w:hAnsi="Times New Roman" w:cs="Times New Roman"/>
                <w:color w:val="auto"/>
                <w:sz w:val="24"/>
                <w:lang w:val="en-US" w:eastAsia="zh-CN"/>
              </w:rPr>
              <w:t>淮南</w:t>
            </w:r>
            <w:r>
              <w:rPr>
                <w:rFonts w:hint="eastAsia" w:ascii="Times New Roman" w:hAnsi="Times New Roman" w:eastAsia="宋体" w:cs="Times New Roman"/>
                <w:color w:val="auto"/>
                <w:sz w:val="24"/>
                <w:lang w:val="en-US" w:eastAsia="zh-CN"/>
              </w:rPr>
              <w:t>市经开区华兴路东侧、庆兴北侧智慧显示产业园</w:t>
            </w:r>
            <w:r>
              <w:rPr>
                <w:rFonts w:hint="eastAsia" w:ascii="Times New Roman" w:hAnsi="Times New Roman" w:cs="Times New Roman"/>
                <w:color w:val="auto"/>
                <w:sz w:val="24"/>
                <w:lang w:val="en-US" w:eastAsia="zh-CN"/>
              </w:rPr>
              <w:t>5#</w:t>
            </w:r>
            <w:r>
              <w:rPr>
                <w:rFonts w:hint="eastAsia" w:ascii="Times New Roman" w:hAnsi="Times New Roman" w:eastAsia="宋体" w:cs="Times New Roman"/>
                <w:color w:val="auto"/>
                <w:sz w:val="24"/>
                <w:lang w:val="en-US" w:eastAsia="zh-CN"/>
              </w:rPr>
              <w:t>厂房（西侧区域），</w:t>
            </w:r>
            <w:r>
              <w:rPr>
                <w:rFonts w:hint="eastAsia" w:cs="Times New Roman"/>
                <w:color w:val="auto"/>
                <w:lang w:val="en-US" w:eastAsia="zh-CN"/>
              </w:rPr>
              <w:t>占地面积2700平方米</w:t>
            </w:r>
            <w:r>
              <w:rPr>
                <w:rFonts w:hint="default" w:ascii="Times New Roman" w:hAnsi="Times New Roman" w:cs="Times New Roman"/>
                <w:color w:val="auto"/>
                <w:sz w:val="24"/>
                <w:szCs w:val="24"/>
                <w:highlight w:val="none"/>
                <w:lang w:val="en-US" w:eastAsia="zh-CN"/>
              </w:rPr>
              <w:t>，主要</w:t>
            </w:r>
            <w:r>
              <w:rPr>
                <w:rFonts w:hint="eastAsia" w:ascii="Times New Roman" w:hAnsi="Times New Roman" w:cs="Times New Roman"/>
                <w:color w:val="auto"/>
                <w:sz w:val="24"/>
                <w:szCs w:val="24"/>
                <w:highlight w:val="none"/>
                <w:lang w:val="en-US" w:eastAsia="zh-CN"/>
              </w:rPr>
              <w:t>布设</w:t>
            </w:r>
            <w:r>
              <w:rPr>
                <w:rFonts w:hint="eastAsia" w:cs="Times New Roman"/>
                <w:color w:val="auto"/>
                <w:sz w:val="24"/>
                <w:szCs w:val="24"/>
                <w:highlight w:val="none"/>
                <w:lang w:val="en-US" w:eastAsia="zh-CN"/>
              </w:rPr>
              <w:t>4条</w:t>
            </w:r>
            <w:r>
              <w:rPr>
                <w:rFonts w:hint="eastAsia" w:cs="Times New Roman"/>
                <w:color w:val="auto"/>
                <w:lang w:val="en-US" w:eastAsia="zh-CN"/>
              </w:rPr>
              <w:t>金属热处理工艺生产线</w:t>
            </w:r>
            <w:r>
              <w:rPr>
                <w:rFonts w:hint="eastAsia" w:ascii="Times New Roman" w:hAnsi="Times New Roman" w:cs="Times New Roman"/>
                <w:color w:val="auto"/>
                <w:sz w:val="24"/>
                <w:szCs w:val="24"/>
                <w:highlight w:val="none"/>
                <w:lang w:val="en-US" w:eastAsia="zh-CN"/>
              </w:rPr>
              <w:t>。</w:t>
            </w:r>
            <w:r>
              <w:rPr>
                <w:rStyle w:val="67"/>
                <w:rFonts w:hint="default" w:ascii="Times New Roman" w:hAnsi="Times New Roman" w:eastAsia="宋体" w:cs="Times New Roman"/>
                <w:color w:val="auto"/>
                <w:sz w:val="24"/>
                <w:szCs w:val="24"/>
                <w:lang w:val="en-US" w:eastAsia="zh-CN"/>
              </w:rPr>
              <w:t>按生产工序依次布置，便于生产的进行</w:t>
            </w:r>
            <w:r>
              <w:rPr>
                <w:rFonts w:hint="default" w:ascii="Times New Roman" w:hAnsi="Times New Roman" w:eastAsia="宋体" w:cs="Times New Roman"/>
                <w:color w:val="auto"/>
                <w:sz w:val="24"/>
                <w:szCs w:val="24"/>
              </w:rPr>
              <w:t>。</w:t>
            </w:r>
            <w:r>
              <w:rPr>
                <w:rFonts w:hint="default"/>
                <w:color w:val="auto"/>
                <w:sz w:val="24"/>
                <w:szCs w:val="24"/>
              </w:rPr>
              <w:t>厂房</w:t>
            </w:r>
            <w:r>
              <w:rPr>
                <w:rFonts w:hint="eastAsia"/>
                <w:color w:val="auto"/>
                <w:sz w:val="24"/>
                <w:szCs w:val="24"/>
                <w:lang w:val="en-US" w:eastAsia="zh-CN"/>
              </w:rPr>
              <w:t>北、南侧</w:t>
            </w:r>
            <w:r>
              <w:rPr>
                <w:rFonts w:hint="default"/>
                <w:color w:val="auto"/>
                <w:sz w:val="24"/>
                <w:szCs w:val="24"/>
              </w:rPr>
              <w:t>设出入口，便于人流物流相通。厂区周围道路通畅，消防设施、管线布置合理。</w:t>
            </w:r>
          </w:p>
          <w:p w14:paraId="0F3F3C58">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color w:val="0000FF"/>
              </w:rPr>
            </w:pPr>
            <w:r>
              <w:rPr>
                <w:rFonts w:hint="default" w:hAnsi="宋体" w:eastAsia="宋体"/>
                <w:color w:val="auto"/>
                <w:sz w:val="24"/>
              </w:rPr>
              <w:t>综上，本项目平面布置合理。</w:t>
            </w:r>
          </w:p>
        </w:tc>
      </w:tr>
      <w:tr w14:paraId="4ACB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602" w:type="dxa"/>
            <w:noWrap w:val="0"/>
            <w:vAlign w:val="center"/>
          </w:tcPr>
          <w:p w14:paraId="716E8B1C">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73B91EF2">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39D2C656">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52EAC97E">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05AE7DA0">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555292E6">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4F6CC2E3">
            <w:pPr>
              <w:pStyle w:val="46"/>
              <w:keepNext w:val="0"/>
              <w:keepLines w:val="0"/>
              <w:suppressLineNumbers w:val="0"/>
              <w:adjustRightInd w:val="0"/>
              <w:snapToGrid w:val="0"/>
              <w:spacing w:before="0" w:beforeAutospacing="0" w:after="0" w:afterAutospacing="0" w:line="440" w:lineRule="exact"/>
              <w:ind w:left="0" w:right="-105" w:rightChars="-50"/>
              <w:jc w:val="both"/>
              <w:rPr>
                <w:rFonts w:hint="default" w:ascii="Times New Roman" w:hAnsi="Times New Roman" w:eastAsia="宋体" w:cs="Times New Roman"/>
                <w:color w:val="auto"/>
                <w:szCs w:val="24"/>
              </w:rPr>
            </w:pPr>
          </w:p>
          <w:p w14:paraId="6D51D383">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39AF5D61">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38BB0918">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61381D15">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2FC381B0">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5D5B45FA">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1A5AF73A">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7FDA090C">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工艺流程和产排污环节</w:t>
            </w:r>
          </w:p>
          <w:p w14:paraId="1D66F00A">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 w:val="21"/>
                <w:szCs w:val="21"/>
              </w:rPr>
            </w:pPr>
          </w:p>
          <w:p w14:paraId="49D9676D">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 w:val="21"/>
                <w:szCs w:val="21"/>
              </w:rPr>
            </w:pPr>
          </w:p>
          <w:p w14:paraId="2728C878">
            <w:pPr>
              <w:pStyle w:val="46"/>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color w:val="auto"/>
                <w:szCs w:val="24"/>
              </w:rPr>
            </w:pPr>
          </w:p>
          <w:p w14:paraId="04F28BC9">
            <w:pPr>
              <w:pStyle w:val="46"/>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color w:val="auto"/>
                <w:szCs w:val="24"/>
              </w:rPr>
            </w:pPr>
          </w:p>
          <w:p w14:paraId="1B948230">
            <w:pPr>
              <w:pStyle w:val="46"/>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color w:val="auto"/>
                <w:szCs w:val="24"/>
              </w:rPr>
            </w:pPr>
          </w:p>
          <w:p w14:paraId="450E7D48">
            <w:pPr>
              <w:pStyle w:val="46"/>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color w:val="auto"/>
                <w:szCs w:val="24"/>
              </w:rPr>
            </w:pPr>
          </w:p>
          <w:p w14:paraId="67565565">
            <w:pPr>
              <w:pStyle w:val="46"/>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color w:val="auto"/>
                <w:szCs w:val="24"/>
              </w:rPr>
            </w:pPr>
          </w:p>
          <w:p w14:paraId="73669A37">
            <w:pPr>
              <w:pStyle w:val="46"/>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color w:val="auto"/>
                <w:szCs w:val="24"/>
              </w:rPr>
            </w:pPr>
          </w:p>
          <w:p w14:paraId="4F7B6910">
            <w:pPr>
              <w:pStyle w:val="46"/>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color w:val="auto"/>
                <w:szCs w:val="24"/>
              </w:rPr>
            </w:pPr>
          </w:p>
          <w:p w14:paraId="1F4C4145">
            <w:pPr>
              <w:pStyle w:val="46"/>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color w:val="auto"/>
                <w:szCs w:val="24"/>
              </w:rPr>
            </w:pPr>
          </w:p>
          <w:p w14:paraId="1826B87F">
            <w:pPr>
              <w:pStyle w:val="46"/>
              <w:keepNext w:val="0"/>
              <w:keepLines w:val="0"/>
              <w:suppressLineNumbers w:val="0"/>
              <w:adjustRightInd w:val="0"/>
              <w:snapToGrid w:val="0"/>
              <w:spacing w:before="0" w:beforeAutospacing="0" w:after="0" w:afterAutospacing="0" w:line="360" w:lineRule="auto"/>
              <w:ind w:left="0" w:right="0"/>
              <w:jc w:val="both"/>
              <w:rPr>
                <w:rFonts w:hint="default" w:ascii="Times New Roman" w:hAnsi="Times New Roman" w:eastAsia="宋体" w:cs="Times New Roman"/>
                <w:color w:val="auto"/>
                <w:szCs w:val="24"/>
              </w:rPr>
            </w:pPr>
          </w:p>
          <w:p w14:paraId="75D299D1">
            <w:pPr>
              <w:pStyle w:val="46"/>
              <w:keepNext w:val="0"/>
              <w:keepLines w:val="0"/>
              <w:suppressLineNumbers w:val="0"/>
              <w:adjustRightInd w:val="0"/>
              <w:snapToGrid w:val="0"/>
              <w:spacing w:before="0" w:beforeAutospacing="0" w:after="0" w:afterAutospacing="0" w:line="120" w:lineRule="auto"/>
              <w:ind w:left="-105" w:leftChars="-50" w:right="-105" w:rightChars="-50"/>
              <w:jc w:val="center"/>
              <w:rPr>
                <w:rFonts w:hint="default" w:ascii="Times New Roman" w:hAnsi="Times New Roman" w:eastAsia="宋体" w:cs="Times New Roman"/>
                <w:color w:val="auto"/>
                <w:szCs w:val="24"/>
              </w:rPr>
            </w:pPr>
          </w:p>
          <w:p w14:paraId="0F3B7045">
            <w:pPr>
              <w:pStyle w:val="46"/>
              <w:keepNext w:val="0"/>
              <w:keepLines w:val="0"/>
              <w:suppressLineNumbers w:val="0"/>
              <w:adjustRightInd w:val="0"/>
              <w:snapToGrid w:val="0"/>
              <w:spacing w:before="0" w:beforeAutospacing="0" w:after="0" w:afterAutospacing="0" w:line="440" w:lineRule="exact"/>
              <w:ind w:left="0" w:right="-105" w:rightChars="-50"/>
              <w:jc w:val="both"/>
              <w:rPr>
                <w:rFonts w:hint="default" w:ascii="Times New Roman" w:hAnsi="Times New Roman" w:eastAsia="宋体" w:cs="Times New Roman"/>
                <w:color w:val="auto"/>
                <w:szCs w:val="24"/>
              </w:rPr>
            </w:pPr>
          </w:p>
          <w:p w14:paraId="0F2F04CE">
            <w:pPr>
              <w:pStyle w:val="46"/>
              <w:keepNext w:val="0"/>
              <w:keepLines w:val="0"/>
              <w:suppressLineNumbers w:val="0"/>
              <w:adjustRightInd w:val="0"/>
              <w:snapToGrid w:val="0"/>
              <w:spacing w:before="0" w:beforeAutospacing="0" w:after="0" w:afterAutospacing="0" w:line="440" w:lineRule="exact"/>
              <w:ind w:left="0" w:right="-105" w:rightChars="-50"/>
              <w:jc w:val="both"/>
              <w:rPr>
                <w:rFonts w:hint="default" w:ascii="Times New Roman" w:hAnsi="Times New Roman" w:eastAsia="宋体" w:cs="Times New Roman"/>
                <w:color w:val="auto"/>
                <w:szCs w:val="24"/>
              </w:rPr>
            </w:pPr>
          </w:p>
          <w:p w14:paraId="2DC43C4A">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23D2DC88">
            <w:pPr>
              <w:pStyle w:val="46"/>
              <w:keepNext w:val="0"/>
              <w:keepLines w:val="0"/>
              <w:suppressLineNumbers w:val="0"/>
              <w:adjustRightInd w:val="0"/>
              <w:snapToGrid w:val="0"/>
              <w:spacing w:before="0" w:beforeAutospacing="0" w:after="0" w:afterAutospacing="0" w:line="440" w:lineRule="exact"/>
              <w:ind w:left="0" w:right="-105" w:rightChars="-50"/>
              <w:jc w:val="both"/>
              <w:rPr>
                <w:rFonts w:hint="default" w:ascii="Times New Roman" w:hAnsi="Times New Roman" w:eastAsia="宋体" w:cs="Times New Roman"/>
                <w:color w:val="auto"/>
                <w:szCs w:val="24"/>
              </w:rPr>
            </w:pPr>
          </w:p>
          <w:p w14:paraId="3028DB18">
            <w:pPr>
              <w:pStyle w:val="46"/>
              <w:keepNext w:val="0"/>
              <w:keepLines w:val="0"/>
              <w:suppressLineNumbers w:val="0"/>
              <w:adjustRightInd w:val="0"/>
              <w:snapToGrid w:val="0"/>
              <w:spacing w:before="0" w:beforeAutospacing="0" w:after="0" w:afterAutospacing="0" w:line="440" w:lineRule="exact"/>
              <w:ind w:left="0" w:right="-105" w:rightChars="-50"/>
              <w:jc w:val="both"/>
              <w:rPr>
                <w:rFonts w:hint="default" w:ascii="Times New Roman" w:hAnsi="Times New Roman" w:eastAsia="宋体" w:cs="Times New Roman"/>
                <w:color w:val="auto"/>
                <w:szCs w:val="24"/>
              </w:rPr>
            </w:pPr>
          </w:p>
          <w:p w14:paraId="67D34950">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0B537760">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0DC039A6">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3D56AA27">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35C4AD39">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4620692A">
            <w:pPr>
              <w:pStyle w:val="46"/>
              <w:keepNext w:val="0"/>
              <w:keepLines w:val="0"/>
              <w:suppressLineNumbers w:val="0"/>
              <w:adjustRightInd w:val="0"/>
              <w:snapToGrid w:val="0"/>
              <w:spacing w:before="0" w:beforeAutospacing="0" w:after="0" w:afterAutospacing="0" w:line="440" w:lineRule="exact"/>
              <w:ind w:left="0" w:right="-105" w:rightChars="-50"/>
              <w:jc w:val="both"/>
              <w:rPr>
                <w:rFonts w:hint="default" w:ascii="Times New Roman" w:hAnsi="Times New Roman" w:eastAsia="宋体" w:cs="Times New Roman"/>
                <w:color w:val="auto"/>
                <w:szCs w:val="24"/>
              </w:rPr>
            </w:pPr>
          </w:p>
          <w:p w14:paraId="5DD00D2D">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455CCCD9">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4CAEFA39">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4B9AAFC8">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工艺流程和产排污环节</w:t>
            </w:r>
          </w:p>
          <w:p w14:paraId="7757529D">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 w:val="21"/>
                <w:szCs w:val="21"/>
              </w:rPr>
            </w:pPr>
          </w:p>
          <w:p w14:paraId="3C3F350B">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 w:val="21"/>
                <w:szCs w:val="21"/>
              </w:rPr>
            </w:pPr>
          </w:p>
          <w:p w14:paraId="2D1C2B6A">
            <w:pPr>
              <w:pStyle w:val="46"/>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color w:val="auto"/>
                <w:szCs w:val="24"/>
              </w:rPr>
            </w:pPr>
          </w:p>
          <w:p w14:paraId="3C3CBC8E">
            <w:pPr>
              <w:pStyle w:val="46"/>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color w:val="auto"/>
                <w:szCs w:val="24"/>
              </w:rPr>
            </w:pPr>
          </w:p>
          <w:p w14:paraId="14FC3C36">
            <w:pPr>
              <w:pStyle w:val="46"/>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color w:val="auto"/>
                <w:szCs w:val="24"/>
              </w:rPr>
            </w:pPr>
          </w:p>
          <w:p w14:paraId="0753C09D">
            <w:pPr>
              <w:pStyle w:val="46"/>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color w:val="auto"/>
                <w:szCs w:val="24"/>
              </w:rPr>
            </w:pPr>
          </w:p>
          <w:p w14:paraId="3150C0F4">
            <w:pPr>
              <w:pStyle w:val="46"/>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color w:val="auto"/>
                <w:szCs w:val="24"/>
              </w:rPr>
            </w:pPr>
          </w:p>
          <w:p w14:paraId="732BC699">
            <w:pPr>
              <w:pStyle w:val="46"/>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color w:val="auto"/>
                <w:szCs w:val="24"/>
              </w:rPr>
            </w:pPr>
          </w:p>
          <w:p w14:paraId="41185CCA">
            <w:pPr>
              <w:pStyle w:val="46"/>
              <w:keepNext w:val="0"/>
              <w:keepLines w:val="0"/>
              <w:suppressLineNumbers w:val="0"/>
              <w:adjustRightInd w:val="0"/>
              <w:snapToGrid w:val="0"/>
              <w:spacing w:before="0" w:beforeAutospacing="0" w:after="0" w:afterAutospacing="0" w:line="440" w:lineRule="exact"/>
              <w:ind w:left="0" w:right="-105" w:rightChars="-50"/>
              <w:jc w:val="both"/>
              <w:rPr>
                <w:rFonts w:hint="default" w:ascii="Times New Roman" w:hAnsi="Times New Roman" w:eastAsia="宋体" w:cs="Times New Roman"/>
                <w:color w:val="auto"/>
                <w:szCs w:val="24"/>
              </w:rPr>
            </w:pPr>
          </w:p>
          <w:p w14:paraId="3084282F">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6E40202D">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5736AD65">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0B4453AD">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660A64C5">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4CD1C615">
            <w:pPr>
              <w:pStyle w:val="46"/>
              <w:keepNext w:val="0"/>
              <w:keepLines w:val="0"/>
              <w:suppressLineNumbers w:val="0"/>
              <w:adjustRightInd w:val="0"/>
              <w:snapToGrid w:val="0"/>
              <w:spacing w:before="0" w:beforeAutospacing="0" w:after="0" w:afterAutospacing="0" w:line="440" w:lineRule="exact"/>
              <w:ind w:left="0" w:right="-105" w:rightChars="-50"/>
              <w:jc w:val="both"/>
              <w:rPr>
                <w:rFonts w:hint="default" w:ascii="Times New Roman" w:hAnsi="Times New Roman" w:eastAsia="宋体" w:cs="Times New Roman"/>
                <w:color w:val="auto"/>
                <w:szCs w:val="24"/>
              </w:rPr>
            </w:pPr>
          </w:p>
          <w:p w14:paraId="4949B66D">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699A2502">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13E9BAC7">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20236DCF">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65D6577E">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5889F756">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39FA67CE">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55CDFF0F">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4889C52A">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p>
          <w:p w14:paraId="6CA4E1BB">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工艺流程和产排污环节</w:t>
            </w:r>
          </w:p>
          <w:p w14:paraId="6AFC3080">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 w:val="21"/>
                <w:szCs w:val="21"/>
              </w:rPr>
            </w:pPr>
          </w:p>
          <w:p w14:paraId="44A6CFFC">
            <w:pPr>
              <w:pStyle w:val="46"/>
              <w:keepNext w:val="0"/>
              <w:keepLines w:val="0"/>
              <w:suppressLineNumbers w:val="0"/>
              <w:adjustRightInd w:val="0"/>
              <w:snapToGrid w:val="0"/>
              <w:spacing w:before="0" w:beforeAutospacing="0" w:after="0" w:afterAutospacing="0" w:line="440" w:lineRule="exact"/>
              <w:ind w:left="-105" w:leftChars="-50" w:right="-105" w:rightChars="-50"/>
              <w:jc w:val="center"/>
              <w:rPr>
                <w:rFonts w:hint="default" w:ascii="Times New Roman" w:hAnsi="Times New Roman" w:eastAsia="宋体" w:cs="Times New Roman"/>
                <w:color w:val="auto"/>
                <w:sz w:val="21"/>
                <w:szCs w:val="21"/>
              </w:rPr>
            </w:pPr>
          </w:p>
          <w:p w14:paraId="5D198CDC">
            <w:pPr>
              <w:pStyle w:val="46"/>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color w:val="auto"/>
                <w:szCs w:val="24"/>
              </w:rPr>
            </w:pPr>
          </w:p>
          <w:p w14:paraId="4DDF8546">
            <w:pPr>
              <w:pStyle w:val="46"/>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color w:val="auto"/>
                <w:szCs w:val="24"/>
              </w:rPr>
            </w:pPr>
          </w:p>
          <w:p w14:paraId="12274E71">
            <w:pPr>
              <w:pStyle w:val="46"/>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color w:val="auto"/>
                <w:szCs w:val="24"/>
              </w:rPr>
            </w:pPr>
          </w:p>
          <w:p w14:paraId="32A5B363">
            <w:pPr>
              <w:pStyle w:val="46"/>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color w:val="auto"/>
                <w:szCs w:val="24"/>
              </w:rPr>
            </w:pPr>
          </w:p>
          <w:p w14:paraId="7FA536E3">
            <w:pPr>
              <w:pStyle w:val="46"/>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color w:val="auto"/>
                <w:szCs w:val="24"/>
              </w:rPr>
            </w:pPr>
          </w:p>
          <w:p w14:paraId="1EECBAF0">
            <w:pPr>
              <w:pStyle w:val="46"/>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color w:val="auto"/>
                <w:szCs w:val="24"/>
              </w:rPr>
            </w:pPr>
          </w:p>
          <w:p w14:paraId="0528D68D">
            <w:pPr>
              <w:pStyle w:val="46"/>
              <w:keepNext w:val="0"/>
              <w:keepLines w:val="0"/>
              <w:suppressLineNumbers w:val="0"/>
              <w:adjustRightInd w:val="0"/>
              <w:snapToGrid w:val="0"/>
              <w:spacing w:before="0" w:beforeAutospacing="0" w:after="0" w:afterAutospacing="0" w:line="360" w:lineRule="auto"/>
              <w:ind w:left="0" w:right="0"/>
              <w:jc w:val="both"/>
              <w:rPr>
                <w:rFonts w:hint="default" w:ascii="Times New Roman" w:hAnsi="Times New Roman" w:eastAsia="宋体" w:cs="Times New Roman"/>
                <w:color w:val="auto"/>
                <w:szCs w:val="24"/>
              </w:rPr>
            </w:pPr>
          </w:p>
        </w:tc>
        <w:tc>
          <w:tcPr>
            <w:tcW w:w="8856" w:type="dxa"/>
            <w:gridSpan w:val="2"/>
            <w:noWrap w:val="0"/>
            <w:vAlign w:val="top"/>
          </w:tcPr>
          <w:p w14:paraId="1D1792BF">
            <w:pPr>
              <w:keepNext w:val="0"/>
              <w:keepLines w:val="0"/>
              <w:numPr>
                <w:ilvl w:val="0"/>
                <w:numId w:val="0"/>
              </w:numPr>
              <w:suppressLineNumbers w:val="0"/>
              <w:spacing w:before="0" w:beforeAutospacing="0" w:after="0" w:afterAutospacing="0" w:line="440" w:lineRule="exact"/>
              <w:ind w:left="0" w:right="0" w:firstLine="482" w:firstLineChars="200"/>
              <w:rPr>
                <w:rFonts w:hint="default" w:ascii="Times New Roman" w:hAnsi="Times New Roman" w:eastAsia="宋体" w:cs="Times New Roman"/>
                <w:b/>
                <w:color w:val="auto"/>
                <w:sz w:val="24"/>
                <w:lang w:val="en-US" w:eastAsia="zh-CN"/>
              </w:rPr>
            </w:pPr>
            <w:r>
              <w:rPr>
                <w:rFonts w:hint="default" w:ascii="Times New Roman" w:hAnsi="Times New Roman" w:eastAsia="宋体" w:cs="Times New Roman"/>
                <w:b/>
                <w:color w:val="auto"/>
                <w:kern w:val="2"/>
                <w:sz w:val="24"/>
                <w:szCs w:val="21"/>
                <w:lang w:val="en-US" w:eastAsia="zh-CN" w:bidi="ar-SA"/>
              </w:rPr>
              <w:t>1、</w:t>
            </w:r>
            <w:r>
              <w:rPr>
                <w:rFonts w:hint="default" w:ascii="Times New Roman" w:hAnsi="Times New Roman" w:eastAsia="宋体" w:cs="Times New Roman"/>
                <w:b/>
                <w:color w:val="auto"/>
                <w:sz w:val="24"/>
                <w:lang w:val="en-US" w:eastAsia="zh-CN"/>
              </w:rPr>
              <w:t>施工期</w:t>
            </w:r>
          </w:p>
          <w:p w14:paraId="77A11BE2">
            <w:pPr>
              <w:pStyle w:val="62"/>
              <w:keepNext w:val="0"/>
              <w:keepLines w:val="0"/>
              <w:suppressLineNumbers w:val="0"/>
              <w:bidi w:val="0"/>
              <w:spacing w:before="0" w:beforeAutospacing="0" w:after="0" w:afterAutospacing="0"/>
              <w:ind w:left="0" w:right="0"/>
              <w:rPr>
                <w:rFonts w:hint="default" w:cs="Times New Roman"/>
                <w:color w:val="auto"/>
                <w:szCs w:val="24"/>
              </w:rPr>
            </w:pPr>
            <w:r>
              <w:rPr>
                <w:rFonts w:hint="default"/>
                <w:color w:val="auto"/>
              </w:rPr>
              <w:t>本项目施工期</w:t>
            </w:r>
            <w:r>
              <w:rPr>
                <w:rFonts w:hint="eastAsia"/>
                <w:color w:val="auto"/>
                <w:lang w:val="en-US" w:eastAsia="zh-CN"/>
              </w:rPr>
              <w:t>主要为设备安装</w:t>
            </w:r>
            <w:r>
              <w:rPr>
                <w:rFonts w:hint="default"/>
                <w:color w:val="auto"/>
              </w:rPr>
              <w:t>，</w:t>
            </w:r>
            <w:r>
              <w:rPr>
                <w:rFonts w:hint="eastAsia"/>
                <w:color w:val="auto"/>
                <w:lang w:val="en-US" w:eastAsia="zh-CN"/>
              </w:rPr>
              <w:t>施工量很小，施工期环境影响分析略</w:t>
            </w:r>
            <w:r>
              <w:rPr>
                <w:rFonts w:hint="default"/>
                <w:color w:val="auto"/>
              </w:rPr>
              <w:t>。</w:t>
            </w:r>
          </w:p>
          <w:p w14:paraId="448237AD">
            <w:pPr>
              <w:keepNext w:val="0"/>
              <w:keepLines w:val="0"/>
              <w:numPr>
                <w:ilvl w:val="0"/>
                <w:numId w:val="0"/>
              </w:numPr>
              <w:suppressLineNumbers w:val="0"/>
              <w:spacing w:before="0" w:beforeAutospacing="0" w:after="0" w:afterAutospacing="0" w:line="440" w:lineRule="exact"/>
              <w:ind w:left="0" w:right="0" w:firstLine="482" w:firstLineChars="200"/>
              <w:rPr>
                <w:rFonts w:hint="default" w:ascii="Times New Roman" w:hAnsi="Times New Roman" w:eastAsia="宋体" w:cs="Times New Roman"/>
                <w:b/>
                <w:color w:val="auto"/>
                <w:sz w:val="24"/>
                <w:lang w:val="en-US" w:eastAsia="zh-CN"/>
              </w:rPr>
            </w:pPr>
            <w:r>
              <w:rPr>
                <w:rFonts w:hint="default" w:ascii="Times New Roman" w:hAnsi="Times New Roman" w:eastAsia="宋体" w:cs="Times New Roman"/>
                <w:b/>
                <w:color w:val="auto"/>
                <w:kern w:val="2"/>
                <w:sz w:val="24"/>
                <w:szCs w:val="21"/>
                <w:lang w:val="en-US" w:eastAsia="zh-CN" w:bidi="ar-SA"/>
              </w:rPr>
              <w:t>2、</w:t>
            </w:r>
            <w:r>
              <w:rPr>
                <w:rFonts w:hint="default" w:ascii="Times New Roman" w:hAnsi="Times New Roman" w:eastAsia="宋体" w:cs="Times New Roman"/>
                <w:b/>
                <w:color w:val="auto"/>
                <w:sz w:val="24"/>
                <w:lang w:val="en-US" w:eastAsia="zh-CN"/>
              </w:rPr>
              <w:t>营运期</w:t>
            </w:r>
          </w:p>
          <w:p w14:paraId="5B30FA50">
            <w:pPr>
              <w:keepNext w:val="0"/>
              <w:keepLines w:val="0"/>
              <w:suppressLineNumbers w:val="0"/>
              <w:spacing w:before="0" w:beforeAutospacing="0" w:after="0" w:afterAutospacing="0" w:line="440" w:lineRule="exact"/>
              <w:ind w:left="0" w:right="0" w:firstLine="480"/>
              <w:rPr>
                <w:rFonts w:hint="default" w:ascii="Times New Roman" w:hAnsi="Times New Roman" w:eastAsia="宋体" w:cs="Times New Roman"/>
                <w:b w:val="0"/>
                <w:bCs/>
                <w:color w:val="auto"/>
                <w:sz w:val="24"/>
              </w:rPr>
            </w:pPr>
            <w:r>
              <w:rPr>
                <w:rFonts w:hint="default" w:ascii="Times New Roman" w:hAnsi="Times New Roman" w:eastAsia="宋体" w:cs="Times New Roman"/>
                <w:b w:val="0"/>
                <w:bCs/>
                <w:color w:val="auto"/>
                <w:sz w:val="24"/>
                <w:lang w:eastAsia="zh-CN"/>
              </w:rPr>
              <w:t>（</w:t>
            </w:r>
            <w:r>
              <w:rPr>
                <w:rFonts w:hint="default" w:ascii="Times New Roman" w:hAnsi="Times New Roman" w:eastAsia="宋体" w:cs="Times New Roman"/>
                <w:b w:val="0"/>
                <w:bCs/>
                <w:color w:val="auto"/>
                <w:sz w:val="24"/>
                <w:lang w:val="en-US" w:eastAsia="zh-CN"/>
              </w:rPr>
              <w:t>1</w:t>
            </w:r>
            <w:r>
              <w:rPr>
                <w:rFonts w:hint="default" w:ascii="Times New Roman" w:hAnsi="Times New Roman" w:eastAsia="宋体" w:cs="Times New Roman"/>
                <w:b w:val="0"/>
                <w:bCs/>
                <w:color w:val="auto"/>
                <w:sz w:val="24"/>
                <w:lang w:eastAsia="zh-CN"/>
              </w:rPr>
              <w:t>）</w:t>
            </w:r>
            <w:r>
              <w:rPr>
                <w:rFonts w:hint="default" w:ascii="Times New Roman" w:hAnsi="Times New Roman" w:eastAsia="宋体" w:cs="Times New Roman"/>
                <w:b w:val="0"/>
                <w:bCs/>
                <w:color w:val="auto"/>
                <w:sz w:val="24"/>
              </w:rPr>
              <w:t>工艺流程</w:t>
            </w:r>
          </w:p>
          <w:p w14:paraId="19935539">
            <w:pPr>
              <w:pStyle w:val="62"/>
              <w:keepNext w:val="0"/>
              <w:keepLines w:val="0"/>
              <w:suppressLineNumbers w:val="0"/>
              <w:bidi w:val="0"/>
              <w:spacing w:before="0" w:beforeAutospacing="0" w:after="0" w:afterAutospacing="0"/>
              <w:ind w:left="0" w:right="0"/>
              <w:rPr>
                <w:rFonts w:hint="default"/>
                <w:color w:val="auto"/>
              </w:rPr>
            </w:pPr>
            <w:r>
              <w:rPr>
                <w:rFonts w:hint="default"/>
                <w:color w:val="auto"/>
              </w:rPr>
              <w:t>本项目生产工艺流程如下：</w:t>
            </w:r>
          </w:p>
          <w:p w14:paraId="0600F9E2">
            <w:pPr>
              <w:pStyle w:val="4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FF"/>
                <w:sz w:val="24"/>
                <w:lang w:eastAsia="zh-CN"/>
              </w:rPr>
            </w:pPr>
            <w:r>
              <w:rPr>
                <w:rFonts w:hint="default" w:ascii="Times New Roman" w:hAnsi="Times New Roman" w:eastAsia="宋体" w:cs="Times New Roman"/>
                <w:color w:val="0000FF"/>
                <w:sz w:val="24"/>
              </w:rPr>
              <w:pict>
                <v:group id="_x0000_s10320" o:spid="_x0000_s10320" o:spt="203" style="height:218.6pt;width:432pt;" coordsize="5486400,2776217" editas="canvas">
                  <o:lock v:ext="edit"/>
                  <v:shape id="_x0000_s10319" o:spid="_x0000_s10319" o:spt="75" type="#_x0000_t75" style="position:absolute;left:0;top:0;height:2776217;width:5486400;" filled="f" stroked="f" coordsize="21600,21600">
                    <v:path/>
                    <v:fill on="f" focussize="0,0"/>
                    <v:stroke on="f"/>
                    <v:imagedata o:title=""/>
                    <o:lock v:ext="edit" aspectratio="f"/>
                  </v:shape>
                  <v:rect id="_x0000_s10355" o:spid="_x0000_s10355" o:spt="1" style="position:absolute;left:800100;top:2496183;height:317500;width:3670300;" filled="f" stroked="t" coordsize="21600,21600">
                    <v:path/>
                    <v:fill on="f" focussize="0,0"/>
                    <v:stroke color="#000000" opacity="0f" joinstyle="miter"/>
                    <v:imagedata o:title=""/>
                    <o:lock v:ext="edit" aspectratio="f"/>
                    <v:textbox>
                      <w:txbxContent>
                        <w:p w14:paraId="1CF12F97">
                          <w:pPr>
                            <w:spacing w:line="240" w:lineRule="auto"/>
                            <w:jc w:val="center"/>
                            <w:rPr>
                              <w:rFonts w:hint="default" w:ascii="Times New Roman" w:hAnsi="Times New Roman" w:cs="Times New Roman"/>
                              <w:sz w:val="24"/>
                              <w:szCs w:val="24"/>
                            </w:rPr>
                          </w:pPr>
                          <w:r>
                            <w:rPr>
                              <w:rFonts w:hint="default" w:ascii="Times New Roman" w:hAnsi="Times New Roman" w:eastAsia="宋体" w:cs="Times New Roman"/>
                              <w:b/>
                              <w:sz w:val="24"/>
                              <w:szCs w:val="24"/>
                            </w:rPr>
                            <w:t>图2</w:t>
                          </w:r>
                          <w:r>
                            <w:rPr>
                              <w:rFonts w:hint="default" w:ascii="Times New Roman" w:hAnsi="Times New Roman" w:eastAsia="宋体" w:cs="Times New Roman"/>
                              <w:b/>
                              <w:sz w:val="24"/>
                              <w:szCs w:val="24"/>
                              <w:lang w:val="en-US" w:eastAsia="zh-CN"/>
                            </w:rPr>
                            <w:t>-</w:t>
                          </w:r>
                          <w:r>
                            <w:rPr>
                              <w:rFonts w:hint="eastAsia" w:ascii="Times New Roman" w:hAnsi="Times New Roman" w:eastAsia="宋体" w:cs="Times New Roman"/>
                              <w:b/>
                              <w:sz w:val="24"/>
                              <w:szCs w:val="24"/>
                              <w:lang w:val="en-US" w:eastAsia="zh-CN"/>
                            </w:rPr>
                            <w:t>2</w:t>
                          </w:r>
                          <w:r>
                            <w:rPr>
                              <w:rFonts w:hint="default" w:ascii="Times New Roman" w:hAnsi="Times New Roman" w:eastAsia="宋体" w:cs="Times New Roman"/>
                              <w:b/>
                              <w:sz w:val="24"/>
                              <w:szCs w:val="24"/>
                            </w:rPr>
                            <w:t xml:space="preserve">  </w:t>
                          </w:r>
                          <w:r>
                            <w:rPr>
                              <w:rFonts w:hint="eastAsia" w:ascii="Times New Roman" w:hAnsi="Times New Roman" w:eastAsia="宋体" w:cs="Times New Roman"/>
                              <w:b/>
                              <w:sz w:val="24"/>
                              <w:szCs w:val="24"/>
                              <w:lang w:val="en-US" w:eastAsia="zh-CN"/>
                            </w:rPr>
                            <w:t>生产</w:t>
                          </w:r>
                          <w:r>
                            <w:rPr>
                              <w:rFonts w:hint="default" w:ascii="Times New Roman" w:hAnsi="Times New Roman" w:eastAsia="宋体" w:cs="Times New Roman"/>
                              <w:b/>
                              <w:sz w:val="24"/>
                              <w:szCs w:val="24"/>
                            </w:rPr>
                            <w:t>工艺流程及产污节点图</w:t>
                          </w:r>
                        </w:p>
                      </w:txbxContent>
                    </v:textbox>
                  </v:rect>
                  <v:shape id="_x0000_s10398" o:spid="_x0000_s10398" o:spt="75" type="#_x0000_t75" style="position:absolute;left:0;top:76200;height:2282822;width:5486400;" filled="f" o:preferrelative="t" stroked="f" coordsize="21600,21600">
                    <v:path/>
                    <v:fill on="f" focussize="0,0"/>
                    <v:stroke on="f"/>
                    <v:imagedata r:id="rId21" o:title=""/>
                    <o:lock v:ext="edit" aspectratio="t"/>
                  </v:shape>
                  <w10:wrap type="none"/>
                  <w10:anchorlock/>
                </v:group>
              </w:pict>
            </w:r>
          </w:p>
          <w:p w14:paraId="4200C5E4">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b/>
                <w:bCs/>
                <w:color w:val="0000FF"/>
                <w:lang w:val="en-US" w:eastAsia="zh-CN"/>
              </w:rPr>
            </w:pPr>
            <w:r>
              <w:rPr>
                <w:rFonts w:hint="default" w:ascii="Times New Roman" w:hAnsi="Times New Roman" w:eastAsia="宋体" w:cs="Times New Roman"/>
                <w:b/>
                <w:bCs/>
                <w:color w:val="auto"/>
                <w:lang w:val="en-US" w:eastAsia="zh-CN"/>
              </w:rPr>
              <w:t>生产工艺简介：</w:t>
            </w:r>
          </w:p>
          <w:p w14:paraId="594D8982">
            <w:pPr>
              <w:pStyle w:val="62"/>
              <w:keepNext w:val="0"/>
              <w:keepLines w:val="0"/>
              <w:suppressLineNumbers w:val="0"/>
              <w:bidi w:val="0"/>
              <w:spacing w:before="0" w:beforeAutospacing="0" w:after="0" w:afterAutospacing="0"/>
              <w:ind w:left="0" w:right="0"/>
              <w:rPr>
                <w:rFonts w:hint="default"/>
                <w:color w:val="auto"/>
                <w:lang w:val="en-US" w:eastAsia="zh-CN"/>
              </w:rPr>
            </w:pPr>
            <w:r>
              <w:rPr>
                <w:rFonts w:hint="eastAsia" w:ascii="宋体" w:hAnsi="宋体" w:eastAsia="宋体" w:cs="宋体"/>
                <w:b w:val="0"/>
                <w:bCs w:val="0"/>
                <w:color w:val="auto"/>
                <w:sz w:val="24"/>
                <w:szCs w:val="24"/>
                <w:lang w:val="en-US" w:eastAsia="zh-CN"/>
              </w:rPr>
              <w:t>汽车金属零部件（外来件）</w:t>
            </w:r>
            <w:r>
              <w:rPr>
                <w:rFonts w:hint="eastAsia" w:ascii="宋体" w:hAnsi="宋体" w:eastAsia="宋体" w:cs="宋体"/>
                <w:b w:val="0"/>
                <w:bCs w:val="0"/>
                <w:color w:val="auto"/>
                <w:sz w:val="24"/>
                <w:szCs w:val="24"/>
                <w:lang w:eastAsia="zh-CN"/>
              </w:rPr>
              <w:t>的硬度、耐磨性和疲劳强度均不能达到标准要求，</w:t>
            </w:r>
            <w:r>
              <w:rPr>
                <w:rFonts w:hint="eastAsia" w:ascii="宋体" w:hAnsi="宋体" w:eastAsia="宋体" w:cs="宋体"/>
                <w:b w:val="0"/>
                <w:bCs w:val="0"/>
                <w:color w:val="auto"/>
                <w:sz w:val="24"/>
                <w:szCs w:val="24"/>
                <w:lang w:val="en-US" w:eastAsia="zh-CN"/>
              </w:rPr>
              <w:t>根据客户订单要求，对汽车金属零部件进行热处理（淬火、正火、退火、回火）。</w:t>
            </w:r>
          </w:p>
          <w:p w14:paraId="77149131">
            <w:pPr>
              <w:pStyle w:val="62"/>
              <w:keepNext w:val="0"/>
              <w:keepLines w:val="0"/>
              <w:suppressLineNumbers w:val="0"/>
              <w:bidi w:val="0"/>
              <w:spacing w:before="0" w:beforeAutospacing="0" w:after="0" w:afterAutospacing="0"/>
              <w:ind w:left="0" w:right="0"/>
              <w:rPr>
                <w:rFonts w:hint="eastAsia" w:ascii="宋体" w:hAnsi="宋体" w:eastAsia="宋体" w:cs="宋体"/>
                <w:b w:val="0"/>
                <w:bCs w:val="0"/>
                <w:color w:val="auto"/>
                <w:sz w:val="24"/>
                <w:szCs w:val="24"/>
                <w:lang w:eastAsia="zh-CN"/>
              </w:rPr>
            </w:pPr>
            <w:r>
              <w:rPr>
                <w:rFonts w:hint="default"/>
                <w:color w:val="auto"/>
                <w:lang w:val="en-US" w:eastAsia="zh-CN"/>
              </w:rPr>
              <w:t>①</w:t>
            </w:r>
            <w:r>
              <w:rPr>
                <w:rFonts w:hint="eastAsia"/>
                <w:color w:val="auto"/>
                <w:lang w:val="en-US" w:eastAsia="zh-CN"/>
              </w:rPr>
              <w:t>渗碳：</w:t>
            </w:r>
            <w:r>
              <w:rPr>
                <w:rFonts w:hint="eastAsia" w:ascii="宋体" w:hAnsi="宋体" w:eastAsia="宋体" w:cs="宋体"/>
                <w:b w:val="0"/>
                <w:bCs w:val="0"/>
                <w:color w:val="auto"/>
                <w:sz w:val="24"/>
                <w:szCs w:val="24"/>
                <w:lang w:eastAsia="zh-CN"/>
              </w:rPr>
              <w:t>渗碳是传统的表面化学热处理工艺，</w:t>
            </w:r>
            <w:r>
              <w:rPr>
                <w:rFonts w:hint="default"/>
                <w:color w:val="auto"/>
                <w:lang w:val="en-US" w:eastAsia="zh-CN"/>
              </w:rPr>
              <w:t>将工件置入具有活性渗碳介质中，加热到900-950°C的单相奥氏体区，保温足够时间后，使渗碳介质中分解出的活性碳原子渗入钢件表层，从而获得表层高碳，心部仍保持原有成分。</w:t>
            </w:r>
            <w:r>
              <w:rPr>
                <w:rFonts w:hint="eastAsia" w:ascii="宋体" w:hAnsi="宋体" w:eastAsia="宋体" w:cs="宋体"/>
                <w:b w:val="0"/>
                <w:bCs w:val="0"/>
                <w:color w:val="auto"/>
                <w:sz w:val="24"/>
                <w:szCs w:val="24"/>
                <w:lang w:eastAsia="zh-CN"/>
              </w:rPr>
              <w:t>金属件经渗碳淬火后能提高季件表面硬度和耐磨性，增强心部韧性。</w:t>
            </w:r>
          </w:p>
          <w:p w14:paraId="065AF409">
            <w:pPr>
              <w:pStyle w:val="62"/>
              <w:keepNext w:val="0"/>
              <w:keepLines w:val="0"/>
              <w:suppressLineNumbers w:val="0"/>
              <w:bidi w:val="0"/>
              <w:spacing w:before="0" w:beforeAutospacing="0" w:after="0" w:afterAutospacing="0"/>
              <w:ind w:left="0" w:right="0"/>
              <w:rPr>
                <w:rFonts w:hint="eastAsia" w:ascii="宋体" w:hAnsi="宋体" w:eastAsia="宋体" w:cs="宋体"/>
                <w:b w:val="0"/>
                <w:bCs w:val="0"/>
                <w:color w:val="auto"/>
                <w:sz w:val="24"/>
                <w:szCs w:val="24"/>
                <w:lang w:eastAsia="zh-CN"/>
              </w:rPr>
            </w:pPr>
            <w:r>
              <w:rPr>
                <w:rStyle w:val="67"/>
                <w:rFonts w:hint="eastAsia"/>
                <w:color w:val="auto"/>
                <w:lang w:val="en-US" w:eastAsia="zh-CN"/>
              </w:rPr>
              <w:t>本项目密封箱式可控气氛多用炉由</w:t>
            </w:r>
            <w:r>
              <w:rPr>
                <w:rFonts w:hint="eastAsia"/>
                <w:color w:val="auto"/>
                <w:lang w:val="en-US" w:eastAsia="zh-CN"/>
              </w:rPr>
              <w:t>自动化控制总台、气体控制系统、火炬系统、</w:t>
            </w:r>
            <w:r>
              <w:rPr>
                <w:rStyle w:val="67"/>
                <w:rFonts w:hint="eastAsia"/>
                <w:color w:val="auto"/>
                <w:lang w:val="en-US" w:eastAsia="zh-CN"/>
              </w:rPr>
              <w:t>密封箱式</w:t>
            </w:r>
            <w:r>
              <w:rPr>
                <w:rFonts w:hint="eastAsia"/>
                <w:color w:val="auto"/>
                <w:lang w:val="en-US" w:eastAsia="zh-CN"/>
              </w:rPr>
              <w:t>炉体组成。自动化控制总台：由控制总台编程控制，仅少量工作需要人工进行；该炉配有空气压缩机，其前门，内门均以压缩空气为动力，可实现自动开关炉门。气体控制系统：该炉配气氛气体流量控制系统，能够实现气氛气体自动进入，并控制气量。火炬系统：碳氮炉为全自动电炉，气动控制，在热处理炉前室自带设有排气口配有点火系统，热处理过程产生的废气通过点火系统点燃后直接燃烧。</w:t>
            </w:r>
          </w:p>
          <w:p w14:paraId="44ACB4F2">
            <w:pPr>
              <w:pStyle w:val="62"/>
              <w:keepNext w:val="0"/>
              <w:keepLines w:val="0"/>
              <w:suppressLineNumbers w:val="0"/>
              <w:bidi w:val="0"/>
              <w:spacing w:before="0" w:beforeAutospacing="0" w:after="0" w:afterAutospacing="0"/>
              <w:ind w:left="0" w:right="0"/>
              <w:rPr>
                <w:rFonts w:hint="eastAsia" w:ascii="宋体" w:hAnsi="宋体" w:cs="宋体"/>
                <w:b w:val="0"/>
                <w:bCs w:val="0"/>
                <w:color w:val="auto"/>
                <w:sz w:val="24"/>
                <w:szCs w:val="24"/>
                <w:lang w:eastAsia="zh-CN"/>
              </w:rPr>
            </w:pPr>
            <w:r>
              <w:rPr>
                <w:rFonts w:hint="eastAsia" w:ascii="宋体" w:hAnsi="宋体" w:eastAsia="宋体" w:cs="宋体"/>
                <w:b w:val="0"/>
                <w:bCs w:val="0"/>
                <w:color w:val="auto"/>
                <w:sz w:val="24"/>
                <w:szCs w:val="24"/>
                <w:lang w:eastAsia="zh-CN"/>
              </w:rPr>
              <w:t>渗碳时，向炉内滴入纯的甲醇，甲醇在炉内高温</w:t>
            </w:r>
            <w:r>
              <w:rPr>
                <w:rFonts w:hint="eastAsia" w:ascii="宋体" w:hAnsi="宋体" w:cs="宋体"/>
                <w:b w:val="0"/>
                <w:bCs w:val="0"/>
                <w:color w:val="auto"/>
                <w:sz w:val="24"/>
                <w:szCs w:val="24"/>
                <w:lang w:eastAsia="zh-CN"/>
              </w:rPr>
              <w:t>（</w:t>
            </w:r>
            <w:r>
              <w:rPr>
                <w:rFonts w:hint="default"/>
                <w:color w:val="auto"/>
                <w:lang w:val="en-US" w:eastAsia="zh-CN"/>
              </w:rPr>
              <w:t>900-950°C</w:t>
            </w:r>
            <w:r>
              <w:rPr>
                <w:rFonts w:hint="eastAsia" w:ascii="宋体" w:hAnsi="宋体" w:cs="宋体"/>
                <w:b w:val="0"/>
                <w:bCs w:val="0"/>
                <w:color w:val="auto"/>
                <w:sz w:val="24"/>
                <w:szCs w:val="24"/>
                <w:lang w:eastAsia="zh-CN"/>
              </w:rPr>
              <w:t>）</w:t>
            </w:r>
            <w:r>
              <w:rPr>
                <w:rFonts w:hint="eastAsia" w:ascii="宋体" w:hAnsi="宋体" w:eastAsia="宋体" w:cs="宋体"/>
                <w:b w:val="0"/>
                <w:bCs w:val="0"/>
                <w:color w:val="auto"/>
                <w:sz w:val="24"/>
                <w:szCs w:val="24"/>
                <w:lang w:eastAsia="zh-CN"/>
              </w:rPr>
              <w:t>下裂解，直接分解为渗碳气氛，</w:t>
            </w:r>
            <w:r>
              <w:rPr>
                <w:rFonts w:hint="eastAsia" w:ascii="宋体" w:hAnsi="宋体" w:eastAsia="宋体" w:cs="宋体"/>
                <w:b w:val="0"/>
                <w:bCs w:val="0"/>
                <w:color w:val="auto"/>
                <w:sz w:val="24"/>
                <w:szCs w:val="24"/>
                <w:lang w:val="en-US" w:eastAsia="zh-CN"/>
              </w:rPr>
              <w:t>被金属工件吸收</w:t>
            </w:r>
            <w:r>
              <w:rPr>
                <w:rFonts w:hint="eastAsia" w:ascii="宋体" w:hAnsi="宋体" w:eastAsia="宋体" w:cs="宋体"/>
                <w:b w:val="0"/>
                <w:bCs w:val="0"/>
                <w:color w:val="auto"/>
                <w:sz w:val="24"/>
                <w:szCs w:val="24"/>
                <w:lang w:eastAsia="zh-CN"/>
              </w:rPr>
              <w:t>。通过碳势控制系统，向炉内通入富化气(丙烷)提高气氛碳势，向炉中通入平衡空气，使碳势降低。在热处理过程的升温排气、强渗、扩散、降温阶段，气氛由滴入的甲醇裂解的气氛和间歇轮流通入的富化气和平衡空气组成</w:t>
            </w:r>
            <w:r>
              <w:rPr>
                <w:rFonts w:hint="eastAsia" w:ascii="宋体" w:hAnsi="宋体" w:cs="宋体"/>
                <w:b w:val="0"/>
                <w:bCs w:val="0"/>
                <w:color w:val="auto"/>
                <w:sz w:val="24"/>
                <w:szCs w:val="24"/>
                <w:lang w:eastAsia="zh-CN"/>
              </w:rPr>
              <w:t>。</w:t>
            </w:r>
          </w:p>
          <w:p w14:paraId="6EA5EA30">
            <w:pPr>
              <w:pStyle w:val="62"/>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其中甲醇和丙烷气体均易燃，甲醇的分解温度为800℃，丙烷的分解温度为500-700℃。在热处理过程中通过这些有机物的高温裂解和裂化，产生含有碳原子、CO、H</w:t>
            </w:r>
            <w:r>
              <w:rPr>
                <w:rFonts w:hint="eastAsia"/>
                <w:color w:val="auto"/>
                <w:vertAlign w:val="subscript"/>
                <w:lang w:val="en-US" w:eastAsia="zh-CN"/>
              </w:rPr>
              <w:t>2</w:t>
            </w:r>
            <w:r>
              <w:rPr>
                <w:rFonts w:hint="eastAsia"/>
                <w:color w:val="auto"/>
                <w:lang w:val="en-US" w:eastAsia="zh-CN"/>
              </w:rPr>
              <w:t>、CH</w:t>
            </w:r>
            <w:r>
              <w:rPr>
                <w:rFonts w:hint="eastAsia"/>
                <w:color w:val="auto"/>
                <w:vertAlign w:val="subscript"/>
                <w:lang w:val="en-US" w:eastAsia="zh-CN"/>
              </w:rPr>
              <w:t>4</w:t>
            </w:r>
            <w:r>
              <w:rPr>
                <w:rFonts w:hint="eastAsia"/>
                <w:color w:val="auto"/>
                <w:lang w:val="en-US" w:eastAsia="zh-CN"/>
              </w:rPr>
              <w:t>等还原性的混合气体，这些活性碳原子渗入工件表面。</w:t>
            </w:r>
            <w:r>
              <w:rPr>
                <w:rStyle w:val="67"/>
                <w:rFonts w:hint="eastAsia"/>
                <w:color w:val="auto"/>
                <w:lang w:val="en-US" w:eastAsia="zh-CN"/>
              </w:rPr>
              <w:t>密封箱式可控气氛多用炉</w:t>
            </w:r>
            <w:r>
              <w:rPr>
                <w:rFonts w:hint="eastAsia"/>
                <w:color w:val="auto"/>
                <w:lang w:val="en-US" w:eastAsia="zh-CN"/>
              </w:rPr>
              <w:t>开始运行后，点燃排气口的点火烧嘴，甲醇、丙烷不完全分解部分及裂解后的CO、H</w:t>
            </w:r>
            <w:r>
              <w:rPr>
                <w:rFonts w:hint="eastAsia"/>
                <w:color w:val="auto"/>
                <w:vertAlign w:val="subscript"/>
                <w:lang w:val="en-US" w:eastAsia="zh-CN"/>
              </w:rPr>
              <w:t>2</w:t>
            </w:r>
            <w:r>
              <w:rPr>
                <w:rFonts w:hint="eastAsia"/>
                <w:color w:val="auto"/>
                <w:lang w:val="en-US" w:eastAsia="zh-CN"/>
              </w:rPr>
              <w:t>、CH</w:t>
            </w:r>
            <w:r>
              <w:rPr>
                <w:rFonts w:hint="eastAsia"/>
                <w:color w:val="auto"/>
                <w:vertAlign w:val="subscript"/>
                <w:lang w:val="en-US" w:eastAsia="zh-CN"/>
              </w:rPr>
              <w:t>4</w:t>
            </w:r>
            <w:r>
              <w:rPr>
                <w:rFonts w:hint="eastAsia"/>
                <w:color w:val="auto"/>
                <w:lang w:val="en-US" w:eastAsia="zh-CN"/>
              </w:rPr>
              <w:t>等完全燃烧后排放，起到封炉作用。</w:t>
            </w:r>
          </w:p>
          <w:p w14:paraId="0F937040">
            <w:pPr>
              <w:pStyle w:val="62"/>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甲醇完全燃烧化学式：2CH</w:t>
            </w:r>
            <w:r>
              <w:rPr>
                <w:rFonts w:hint="eastAsia"/>
                <w:color w:val="auto"/>
                <w:vertAlign w:val="subscript"/>
                <w:lang w:val="en-US" w:eastAsia="zh-CN"/>
              </w:rPr>
              <w:t>3</w:t>
            </w:r>
            <w:r>
              <w:rPr>
                <w:rFonts w:hint="eastAsia"/>
                <w:color w:val="auto"/>
                <w:lang w:val="en-US" w:eastAsia="zh-CN"/>
              </w:rPr>
              <w:t>OH+3O</w:t>
            </w:r>
            <w:r>
              <w:rPr>
                <w:rFonts w:hint="eastAsia"/>
                <w:color w:val="auto"/>
                <w:vertAlign w:val="subscript"/>
                <w:lang w:val="en-US" w:eastAsia="zh-CN"/>
              </w:rPr>
              <w:t>2</w:t>
            </w:r>
            <w:r>
              <w:rPr>
                <w:rFonts w:hint="eastAsia"/>
                <w:color w:val="auto"/>
                <w:lang w:val="en-US" w:eastAsia="zh-CN"/>
              </w:rPr>
              <w:t>=（点燃）2CO</w:t>
            </w:r>
            <w:r>
              <w:rPr>
                <w:rFonts w:hint="eastAsia"/>
                <w:color w:val="auto"/>
                <w:vertAlign w:val="subscript"/>
                <w:lang w:val="en-US" w:eastAsia="zh-CN"/>
              </w:rPr>
              <w:t>2</w:t>
            </w:r>
            <w:r>
              <w:rPr>
                <w:rFonts w:hint="eastAsia"/>
                <w:color w:val="auto"/>
                <w:lang w:val="en-US" w:eastAsia="zh-CN"/>
              </w:rPr>
              <w:t>+4H</w:t>
            </w:r>
            <w:r>
              <w:rPr>
                <w:rFonts w:hint="eastAsia"/>
                <w:color w:val="auto"/>
                <w:vertAlign w:val="subscript"/>
                <w:lang w:val="en-US" w:eastAsia="zh-CN"/>
              </w:rPr>
              <w:t>2</w:t>
            </w:r>
            <w:r>
              <w:rPr>
                <w:rFonts w:hint="eastAsia"/>
                <w:color w:val="auto"/>
                <w:lang w:val="en-US" w:eastAsia="zh-CN"/>
              </w:rPr>
              <w:t>O；丙烷完全燃烧化学式：C</w:t>
            </w:r>
            <w:r>
              <w:rPr>
                <w:rFonts w:hint="eastAsia"/>
                <w:color w:val="auto"/>
                <w:vertAlign w:val="subscript"/>
                <w:lang w:val="en-US" w:eastAsia="zh-CN"/>
              </w:rPr>
              <w:t>3</w:t>
            </w:r>
            <w:r>
              <w:rPr>
                <w:rFonts w:hint="eastAsia"/>
                <w:color w:val="auto"/>
                <w:lang w:val="en-US" w:eastAsia="zh-CN"/>
              </w:rPr>
              <w:t>H</w:t>
            </w:r>
            <w:r>
              <w:rPr>
                <w:rFonts w:hint="eastAsia"/>
                <w:color w:val="auto"/>
                <w:vertAlign w:val="subscript"/>
                <w:lang w:val="en-US" w:eastAsia="zh-CN"/>
              </w:rPr>
              <w:t>8</w:t>
            </w:r>
            <w:r>
              <w:rPr>
                <w:rFonts w:hint="eastAsia"/>
                <w:color w:val="auto"/>
                <w:lang w:val="en-US" w:eastAsia="zh-CN"/>
              </w:rPr>
              <w:t>+5O</w:t>
            </w:r>
            <w:r>
              <w:rPr>
                <w:rFonts w:hint="eastAsia"/>
                <w:color w:val="auto"/>
                <w:vertAlign w:val="subscript"/>
                <w:lang w:val="en-US" w:eastAsia="zh-CN"/>
              </w:rPr>
              <w:t>2</w:t>
            </w:r>
            <w:r>
              <w:rPr>
                <w:rFonts w:hint="eastAsia"/>
                <w:color w:val="auto"/>
                <w:lang w:val="en-US" w:eastAsia="zh-CN"/>
              </w:rPr>
              <w:t>=（点燃）3CO</w:t>
            </w:r>
            <w:r>
              <w:rPr>
                <w:rFonts w:hint="eastAsia"/>
                <w:color w:val="auto"/>
                <w:vertAlign w:val="subscript"/>
                <w:lang w:val="en-US" w:eastAsia="zh-CN"/>
              </w:rPr>
              <w:t>2</w:t>
            </w:r>
            <w:r>
              <w:rPr>
                <w:rFonts w:hint="eastAsia"/>
                <w:color w:val="auto"/>
                <w:lang w:val="en-US" w:eastAsia="zh-CN"/>
              </w:rPr>
              <w:t>+4H</w:t>
            </w:r>
            <w:r>
              <w:rPr>
                <w:rFonts w:hint="eastAsia"/>
                <w:color w:val="auto"/>
                <w:vertAlign w:val="subscript"/>
                <w:lang w:val="en-US" w:eastAsia="zh-CN"/>
              </w:rPr>
              <w:t>2</w:t>
            </w:r>
            <w:r>
              <w:rPr>
                <w:rFonts w:hint="eastAsia"/>
                <w:color w:val="auto"/>
                <w:lang w:val="en-US" w:eastAsia="zh-CN"/>
              </w:rPr>
              <w:t>O。甲醇、丙烷不完全分解部分及裂解后的H</w:t>
            </w:r>
            <w:r>
              <w:rPr>
                <w:rFonts w:hint="eastAsia"/>
                <w:color w:val="auto"/>
                <w:vertAlign w:val="subscript"/>
                <w:lang w:val="en-US" w:eastAsia="zh-CN"/>
              </w:rPr>
              <w:t>2</w:t>
            </w:r>
            <w:r>
              <w:rPr>
                <w:rFonts w:hint="eastAsia"/>
                <w:color w:val="auto"/>
                <w:lang w:val="en-US" w:eastAsia="zh-CN"/>
              </w:rPr>
              <w:t>等燃烧后均产生CO</w:t>
            </w:r>
            <w:r>
              <w:rPr>
                <w:rFonts w:hint="eastAsia"/>
                <w:color w:val="auto"/>
                <w:vertAlign w:val="subscript"/>
                <w:lang w:val="en-US" w:eastAsia="zh-CN"/>
              </w:rPr>
              <w:t>2</w:t>
            </w:r>
            <w:r>
              <w:rPr>
                <w:rFonts w:hint="eastAsia"/>
                <w:color w:val="auto"/>
                <w:lang w:val="en-US" w:eastAsia="zh-CN"/>
              </w:rPr>
              <w:t>和H</w:t>
            </w:r>
            <w:r>
              <w:rPr>
                <w:rFonts w:hint="eastAsia"/>
                <w:color w:val="auto"/>
                <w:vertAlign w:val="subscript"/>
                <w:lang w:val="en-US" w:eastAsia="zh-CN"/>
              </w:rPr>
              <w:t>2</w:t>
            </w:r>
            <w:r>
              <w:rPr>
                <w:rFonts w:hint="eastAsia"/>
                <w:color w:val="auto"/>
                <w:lang w:val="en-US" w:eastAsia="zh-CN"/>
              </w:rPr>
              <w:t>O，未被燃烧的烯烃、甲醇、丙烷等以非甲烷总烃计。</w:t>
            </w:r>
          </w:p>
          <w:p w14:paraId="4DDE3878">
            <w:pPr>
              <w:pStyle w:val="62"/>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因此，</w:t>
            </w:r>
            <w:r>
              <w:rPr>
                <w:rFonts w:hint="default"/>
                <w:color w:val="auto"/>
              </w:rPr>
              <w:t>该工序产生的污染物为</w:t>
            </w:r>
            <w:r>
              <w:rPr>
                <w:rFonts w:hint="default"/>
                <w:color w:val="auto"/>
                <w:lang w:eastAsia="zh-CN"/>
              </w:rPr>
              <w:t>设备</w:t>
            </w:r>
            <w:r>
              <w:rPr>
                <w:rFonts w:hint="default"/>
                <w:color w:val="auto"/>
              </w:rPr>
              <w:t>运行噪声</w:t>
            </w:r>
            <w:r>
              <w:rPr>
                <w:rFonts w:hint="eastAsia"/>
                <w:color w:val="auto"/>
                <w:lang w:val="en-US" w:eastAsia="zh-CN"/>
              </w:rPr>
              <w:t>N</w:t>
            </w:r>
            <w:r>
              <w:rPr>
                <w:rFonts w:hint="eastAsia"/>
                <w:color w:val="auto"/>
                <w:lang w:eastAsia="zh-CN"/>
              </w:rPr>
              <w:t>，</w:t>
            </w:r>
            <w:r>
              <w:rPr>
                <w:rFonts w:hint="eastAsia"/>
                <w:color w:val="auto"/>
                <w:lang w:val="en-US" w:eastAsia="zh-CN"/>
              </w:rPr>
              <w:t>渗碳废气G1（非甲烷总烃）</w:t>
            </w:r>
            <w:r>
              <w:rPr>
                <w:rFonts w:hint="eastAsia"/>
                <w:color w:val="auto"/>
                <w:lang w:eastAsia="zh-CN"/>
              </w:rPr>
              <w:t>。</w:t>
            </w:r>
          </w:p>
          <w:p w14:paraId="5116A110">
            <w:pPr>
              <w:pStyle w:val="62"/>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②退火</w:t>
            </w:r>
          </w:p>
          <w:p w14:paraId="0E230F9C">
            <w:pPr>
              <w:pStyle w:val="62"/>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加热温度：810~830℃；保温后随炉缓慢冷却（冷却速度≤50℃/h）；硬度：HB170~210；作用：锻件毛坯软化、消除锻造应力。</w:t>
            </w:r>
          </w:p>
          <w:p w14:paraId="3C3A7CE5">
            <w:pPr>
              <w:pStyle w:val="62"/>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③正火</w:t>
            </w:r>
          </w:p>
          <w:p w14:paraId="279D2749">
            <w:pPr>
              <w:pStyle w:val="62"/>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加热温度：840~860℃；出炉空气中冷却；硬度：HB220~250；常作为调质前预备热处理，改善切削性能。</w:t>
            </w:r>
          </w:p>
          <w:p w14:paraId="7D64EB01">
            <w:pPr>
              <w:pStyle w:val="62"/>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④淬火</w:t>
            </w:r>
          </w:p>
          <w:p w14:paraId="08DF28D8">
            <w:pPr>
              <w:pStyle w:val="62"/>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sz w:val="24"/>
                <w:szCs w:val="24"/>
              </w:rPr>
              <w:t>淬火是将工件加热保温后，在水、油或其它无机盐、有机水溶液等淬冷介质中快速冷却</w:t>
            </w:r>
            <w:r>
              <w:rPr>
                <w:rFonts w:hint="eastAsia"/>
                <w:color w:val="auto"/>
                <w:sz w:val="24"/>
                <w:szCs w:val="24"/>
                <w:lang w:eastAsia="zh-CN"/>
              </w:rPr>
              <w:t>。</w:t>
            </w:r>
            <w:r>
              <w:rPr>
                <w:rFonts w:hint="eastAsia"/>
                <w:color w:val="auto"/>
                <w:lang w:val="en-US" w:eastAsia="zh-CN"/>
              </w:rPr>
              <w:t>加热温度：820~840℃；冷却介质：清水/淬火油；淬火后硬度：HRC55~62；内部残余应力极大，必须回火。</w:t>
            </w:r>
          </w:p>
          <w:p w14:paraId="62FF1E99">
            <w:pPr>
              <w:pStyle w:val="62"/>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rPr>
              <w:t>该工序产生的污染物为</w:t>
            </w:r>
            <w:r>
              <w:rPr>
                <w:rFonts w:hint="default"/>
                <w:color w:val="auto"/>
                <w:lang w:eastAsia="zh-CN"/>
              </w:rPr>
              <w:t>设备</w:t>
            </w:r>
            <w:r>
              <w:rPr>
                <w:rFonts w:hint="default"/>
                <w:color w:val="auto"/>
              </w:rPr>
              <w:t>运行噪声</w:t>
            </w:r>
            <w:r>
              <w:rPr>
                <w:rFonts w:hint="eastAsia"/>
                <w:color w:val="auto"/>
                <w:lang w:val="en-US" w:eastAsia="zh-CN"/>
              </w:rPr>
              <w:t>N</w:t>
            </w:r>
            <w:r>
              <w:rPr>
                <w:rFonts w:hint="eastAsia"/>
                <w:color w:val="auto"/>
                <w:lang w:eastAsia="zh-CN"/>
              </w:rPr>
              <w:t>、</w:t>
            </w:r>
            <w:r>
              <w:rPr>
                <w:rFonts w:hint="eastAsia"/>
                <w:color w:val="auto"/>
                <w:lang w:val="en-US" w:eastAsia="zh-CN"/>
              </w:rPr>
              <w:t>油淬火工序废气G3（颗粒物、非甲烷总烃）</w:t>
            </w:r>
            <w:r>
              <w:rPr>
                <w:rFonts w:hint="eastAsia"/>
                <w:color w:val="auto"/>
                <w:lang w:eastAsia="zh-CN"/>
              </w:rPr>
              <w:t>。</w:t>
            </w:r>
          </w:p>
          <w:p w14:paraId="5B5BC8A8">
            <w:pPr>
              <w:pStyle w:val="62"/>
              <w:keepNext w:val="0"/>
              <w:keepLines w:val="0"/>
              <w:suppressLineNumbers w:val="0"/>
              <w:tabs>
                <w:tab w:val="left" w:pos="400"/>
              </w:tabs>
              <w:bidi w:val="0"/>
              <w:spacing w:before="0" w:beforeAutospacing="0" w:after="0" w:afterAutospacing="0"/>
              <w:ind w:left="0" w:right="0"/>
              <w:rPr>
                <w:rFonts w:hint="eastAsia"/>
                <w:color w:val="auto"/>
                <w:lang w:val="en-US" w:eastAsia="zh-CN"/>
              </w:rPr>
            </w:pPr>
            <w:r>
              <w:rPr>
                <w:rFonts w:hint="eastAsia"/>
                <w:color w:val="auto"/>
                <w:lang w:val="en-US" w:eastAsia="zh-CN"/>
              </w:rPr>
              <w:t>⑤回火（分三档）</w:t>
            </w:r>
          </w:p>
          <w:p w14:paraId="059D1C2C">
            <w:pPr>
              <w:pStyle w:val="62"/>
              <w:keepNext w:val="0"/>
              <w:keepLines w:val="0"/>
              <w:suppressLineNumbers w:val="0"/>
              <w:bidi w:val="0"/>
              <w:spacing w:before="0" w:beforeAutospacing="0" w:after="0" w:afterAutospacing="0"/>
              <w:ind w:left="0" w:right="0"/>
              <w:rPr>
                <w:rFonts w:hint="eastAsia"/>
                <w:color w:val="auto"/>
                <w:lang w:val="en-US" w:eastAsia="zh-CN"/>
              </w:rPr>
            </w:pPr>
            <w:r>
              <w:rPr>
                <w:rFonts w:hint="eastAsia" w:ascii="宋体" w:hAnsi="宋体" w:cs="宋体"/>
                <w:b w:val="0"/>
                <w:bCs w:val="0"/>
                <w:color w:val="auto"/>
                <w:sz w:val="24"/>
                <w:szCs w:val="24"/>
              </w:rPr>
              <w:t>淬火后的钢件一般不能直接使用，必须进行回火后才能使用。因为淬火钢的硬度高、脆性大，直接使用常发生脆断。通过回火可以消除或减少内应力、降低脆性，提高韧性</w:t>
            </w:r>
            <w:r>
              <w:rPr>
                <w:rFonts w:hint="eastAsia" w:ascii="宋体" w:hAnsi="宋体" w:cs="宋体"/>
                <w:b w:val="0"/>
                <w:bCs w:val="0"/>
                <w:color w:val="auto"/>
                <w:sz w:val="24"/>
                <w:szCs w:val="24"/>
                <w:lang w:eastAsia="zh-CN"/>
              </w:rPr>
              <w:t>；</w:t>
            </w:r>
            <w:r>
              <w:rPr>
                <w:rFonts w:hint="eastAsia" w:ascii="宋体" w:hAnsi="宋体" w:cs="宋体"/>
                <w:b w:val="0"/>
                <w:bCs w:val="0"/>
                <w:color w:val="auto"/>
                <w:sz w:val="24"/>
                <w:szCs w:val="24"/>
              </w:rPr>
              <w:t>另一方面可以调整淬火钢的力学性能，达到钢的使用性能。钢件淬硬后，再加热到临界温度以下的某一温度，保温一定时间，然后冷却到室温的热处理工艺称为回火。</w:t>
            </w:r>
          </w:p>
          <w:p w14:paraId="342D81DE">
            <w:pPr>
              <w:pStyle w:val="62"/>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a、低温回火（200~230℃）：HRC52~58，耐磨，用于短轴、耐磨销；出炉空气中冷却；</w:t>
            </w:r>
          </w:p>
          <w:p w14:paraId="3C5FF8B8">
            <w:pPr>
              <w:pStyle w:val="62"/>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b、中温回火（400~450℃）：HRC38~45，弹性较好；出炉空气中冷却；</w:t>
            </w:r>
          </w:p>
          <w:p w14:paraId="768255B6">
            <w:pPr>
              <w:pStyle w:val="62"/>
              <w:keepNext w:val="0"/>
              <w:keepLines w:val="0"/>
              <w:suppressLineNumbers w:val="0"/>
              <w:bidi w:val="0"/>
              <w:spacing w:before="0" w:beforeAutospacing="0" w:after="0" w:afterAutospacing="0"/>
              <w:ind w:left="0" w:right="0"/>
              <w:rPr>
                <w:rFonts w:hint="eastAsia"/>
                <w:lang w:val="en-US" w:eastAsia="zh-CN"/>
              </w:rPr>
            </w:pPr>
            <w:r>
              <w:rPr>
                <w:rFonts w:hint="eastAsia"/>
                <w:color w:val="auto"/>
                <w:lang w:val="en-US" w:eastAsia="zh-CN"/>
              </w:rPr>
              <w:t>c、高温回火（580~620℃），即调质处理：HRC22~28，强韧性均衡，传动轴、螺栓、齿轮最常用；冷却介质：清水/淬火油。</w:t>
            </w:r>
          </w:p>
          <w:p w14:paraId="64C854EF">
            <w:pPr>
              <w:pStyle w:val="62"/>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rPr>
              <w:t>该工序</w:t>
            </w:r>
            <w:r>
              <w:rPr>
                <w:rFonts w:hint="eastAsia"/>
                <w:color w:val="auto"/>
                <w:lang w:val="en-US" w:eastAsia="zh-CN"/>
              </w:rPr>
              <w:t>产生的污染物为</w:t>
            </w:r>
            <w:r>
              <w:rPr>
                <w:rFonts w:hint="default"/>
                <w:color w:val="auto"/>
                <w:lang w:eastAsia="zh-CN"/>
              </w:rPr>
              <w:t>设备</w:t>
            </w:r>
            <w:r>
              <w:rPr>
                <w:rFonts w:hint="default"/>
                <w:color w:val="auto"/>
              </w:rPr>
              <w:t>运行噪声</w:t>
            </w:r>
            <w:r>
              <w:rPr>
                <w:rFonts w:hint="eastAsia"/>
                <w:color w:val="auto"/>
                <w:lang w:val="en-US" w:eastAsia="zh-CN"/>
              </w:rPr>
              <w:t>N</w:t>
            </w:r>
            <w:r>
              <w:rPr>
                <w:rFonts w:hint="eastAsia"/>
                <w:color w:val="auto"/>
                <w:lang w:eastAsia="zh-CN"/>
              </w:rPr>
              <w:t>、</w:t>
            </w:r>
            <w:r>
              <w:rPr>
                <w:rFonts w:hint="eastAsia"/>
                <w:color w:val="auto"/>
                <w:lang w:val="en-US" w:eastAsia="zh-CN"/>
              </w:rPr>
              <w:t>回火工序废气G3（颗粒物、非甲烷总烃）</w:t>
            </w:r>
            <w:r>
              <w:rPr>
                <w:rFonts w:hint="eastAsia"/>
                <w:color w:val="auto"/>
                <w:lang w:eastAsia="zh-CN"/>
              </w:rPr>
              <w:t>。</w:t>
            </w:r>
          </w:p>
          <w:p w14:paraId="221D0D34">
            <w:pPr>
              <w:pStyle w:val="62"/>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⑥硬度</w:t>
            </w:r>
            <w:r>
              <w:rPr>
                <w:rFonts w:hint="eastAsia" w:ascii="Times New Roman" w:hAnsi="Times New Roman" w:cs="Times New Roman"/>
                <w:b w:val="0"/>
                <w:bCs/>
                <w:color w:val="auto"/>
                <w:sz w:val="24"/>
                <w:lang w:val="en-US" w:eastAsia="zh-CN"/>
              </w:rPr>
              <w:t>质检、入库：经热处理后的成品经质检员检验硬度合格后，包装入库。</w:t>
            </w:r>
            <w:r>
              <w:rPr>
                <w:rFonts w:hint="default"/>
                <w:color w:val="auto"/>
              </w:rPr>
              <w:t>该工序</w:t>
            </w:r>
            <w:r>
              <w:rPr>
                <w:rFonts w:hint="eastAsia"/>
                <w:color w:val="auto"/>
                <w:lang w:val="en-US" w:eastAsia="zh-CN"/>
              </w:rPr>
              <w:t>产生的污染物为不合格品S。</w:t>
            </w:r>
          </w:p>
          <w:p w14:paraId="311FE89C">
            <w:pPr>
              <w:keepNext w:val="0"/>
              <w:keepLines w:val="0"/>
              <w:suppressLineNumbers w:val="0"/>
              <w:spacing w:before="0" w:beforeAutospacing="0" w:after="0" w:afterAutospacing="0" w:line="460" w:lineRule="exact"/>
              <w:ind w:left="0" w:right="0" w:firstLine="482" w:firstLineChars="200"/>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lang w:eastAsia="zh-CN"/>
              </w:rPr>
              <w:t>（</w:t>
            </w:r>
            <w:r>
              <w:rPr>
                <w:rFonts w:hint="eastAsia" w:ascii="Times New Roman" w:hAnsi="Times New Roman" w:eastAsia="宋体" w:cs="Times New Roman"/>
                <w:b/>
                <w:color w:val="auto"/>
                <w:sz w:val="24"/>
                <w:lang w:val="en-US" w:eastAsia="zh-CN"/>
              </w:rPr>
              <w:t>2</w:t>
            </w:r>
            <w:r>
              <w:rPr>
                <w:rFonts w:hint="default" w:ascii="Times New Roman" w:hAnsi="Times New Roman" w:eastAsia="宋体" w:cs="Times New Roman"/>
                <w:b/>
                <w:color w:val="auto"/>
                <w:sz w:val="24"/>
                <w:lang w:eastAsia="zh-CN"/>
              </w:rPr>
              <w:t>）</w:t>
            </w:r>
            <w:r>
              <w:rPr>
                <w:rFonts w:hint="default" w:ascii="Times New Roman" w:hAnsi="Times New Roman" w:eastAsia="宋体" w:cs="Times New Roman"/>
                <w:b/>
                <w:color w:val="auto"/>
                <w:sz w:val="24"/>
              </w:rPr>
              <w:t>污染物产生环节</w:t>
            </w:r>
          </w:p>
          <w:p w14:paraId="2FDF55A0">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主要污染物产生情况详见</w:t>
            </w:r>
            <w:r>
              <w:rPr>
                <w:rFonts w:hint="default" w:ascii="Times New Roman" w:hAnsi="Times New Roman" w:eastAsia="宋体" w:cs="Times New Roman"/>
                <w:color w:val="auto"/>
                <w:sz w:val="24"/>
                <w:lang w:val="en-US" w:eastAsia="zh-CN"/>
              </w:rPr>
              <w:t>下表</w:t>
            </w:r>
            <w:r>
              <w:rPr>
                <w:rFonts w:hint="default" w:ascii="Times New Roman" w:hAnsi="Times New Roman" w:eastAsia="宋体" w:cs="Times New Roman"/>
                <w:color w:val="auto"/>
                <w:sz w:val="24"/>
              </w:rPr>
              <w:t>。</w:t>
            </w:r>
          </w:p>
          <w:p w14:paraId="5B4349E9">
            <w:pPr>
              <w:pStyle w:val="63"/>
              <w:keepNext w:val="0"/>
              <w:keepLines w:val="0"/>
              <w:suppressLineNumbers w:val="0"/>
              <w:bidi w:val="0"/>
              <w:spacing w:before="0" w:beforeAutospacing="0" w:after="0" w:afterAutospacing="0"/>
              <w:ind w:left="0" w:right="0"/>
              <w:rPr>
                <w:rFonts w:hint="default" w:ascii="Times New Roman" w:hAnsi="Times New Roman" w:eastAsia="宋体" w:cs="Times New Roman"/>
                <w:b/>
                <w:color w:val="0000FF"/>
                <w:szCs w:val="21"/>
              </w:rPr>
            </w:pPr>
            <w:r>
              <w:rPr>
                <w:rFonts w:hint="default" w:ascii="Times New Roman" w:hAnsi="Times New Roman" w:eastAsia="宋体" w:cs="Times New Roman"/>
                <w:color w:val="auto"/>
              </w:rPr>
              <w:t>表2-</w:t>
            </w:r>
            <w:r>
              <w:rPr>
                <w:rFonts w:hint="default" w:ascii="Times New Roman" w:hAnsi="Times New Roman" w:eastAsia="宋体" w:cs="Times New Roman"/>
                <w:color w:val="auto"/>
                <w:lang w:val="en-US" w:eastAsia="zh-CN"/>
              </w:rPr>
              <w:t>1</w:t>
            </w:r>
            <w:r>
              <w:rPr>
                <w:rFonts w:hint="eastAsia" w:cs="Times New Roman"/>
                <w:color w:val="auto"/>
                <w:lang w:val="en-US" w:eastAsia="zh-CN"/>
              </w:rPr>
              <w:t>0</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rPr>
              <w:t xml:space="preserve"> </w:t>
            </w:r>
            <w:r>
              <w:rPr>
                <w:rFonts w:hint="default" w:ascii="Times New Roman" w:hAnsi="Times New Roman" w:eastAsia="宋体" w:cs="Times New Roman"/>
                <w:b/>
                <w:color w:val="auto"/>
                <w:szCs w:val="21"/>
              </w:rPr>
              <w:t>污染物产生环节一览表</w:t>
            </w:r>
          </w:p>
          <w:tbl>
            <w:tblPr>
              <w:tblStyle w:val="5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1143"/>
              <w:gridCol w:w="672"/>
              <w:gridCol w:w="2469"/>
              <w:gridCol w:w="3605"/>
            </w:tblGrid>
            <w:tr w14:paraId="0087E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429" w:type="pct"/>
                  <w:noWrap w:val="0"/>
                  <w:vAlign w:val="center"/>
                </w:tcPr>
                <w:p w14:paraId="396EE909">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项目</w:t>
                  </w:r>
                </w:p>
              </w:tc>
              <w:tc>
                <w:tcPr>
                  <w:tcW w:w="662" w:type="pct"/>
                  <w:noWrap w:val="0"/>
                  <w:vAlign w:val="center"/>
                </w:tcPr>
                <w:p w14:paraId="6A35EA8C">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产污环节</w:t>
                  </w:r>
                </w:p>
              </w:tc>
              <w:tc>
                <w:tcPr>
                  <w:tcW w:w="389" w:type="pct"/>
                  <w:noWrap w:val="0"/>
                  <w:vAlign w:val="center"/>
                </w:tcPr>
                <w:p w14:paraId="088C2E1E">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编号</w:t>
                  </w:r>
                </w:p>
              </w:tc>
              <w:tc>
                <w:tcPr>
                  <w:tcW w:w="1430" w:type="pct"/>
                  <w:noWrap w:val="0"/>
                  <w:vAlign w:val="center"/>
                </w:tcPr>
                <w:p w14:paraId="0FDA9108">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污染物名称</w:t>
                  </w:r>
                </w:p>
              </w:tc>
              <w:tc>
                <w:tcPr>
                  <w:tcW w:w="2088" w:type="pct"/>
                  <w:noWrap w:val="0"/>
                  <w:vAlign w:val="center"/>
                </w:tcPr>
                <w:p w14:paraId="1C9FD601">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治理措施</w:t>
                  </w:r>
                </w:p>
              </w:tc>
            </w:tr>
            <w:tr w14:paraId="599EA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429" w:type="pct"/>
                  <w:vMerge w:val="restart"/>
                  <w:noWrap w:val="0"/>
                  <w:vAlign w:val="center"/>
                </w:tcPr>
                <w:p w14:paraId="1642A47E">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废气</w:t>
                  </w:r>
                </w:p>
              </w:tc>
              <w:tc>
                <w:tcPr>
                  <w:tcW w:w="662" w:type="pct"/>
                  <w:noWrap w:val="0"/>
                  <w:vAlign w:val="center"/>
                </w:tcPr>
                <w:p w14:paraId="36DB6B56">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箱式渗碳</w:t>
                  </w:r>
                </w:p>
              </w:tc>
              <w:tc>
                <w:tcPr>
                  <w:tcW w:w="389" w:type="pct"/>
                  <w:noWrap w:val="0"/>
                  <w:vAlign w:val="center"/>
                </w:tcPr>
                <w:p w14:paraId="545ABD60">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G1</w:t>
                  </w:r>
                </w:p>
              </w:tc>
              <w:tc>
                <w:tcPr>
                  <w:tcW w:w="1430" w:type="pct"/>
                  <w:noWrap w:val="0"/>
                  <w:vAlign w:val="center"/>
                </w:tcPr>
                <w:p w14:paraId="59F5655D">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非甲烷总烃</w:t>
                  </w:r>
                </w:p>
              </w:tc>
              <w:tc>
                <w:tcPr>
                  <w:tcW w:w="2088" w:type="pct"/>
                  <w:vMerge w:val="restart"/>
                  <w:noWrap w:val="0"/>
                  <w:vAlign w:val="center"/>
                </w:tcPr>
                <w:p w14:paraId="7681486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imes New Roman" w:cs="Times New Roman"/>
                      <w:color w:val="auto"/>
                      <w:sz w:val="21"/>
                      <w:szCs w:val="21"/>
                    </w:rPr>
                  </w:pPr>
                  <w:r>
                    <w:rPr>
                      <w:rFonts w:hint="eastAsia"/>
                      <w:color w:val="auto"/>
                      <w:sz w:val="21"/>
                      <w:szCs w:val="21"/>
                      <w:lang w:val="en-US" w:eastAsia="zh-CN"/>
                    </w:rPr>
                    <w:t>密封箱式可控气氛多用炉排气口配备火炬燃烧装置；</w:t>
                  </w:r>
                  <w:r>
                    <w:rPr>
                      <w:rFonts w:hint="eastAsia" w:ascii="Times New Roman" w:hAnsi="Times New Roman" w:eastAsia="宋体" w:cs="Times New Roman"/>
                      <w:bCs/>
                      <w:color w:val="auto"/>
                      <w:kern w:val="0"/>
                      <w:sz w:val="21"/>
                      <w:szCs w:val="21"/>
                      <w:highlight w:val="none"/>
                      <w:lang w:val="en-US" w:eastAsia="zh-CN"/>
                    </w:rPr>
                    <w:t>废气经集气罩收集后一同经</w:t>
                  </w:r>
                  <w:r>
                    <w:rPr>
                      <w:rFonts w:hint="eastAsia"/>
                      <w:color w:val="auto"/>
                      <w:sz w:val="21"/>
                      <w:szCs w:val="21"/>
                      <w:lang w:val="en-US" w:eastAsia="zh-CN"/>
                    </w:rPr>
                    <w:t>废气间接冷却装置+</w:t>
                  </w:r>
                  <w:r>
                    <w:rPr>
                      <w:rFonts w:hint="eastAsia" w:ascii="Times New Roman" w:hAnsi="Times New Roman" w:eastAsia="宋体" w:cs="Times New Roman"/>
                      <w:bCs/>
                      <w:color w:val="auto"/>
                      <w:kern w:val="0"/>
                      <w:sz w:val="21"/>
                      <w:szCs w:val="21"/>
                      <w:highlight w:val="none"/>
                      <w:lang w:val="en-US" w:eastAsia="zh-CN"/>
                    </w:rPr>
                    <w:t>静电吸附油雾净化装置</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三级干式过滤器+</w:t>
                  </w:r>
                  <w:r>
                    <w:rPr>
                      <w:rFonts w:hint="eastAsia" w:ascii="Times New Roman" w:hAnsi="Times New Roman" w:cs="Times New Roman"/>
                      <w:color w:val="auto"/>
                      <w:sz w:val="21"/>
                      <w:szCs w:val="21"/>
                      <w:highlight w:val="none"/>
                      <w:lang w:val="en-US" w:eastAsia="zh-CN"/>
                    </w:rPr>
                    <w:t>二级活性炭吸附装置+</w:t>
                  </w:r>
                  <w:r>
                    <w:rPr>
                      <w:rFonts w:hint="eastAsia" w:ascii="Times New Roman" w:hAnsi="Times New Roman" w:eastAsia="宋体" w:cs="Times New Roman"/>
                      <w:bCs/>
                      <w:color w:val="auto"/>
                      <w:kern w:val="0"/>
                      <w:sz w:val="21"/>
                      <w:szCs w:val="21"/>
                      <w:highlight w:val="none"/>
                      <w:lang w:val="en-US" w:eastAsia="zh-CN"/>
                    </w:rPr>
                    <w:t>1根15m高排气筒（DA001）排放</w:t>
                  </w:r>
                  <w:r>
                    <w:rPr>
                      <w:rFonts w:hint="eastAsia" w:ascii="Times New Roman" w:hAnsi="Times New Roman" w:cs="Times New Roman"/>
                      <w:bCs/>
                      <w:color w:val="auto"/>
                      <w:kern w:val="0"/>
                      <w:sz w:val="21"/>
                      <w:szCs w:val="21"/>
                      <w:highlight w:val="none"/>
                      <w:lang w:val="en-US" w:eastAsia="zh-CN"/>
                    </w:rPr>
                    <w:t>。</w:t>
                  </w:r>
                </w:p>
              </w:tc>
            </w:tr>
            <w:tr w14:paraId="0F9AE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429" w:type="pct"/>
                  <w:vMerge w:val="continue"/>
                  <w:noWrap w:val="0"/>
                  <w:vAlign w:val="center"/>
                </w:tcPr>
                <w:p w14:paraId="391A511F">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auto"/>
                      <w:sz w:val="21"/>
                      <w:szCs w:val="21"/>
                    </w:rPr>
                  </w:pPr>
                </w:p>
              </w:tc>
              <w:tc>
                <w:tcPr>
                  <w:tcW w:w="662" w:type="pct"/>
                  <w:noWrap w:val="0"/>
                  <w:vAlign w:val="center"/>
                </w:tcPr>
                <w:p w14:paraId="582F6835">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淬火、回火</w:t>
                  </w:r>
                </w:p>
              </w:tc>
              <w:tc>
                <w:tcPr>
                  <w:tcW w:w="389" w:type="pct"/>
                  <w:noWrap w:val="0"/>
                  <w:vAlign w:val="center"/>
                </w:tcPr>
                <w:p w14:paraId="41C32023">
                  <w:pPr>
                    <w:pStyle w:val="160"/>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Times New Roman" w:cs="Times New Roman"/>
                      <w:color w:val="auto"/>
                      <w:sz w:val="21"/>
                      <w:szCs w:val="21"/>
                    </w:rPr>
                    <w:t>G</w:t>
                  </w:r>
                  <w:r>
                    <w:rPr>
                      <w:rFonts w:hint="eastAsia" w:ascii="Times New Roman" w:hAnsi="Times New Roman" w:eastAsia="宋体" w:cs="Times New Roman"/>
                      <w:color w:val="auto"/>
                      <w:sz w:val="21"/>
                      <w:szCs w:val="21"/>
                      <w:lang w:val="en-US" w:eastAsia="zh-CN"/>
                    </w:rPr>
                    <w:t>3</w:t>
                  </w:r>
                </w:p>
              </w:tc>
              <w:tc>
                <w:tcPr>
                  <w:tcW w:w="1430" w:type="pct"/>
                  <w:noWrap w:val="0"/>
                  <w:vAlign w:val="center"/>
                </w:tcPr>
                <w:p w14:paraId="6B79C391">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油雾（颗粒物）、</w:t>
                  </w:r>
                  <w:r>
                    <w:rPr>
                      <w:rFonts w:hint="default" w:ascii="Times New Roman" w:hAnsi="Times New Roman" w:eastAsia="Times New Roman" w:cs="Times New Roman"/>
                      <w:color w:val="auto"/>
                      <w:sz w:val="21"/>
                      <w:szCs w:val="21"/>
                    </w:rPr>
                    <w:t>非甲烷总烃</w:t>
                  </w:r>
                </w:p>
              </w:tc>
              <w:tc>
                <w:tcPr>
                  <w:tcW w:w="2088" w:type="pct"/>
                  <w:vMerge w:val="continue"/>
                  <w:noWrap w:val="0"/>
                  <w:vAlign w:val="center"/>
                </w:tcPr>
                <w:p w14:paraId="68DFB1D4">
                  <w:pPr>
                    <w:pStyle w:val="160"/>
                    <w:keepNext w:val="0"/>
                    <w:keepLines w:val="0"/>
                    <w:suppressLineNumbers w:val="0"/>
                    <w:spacing w:before="0" w:beforeAutospacing="0" w:after="0" w:afterAutospacing="0" w:line="240" w:lineRule="auto"/>
                    <w:ind w:left="0" w:right="0" w:firstLine="0" w:firstLineChars="0"/>
                    <w:rPr>
                      <w:rFonts w:hint="default" w:ascii="Times New Roman" w:hAnsi="Times New Roman" w:eastAsia="Times New Roman" w:cs="Times New Roman"/>
                      <w:color w:val="auto"/>
                      <w:sz w:val="21"/>
                      <w:szCs w:val="21"/>
                    </w:rPr>
                  </w:pPr>
                </w:p>
              </w:tc>
            </w:tr>
            <w:tr w14:paraId="17E14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429" w:type="pct"/>
                  <w:vMerge w:val="continue"/>
                  <w:noWrap w:val="0"/>
                  <w:vAlign w:val="center"/>
                </w:tcPr>
                <w:p w14:paraId="7764B5D2">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auto"/>
                      <w:sz w:val="21"/>
                      <w:szCs w:val="21"/>
                    </w:rPr>
                  </w:pPr>
                </w:p>
              </w:tc>
              <w:tc>
                <w:tcPr>
                  <w:tcW w:w="662" w:type="pct"/>
                  <w:noWrap w:val="0"/>
                  <w:vAlign w:val="center"/>
                </w:tcPr>
                <w:p w14:paraId="27981D40">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auto"/>
                      <w:sz w:val="21"/>
                      <w:szCs w:val="21"/>
                      <w:lang w:val="en-US" w:eastAsia="zh-CN"/>
                    </w:rPr>
                  </w:pPr>
                  <w:r>
                    <w:rPr>
                      <w:rFonts w:hint="eastAsia" w:ascii="Times New Roman" w:hAnsi="Times New Roman" w:eastAsia="Times New Roman" w:cs="Times New Roman"/>
                      <w:color w:val="auto"/>
                      <w:sz w:val="21"/>
                      <w:szCs w:val="21"/>
                      <w:lang w:val="en-US" w:eastAsia="zh-CN"/>
                    </w:rPr>
                    <w:t>天然气燃烧</w:t>
                  </w:r>
                </w:p>
              </w:tc>
              <w:tc>
                <w:tcPr>
                  <w:tcW w:w="389" w:type="pct"/>
                  <w:noWrap w:val="0"/>
                  <w:vAlign w:val="center"/>
                </w:tcPr>
                <w:p w14:paraId="23D43638">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G2</w:t>
                  </w:r>
                </w:p>
              </w:tc>
              <w:tc>
                <w:tcPr>
                  <w:tcW w:w="1430" w:type="pct"/>
                  <w:noWrap w:val="0"/>
                  <w:vAlign w:val="center"/>
                </w:tcPr>
                <w:p w14:paraId="0897EC0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颗粒物、二氧化硫、氮氧化物</w:t>
                  </w:r>
                </w:p>
              </w:tc>
              <w:tc>
                <w:tcPr>
                  <w:tcW w:w="2088" w:type="pct"/>
                  <w:noWrap w:val="0"/>
                  <w:vAlign w:val="center"/>
                </w:tcPr>
                <w:p w14:paraId="1D429509">
                  <w:pPr>
                    <w:pStyle w:val="160"/>
                    <w:keepNext w:val="0"/>
                    <w:keepLines w:val="0"/>
                    <w:suppressLineNumbers w:val="0"/>
                    <w:spacing w:before="0" w:beforeAutospacing="0" w:after="0" w:afterAutospacing="0" w:line="240" w:lineRule="auto"/>
                    <w:ind w:left="0" w:right="0" w:firstLine="0" w:firstLineChars="0"/>
                    <w:rPr>
                      <w:rFonts w:hint="default" w:ascii="Times New Roman" w:hAnsi="Times New Roman" w:eastAsia="Times New Roman" w:cs="Times New Roman"/>
                      <w:color w:val="auto"/>
                      <w:sz w:val="21"/>
                      <w:szCs w:val="21"/>
                    </w:rPr>
                  </w:pPr>
                  <w:r>
                    <w:rPr>
                      <w:rFonts w:hint="eastAsia" w:ascii="Times New Roman" w:hAnsi="Times New Roman" w:cs="Times New Roman"/>
                      <w:color w:val="000000" w:themeColor="text1"/>
                      <w:sz w:val="21"/>
                      <w:szCs w:val="21"/>
                      <w:lang w:val="en-US" w:eastAsia="zh-CN"/>
                    </w:rPr>
                    <w:t>配备FGR低氮燃烧器；废气烟道收集后经</w:t>
                  </w:r>
                  <w:r>
                    <w:rPr>
                      <w:rFonts w:hint="eastAsia" w:ascii="Times New Roman" w:hAnsi="Times New Roman" w:eastAsia="宋体" w:cs="Times New Roman"/>
                      <w:bCs/>
                      <w:color w:val="000000" w:themeColor="text1"/>
                      <w:kern w:val="0"/>
                      <w:sz w:val="21"/>
                      <w:szCs w:val="21"/>
                      <w:highlight w:val="none"/>
                      <w:lang w:val="en-US" w:eastAsia="zh-CN"/>
                    </w:rPr>
                    <w:t>1根15m高排气筒（DA002）排放</w:t>
                  </w:r>
                </w:p>
              </w:tc>
            </w:tr>
            <w:tr w14:paraId="49C4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429" w:type="pct"/>
                  <w:noWrap w:val="0"/>
                  <w:vAlign w:val="center"/>
                </w:tcPr>
                <w:p w14:paraId="1388162F">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废水</w:t>
                  </w:r>
                </w:p>
              </w:tc>
              <w:tc>
                <w:tcPr>
                  <w:tcW w:w="662" w:type="pct"/>
                  <w:noWrap w:val="0"/>
                  <w:vAlign w:val="center"/>
                </w:tcPr>
                <w:p w14:paraId="3B6EE26A">
                  <w:pPr>
                    <w:pStyle w:val="160"/>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Times New Roman" w:cs="Times New Roman"/>
                      <w:color w:val="auto"/>
                      <w:sz w:val="21"/>
                      <w:szCs w:val="21"/>
                    </w:rPr>
                    <w:t>职工生活</w:t>
                  </w:r>
                </w:p>
              </w:tc>
              <w:tc>
                <w:tcPr>
                  <w:tcW w:w="389" w:type="pct"/>
                  <w:noWrap w:val="0"/>
                  <w:vAlign w:val="center"/>
                </w:tcPr>
                <w:p w14:paraId="532D3262">
                  <w:pPr>
                    <w:pStyle w:val="160"/>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W</w:t>
                  </w:r>
                  <w:r>
                    <w:rPr>
                      <w:rFonts w:hint="eastAsia" w:ascii="Times New Roman" w:hAnsi="Times New Roman" w:eastAsia="Times New Roman" w:cs="Times New Roman"/>
                      <w:color w:val="auto"/>
                      <w:sz w:val="21"/>
                      <w:szCs w:val="21"/>
                      <w:lang w:val="en-US" w:eastAsia="zh-CN"/>
                    </w:rPr>
                    <w:t>1</w:t>
                  </w:r>
                </w:p>
              </w:tc>
              <w:tc>
                <w:tcPr>
                  <w:tcW w:w="1430" w:type="pct"/>
                  <w:noWrap w:val="0"/>
                  <w:vAlign w:val="center"/>
                </w:tcPr>
                <w:p w14:paraId="63D64ADC">
                  <w:pPr>
                    <w:pStyle w:val="160"/>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auto"/>
                      <w:sz w:val="21"/>
                      <w:szCs w:val="21"/>
                    </w:rPr>
                  </w:pPr>
                  <w:r>
                    <w:rPr>
                      <w:rFonts w:hint="default" w:ascii="Times New Roman" w:hAnsi="Times New Roman" w:cs="Times New Roman"/>
                      <w:color w:val="auto"/>
                      <w:szCs w:val="21"/>
                    </w:rPr>
                    <w:t>pH、</w:t>
                  </w:r>
                  <w:r>
                    <w:rPr>
                      <w:rFonts w:hint="default" w:ascii="Times New Roman" w:hAnsi="Times New Roman" w:eastAsia="Times New Roman" w:cs="Times New Roman"/>
                      <w:color w:val="auto"/>
                      <w:sz w:val="21"/>
                      <w:szCs w:val="21"/>
                      <w:lang w:bidi="ar"/>
                    </w:rPr>
                    <w:t>COD、BOD</w:t>
                  </w:r>
                  <w:r>
                    <w:rPr>
                      <w:rFonts w:hint="default" w:ascii="Times New Roman" w:hAnsi="Times New Roman" w:eastAsia="Times New Roman" w:cs="Times New Roman"/>
                      <w:color w:val="auto"/>
                      <w:sz w:val="21"/>
                      <w:szCs w:val="21"/>
                      <w:vertAlign w:val="subscript"/>
                      <w:lang w:bidi="ar"/>
                    </w:rPr>
                    <w:t>5</w:t>
                  </w:r>
                  <w:r>
                    <w:rPr>
                      <w:rFonts w:hint="default" w:ascii="Times New Roman" w:hAnsi="Times New Roman" w:eastAsia="Times New Roman" w:cs="Times New Roman"/>
                      <w:color w:val="auto"/>
                      <w:sz w:val="21"/>
                      <w:szCs w:val="21"/>
                      <w:lang w:bidi="ar"/>
                    </w:rPr>
                    <w:t>、SS、NH</w:t>
                  </w:r>
                  <w:r>
                    <w:rPr>
                      <w:rFonts w:hint="default" w:ascii="Times New Roman" w:hAnsi="Times New Roman" w:eastAsia="Times New Roman" w:cs="Times New Roman"/>
                      <w:color w:val="auto"/>
                      <w:sz w:val="21"/>
                      <w:szCs w:val="21"/>
                      <w:vertAlign w:val="subscript"/>
                      <w:lang w:bidi="ar"/>
                    </w:rPr>
                    <w:t>3</w:t>
                  </w:r>
                  <w:r>
                    <w:rPr>
                      <w:rFonts w:hint="default" w:ascii="Times New Roman" w:hAnsi="Times New Roman" w:eastAsia="Times New Roman" w:cs="Times New Roman"/>
                      <w:color w:val="auto"/>
                      <w:sz w:val="21"/>
                      <w:szCs w:val="21"/>
                      <w:lang w:bidi="ar"/>
                    </w:rPr>
                    <w:t>-N</w:t>
                  </w:r>
                  <w:r>
                    <w:rPr>
                      <w:rFonts w:hint="default" w:ascii="Times New Roman" w:hAnsi="Times New Roman" w:eastAsia="宋体" w:cs="Times New Roman"/>
                      <w:color w:val="auto"/>
                      <w:sz w:val="21"/>
                      <w:szCs w:val="21"/>
                      <w:lang w:eastAsia="zh-CN" w:bidi="ar"/>
                    </w:rPr>
                    <w:t>、</w:t>
                  </w:r>
                  <w:r>
                    <w:rPr>
                      <w:rFonts w:hint="default" w:ascii="Times New Roman" w:hAnsi="Times New Roman" w:eastAsia="宋体" w:cs="Times New Roman"/>
                      <w:color w:val="auto"/>
                      <w:sz w:val="21"/>
                      <w:szCs w:val="21"/>
                      <w:lang w:val="en-US" w:eastAsia="zh-CN" w:bidi="ar"/>
                    </w:rPr>
                    <w:t>TP、TN</w:t>
                  </w:r>
                </w:p>
              </w:tc>
              <w:tc>
                <w:tcPr>
                  <w:tcW w:w="2088" w:type="pct"/>
                  <w:noWrap w:val="0"/>
                  <w:vAlign w:val="center"/>
                </w:tcPr>
                <w:p w14:paraId="763959B5">
                  <w:pPr>
                    <w:pStyle w:val="18"/>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Times New Roman" w:cs="Times New Roman"/>
                      <w:color w:val="auto"/>
                      <w:sz w:val="21"/>
                      <w:szCs w:val="21"/>
                      <w:lang w:val="en-US" w:eastAsia="zh-CN"/>
                    </w:rPr>
                    <w:t>经化粪池预处理后排入污水管网</w:t>
                  </w:r>
                </w:p>
              </w:tc>
            </w:tr>
            <w:tr w14:paraId="7AD4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429" w:type="pct"/>
                  <w:vMerge w:val="restart"/>
                  <w:noWrap w:val="0"/>
                  <w:vAlign w:val="center"/>
                </w:tcPr>
                <w:p w14:paraId="147EDDF1">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固废</w:t>
                  </w:r>
                </w:p>
              </w:tc>
              <w:tc>
                <w:tcPr>
                  <w:tcW w:w="662" w:type="pct"/>
                  <w:noWrap w:val="0"/>
                  <w:vAlign w:val="center"/>
                </w:tcPr>
                <w:p w14:paraId="5C654FDD">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检验</w:t>
                  </w:r>
                </w:p>
              </w:tc>
              <w:tc>
                <w:tcPr>
                  <w:tcW w:w="389" w:type="pct"/>
                  <w:noWrap w:val="0"/>
                  <w:vAlign w:val="center"/>
                </w:tcPr>
                <w:p w14:paraId="4E75B119">
                  <w:pPr>
                    <w:pStyle w:val="160"/>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auto"/>
                      <w:sz w:val="21"/>
                      <w:szCs w:val="21"/>
                    </w:rPr>
                  </w:pPr>
                  <w:r>
                    <w:rPr>
                      <w:rFonts w:hint="eastAsia" w:ascii="Times New Roman" w:hAnsi="Times New Roman" w:eastAsia="宋体" w:cs="Times New Roman"/>
                      <w:color w:val="auto"/>
                      <w:sz w:val="21"/>
                      <w:szCs w:val="21"/>
                      <w:lang w:val="en-US" w:eastAsia="zh-CN"/>
                    </w:rPr>
                    <w:t>/</w:t>
                  </w:r>
                </w:p>
              </w:tc>
              <w:tc>
                <w:tcPr>
                  <w:tcW w:w="1430" w:type="pct"/>
                  <w:noWrap w:val="0"/>
                  <w:vAlign w:val="center"/>
                </w:tcPr>
                <w:p w14:paraId="2C648912">
                  <w:pPr>
                    <w:pStyle w:val="160"/>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lang w:eastAsia="zh-CN"/>
                    </w:rPr>
                  </w:pPr>
                  <w:r>
                    <w:rPr>
                      <w:rFonts w:hint="eastAsia" w:ascii="Times New Roman" w:hAnsi="宋体" w:cs="Times New Roman"/>
                      <w:color w:val="auto"/>
                      <w:sz w:val="21"/>
                      <w:szCs w:val="21"/>
                      <w:lang w:val="en-US" w:eastAsia="zh-CN"/>
                    </w:rPr>
                    <w:t>不合格品</w:t>
                  </w:r>
                </w:p>
              </w:tc>
              <w:tc>
                <w:tcPr>
                  <w:tcW w:w="2088" w:type="pct"/>
                  <w:noWrap w:val="0"/>
                  <w:vAlign w:val="center"/>
                </w:tcPr>
                <w:p w14:paraId="1B9C8D34">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auto"/>
                      <w:sz w:val="21"/>
                      <w:szCs w:val="21"/>
                      <w:u w:val="none"/>
                    </w:rPr>
                  </w:pPr>
                  <w:r>
                    <w:rPr>
                      <w:rFonts w:hint="default" w:ascii="Times New Roman" w:hAnsi="Times New Roman" w:eastAsia="Times New Roman" w:cs="Times New Roman"/>
                      <w:color w:val="auto"/>
                      <w:sz w:val="21"/>
                      <w:szCs w:val="21"/>
                      <w:u w:val="none"/>
                    </w:rPr>
                    <w:t>收集后外售</w:t>
                  </w:r>
                </w:p>
              </w:tc>
            </w:tr>
            <w:tr w14:paraId="4C49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429" w:type="pct"/>
                  <w:vMerge w:val="continue"/>
                  <w:noWrap w:val="0"/>
                  <w:vAlign w:val="center"/>
                </w:tcPr>
                <w:p w14:paraId="0E09725D">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0000FF"/>
                      <w:sz w:val="21"/>
                      <w:szCs w:val="21"/>
                    </w:rPr>
                  </w:pPr>
                </w:p>
              </w:tc>
              <w:tc>
                <w:tcPr>
                  <w:tcW w:w="662" w:type="pct"/>
                  <w:noWrap w:val="0"/>
                  <w:vAlign w:val="center"/>
                </w:tcPr>
                <w:p w14:paraId="796690E2">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甲醇、丙烷气装</w:t>
                  </w:r>
                </w:p>
              </w:tc>
              <w:tc>
                <w:tcPr>
                  <w:tcW w:w="389" w:type="pct"/>
                  <w:noWrap w:val="0"/>
                  <w:vAlign w:val="center"/>
                </w:tcPr>
                <w:p w14:paraId="35E9A67F">
                  <w:pPr>
                    <w:pStyle w:val="160"/>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auto"/>
                      <w:sz w:val="21"/>
                      <w:szCs w:val="21"/>
                      <w:lang w:eastAsia="zh-CN"/>
                    </w:rPr>
                  </w:pPr>
                  <w:r>
                    <w:rPr>
                      <w:rFonts w:hint="eastAsia" w:ascii="Times New Roman" w:hAnsi="Times New Roman" w:eastAsia="Times New Roman" w:cs="Times New Roman"/>
                      <w:color w:val="auto"/>
                      <w:sz w:val="21"/>
                      <w:szCs w:val="21"/>
                      <w:lang w:val="en-US" w:eastAsia="zh-CN"/>
                    </w:rPr>
                    <w:t>/</w:t>
                  </w:r>
                </w:p>
              </w:tc>
              <w:tc>
                <w:tcPr>
                  <w:tcW w:w="1430" w:type="pct"/>
                  <w:noWrap w:val="0"/>
                  <w:vAlign w:val="center"/>
                </w:tcPr>
                <w:p w14:paraId="1AD4BE08">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auto"/>
                      <w:sz w:val="21"/>
                      <w:szCs w:val="21"/>
                      <w:lang w:val="en-US" w:eastAsia="zh-CN"/>
                    </w:rPr>
                  </w:pPr>
                  <w:r>
                    <w:rPr>
                      <w:rFonts w:hint="eastAsia" w:ascii="Times New Roman" w:hAnsi="Times New Roman" w:eastAsia="Times New Roman" w:cs="Times New Roman"/>
                      <w:color w:val="auto"/>
                      <w:sz w:val="21"/>
                      <w:szCs w:val="21"/>
                      <w:lang w:val="en-US" w:eastAsia="zh-CN"/>
                    </w:rPr>
                    <w:t>气瓶</w:t>
                  </w:r>
                </w:p>
              </w:tc>
              <w:tc>
                <w:tcPr>
                  <w:tcW w:w="2088" w:type="pct"/>
                  <w:noWrap w:val="0"/>
                  <w:vAlign w:val="center"/>
                </w:tcPr>
                <w:p w14:paraId="0481D5C8">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auto"/>
                      <w:sz w:val="21"/>
                      <w:szCs w:val="21"/>
                      <w:u w:val="none"/>
                      <w:lang w:val="en-US" w:eastAsia="zh-CN"/>
                    </w:rPr>
                  </w:pPr>
                  <w:r>
                    <w:rPr>
                      <w:rFonts w:hint="eastAsia" w:ascii="Times New Roman" w:hAnsi="Times New Roman" w:eastAsia="Times New Roman" w:cs="Times New Roman"/>
                      <w:color w:val="auto"/>
                      <w:sz w:val="21"/>
                      <w:szCs w:val="21"/>
                      <w:u w:val="none"/>
                      <w:lang w:val="en-US" w:eastAsia="zh-CN"/>
                    </w:rPr>
                    <w:t>厂家回收，重复使用</w:t>
                  </w:r>
                </w:p>
              </w:tc>
            </w:tr>
            <w:tr w14:paraId="3488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429" w:type="pct"/>
                  <w:vMerge w:val="continue"/>
                  <w:noWrap w:val="0"/>
                  <w:vAlign w:val="center"/>
                </w:tcPr>
                <w:p w14:paraId="389CD1D9">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0000FF"/>
                      <w:sz w:val="21"/>
                      <w:szCs w:val="21"/>
                    </w:rPr>
                  </w:pPr>
                </w:p>
              </w:tc>
              <w:tc>
                <w:tcPr>
                  <w:tcW w:w="662" w:type="pct"/>
                  <w:noWrap w:val="0"/>
                  <w:vAlign w:val="center"/>
                </w:tcPr>
                <w:p w14:paraId="560F21B0">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油淬、设备保养</w:t>
                  </w:r>
                </w:p>
              </w:tc>
              <w:tc>
                <w:tcPr>
                  <w:tcW w:w="389" w:type="pct"/>
                  <w:noWrap w:val="0"/>
                  <w:vAlign w:val="center"/>
                </w:tcPr>
                <w:p w14:paraId="702EBDEB">
                  <w:pPr>
                    <w:pStyle w:val="160"/>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Times New Roman" w:cs="Times New Roman"/>
                      <w:color w:val="auto"/>
                      <w:sz w:val="21"/>
                      <w:szCs w:val="21"/>
                      <w:lang w:val="en-US" w:eastAsia="zh-CN"/>
                    </w:rPr>
                    <w:t>/</w:t>
                  </w:r>
                </w:p>
              </w:tc>
              <w:tc>
                <w:tcPr>
                  <w:tcW w:w="1430" w:type="pct"/>
                  <w:noWrap w:val="0"/>
                  <w:vAlign w:val="center"/>
                </w:tcPr>
                <w:p w14:paraId="5164ED62">
                  <w:pPr>
                    <w:keepNext w:val="0"/>
                    <w:keepLines w:val="0"/>
                    <w:pageBreakBefore w:val="0"/>
                    <w:widowControl w:val="0"/>
                    <w:suppressLineNumbers w:val="0"/>
                    <w:kinsoku/>
                    <w:wordWrap/>
                    <w:overflowPunct/>
                    <w:topLinePunct w:val="0"/>
                    <w:autoSpaceDE w:val="0"/>
                    <w:autoSpaceDN w:val="0"/>
                    <w:bidi w:val="0"/>
                    <w:spacing w:before="0" w:beforeAutospacing="0" w:after="0" w:afterAutospacing="0"/>
                    <w:ind w:left="0" w:leftChars="0" w:right="0" w:rightChars="0"/>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pacing w:val="4"/>
                      <w:sz w:val="21"/>
                      <w:szCs w:val="21"/>
                      <w:highlight w:val="none"/>
                      <w:lang w:val="en-US" w:eastAsia="zh-CN"/>
                    </w:rPr>
                    <w:t>废</w:t>
                  </w:r>
                  <w:r>
                    <w:rPr>
                      <w:rFonts w:hint="eastAsia" w:ascii="Times New Roman" w:hAnsi="Times New Roman" w:eastAsia="宋体" w:cs="Times New Roman"/>
                      <w:color w:val="auto"/>
                      <w:spacing w:val="4"/>
                      <w:sz w:val="21"/>
                      <w:szCs w:val="21"/>
                      <w:highlight w:val="none"/>
                      <w:lang w:val="en-US" w:eastAsia="zh-CN"/>
                    </w:rPr>
                    <w:t>包装</w:t>
                  </w:r>
                  <w:r>
                    <w:rPr>
                      <w:rFonts w:hint="default" w:ascii="Times New Roman" w:hAnsi="Times New Roman" w:eastAsia="宋体" w:cs="Times New Roman"/>
                      <w:color w:val="auto"/>
                      <w:spacing w:val="4"/>
                      <w:sz w:val="21"/>
                      <w:szCs w:val="21"/>
                      <w:highlight w:val="none"/>
                      <w:lang w:val="en-US" w:eastAsia="zh-CN"/>
                    </w:rPr>
                    <w:t>桶</w:t>
                  </w:r>
                </w:p>
              </w:tc>
              <w:tc>
                <w:tcPr>
                  <w:tcW w:w="2088" w:type="pct"/>
                  <w:vMerge w:val="restart"/>
                  <w:noWrap w:val="0"/>
                  <w:vAlign w:val="center"/>
                </w:tcPr>
                <w:p w14:paraId="5181FA0A">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auto"/>
                      <w:sz w:val="21"/>
                      <w:szCs w:val="21"/>
                      <w:u w:val="none"/>
                    </w:rPr>
                  </w:pPr>
                  <w:r>
                    <w:rPr>
                      <w:rFonts w:hint="eastAsia" w:ascii="Times New Roman" w:hAnsi="Times New Roman" w:eastAsia="Times New Roman" w:cs="Times New Roman"/>
                      <w:color w:val="auto"/>
                      <w:sz w:val="21"/>
                      <w:szCs w:val="21"/>
                      <w:u w:val="none"/>
                      <w:lang w:val="en-US" w:eastAsia="zh-CN"/>
                    </w:rPr>
                    <w:t>收集暂存于危废暂存间，</w:t>
                  </w:r>
                  <w:r>
                    <w:rPr>
                      <w:rFonts w:hint="default" w:ascii="Times New Roman" w:hAnsi="Times New Roman" w:eastAsia="Times New Roman" w:cs="Times New Roman"/>
                      <w:color w:val="auto"/>
                      <w:sz w:val="21"/>
                      <w:szCs w:val="21"/>
                      <w:u w:val="none"/>
                    </w:rPr>
                    <w:t>委托有资质的单位处置</w:t>
                  </w:r>
                </w:p>
              </w:tc>
            </w:tr>
            <w:tr w14:paraId="7D7A3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429" w:type="pct"/>
                  <w:vMerge w:val="continue"/>
                  <w:noWrap w:val="0"/>
                  <w:vAlign w:val="center"/>
                </w:tcPr>
                <w:p w14:paraId="68BF3D03">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0000FF"/>
                      <w:sz w:val="21"/>
                      <w:szCs w:val="21"/>
                    </w:rPr>
                  </w:pPr>
                </w:p>
              </w:tc>
              <w:tc>
                <w:tcPr>
                  <w:tcW w:w="662" w:type="pct"/>
                  <w:noWrap w:val="0"/>
                  <w:vAlign w:val="center"/>
                </w:tcPr>
                <w:p w14:paraId="49B9BE74">
                  <w:pPr>
                    <w:pStyle w:val="160"/>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设备保养</w:t>
                  </w:r>
                </w:p>
              </w:tc>
              <w:tc>
                <w:tcPr>
                  <w:tcW w:w="389" w:type="pct"/>
                  <w:noWrap w:val="0"/>
                  <w:vAlign w:val="center"/>
                </w:tcPr>
                <w:p w14:paraId="572FB323">
                  <w:pPr>
                    <w:pStyle w:val="160"/>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auto"/>
                      <w:sz w:val="21"/>
                      <w:szCs w:val="21"/>
                      <w:lang w:val="en-US" w:eastAsia="zh-CN"/>
                    </w:rPr>
                  </w:pPr>
                  <w:r>
                    <w:rPr>
                      <w:rFonts w:hint="eastAsia" w:ascii="Times New Roman" w:hAnsi="Times New Roman" w:eastAsia="Times New Roman" w:cs="Times New Roman"/>
                      <w:color w:val="auto"/>
                      <w:sz w:val="21"/>
                      <w:szCs w:val="21"/>
                      <w:lang w:val="en-US" w:eastAsia="zh-CN"/>
                    </w:rPr>
                    <w:t>/</w:t>
                  </w:r>
                </w:p>
              </w:tc>
              <w:tc>
                <w:tcPr>
                  <w:tcW w:w="1430" w:type="pct"/>
                  <w:noWrap w:val="0"/>
                  <w:vAlign w:val="center"/>
                </w:tcPr>
                <w:p w14:paraId="2B2DD9FE">
                  <w:pPr>
                    <w:keepNext w:val="0"/>
                    <w:keepLines w:val="0"/>
                    <w:pageBreakBefore w:val="0"/>
                    <w:widowControl w:val="0"/>
                    <w:suppressLineNumbers w:val="0"/>
                    <w:kinsoku/>
                    <w:wordWrap/>
                    <w:overflowPunct/>
                    <w:topLinePunct w:val="0"/>
                    <w:autoSpaceDE w:val="0"/>
                    <w:autoSpaceDN w:val="0"/>
                    <w:bidi w:val="0"/>
                    <w:spacing w:before="0" w:beforeAutospacing="0" w:after="0" w:afterAutospacing="0"/>
                    <w:ind w:left="0" w:leftChars="0" w:right="0" w:rightChars="0"/>
                    <w:jc w:val="center"/>
                    <w:textAlignment w:val="auto"/>
                    <w:rPr>
                      <w:rFonts w:hint="default" w:ascii="Times New Roman" w:hAnsi="Times New Roman" w:eastAsia="宋体" w:cs="Times New Roman"/>
                      <w:color w:val="auto"/>
                      <w:spacing w:val="4"/>
                      <w:sz w:val="21"/>
                      <w:szCs w:val="21"/>
                      <w:highlight w:val="none"/>
                      <w:lang w:val="en-US" w:eastAsia="zh-CN"/>
                    </w:rPr>
                  </w:pPr>
                  <w:r>
                    <w:rPr>
                      <w:rFonts w:hint="eastAsia" w:ascii="Times New Roman" w:hAnsi="Times New Roman" w:eastAsia="宋体" w:cs="Times New Roman"/>
                      <w:color w:val="auto"/>
                      <w:spacing w:val="4"/>
                      <w:sz w:val="21"/>
                      <w:szCs w:val="21"/>
                      <w:highlight w:val="none"/>
                      <w:lang w:val="en-US" w:eastAsia="zh-CN"/>
                    </w:rPr>
                    <w:t>废润滑油</w:t>
                  </w:r>
                </w:p>
              </w:tc>
              <w:tc>
                <w:tcPr>
                  <w:tcW w:w="2088" w:type="pct"/>
                  <w:vMerge w:val="continue"/>
                  <w:noWrap w:val="0"/>
                  <w:vAlign w:val="center"/>
                </w:tcPr>
                <w:p w14:paraId="1AC80CC0">
                  <w:pPr>
                    <w:pStyle w:val="160"/>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Times New Roman" w:cs="Times New Roman"/>
                      <w:color w:val="auto"/>
                      <w:sz w:val="21"/>
                      <w:szCs w:val="21"/>
                      <w:u w:val="none"/>
                      <w:lang w:val="en-US" w:eastAsia="zh-CN"/>
                    </w:rPr>
                  </w:pPr>
                </w:p>
              </w:tc>
            </w:tr>
            <w:tr w14:paraId="1C599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429" w:type="pct"/>
                  <w:vMerge w:val="continue"/>
                  <w:noWrap w:val="0"/>
                  <w:vAlign w:val="center"/>
                </w:tcPr>
                <w:p w14:paraId="397C2CA9">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0000FF"/>
                      <w:sz w:val="21"/>
                      <w:szCs w:val="21"/>
                    </w:rPr>
                  </w:pPr>
                </w:p>
              </w:tc>
              <w:tc>
                <w:tcPr>
                  <w:tcW w:w="662" w:type="pct"/>
                  <w:noWrap w:val="0"/>
                  <w:vAlign w:val="center"/>
                </w:tcPr>
                <w:p w14:paraId="50F7B961">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油淬</w:t>
                  </w:r>
                </w:p>
              </w:tc>
              <w:tc>
                <w:tcPr>
                  <w:tcW w:w="389" w:type="pct"/>
                  <w:noWrap w:val="0"/>
                  <w:vAlign w:val="center"/>
                </w:tcPr>
                <w:p w14:paraId="358E5114">
                  <w:pPr>
                    <w:pStyle w:val="160"/>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auto"/>
                      <w:sz w:val="21"/>
                      <w:szCs w:val="21"/>
                      <w:lang w:val="en-US" w:eastAsia="zh-CN"/>
                    </w:rPr>
                  </w:pPr>
                  <w:r>
                    <w:rPr>
                      <w:rFonts w:hint="eastAsia" w:ascii="Times New Roman" w:hAnsi="Times New Roman" w:eastAsia="Times New Roman" w:cs="Times New Roman"/>
                      <w:color w:val="auto"/>
                      <w:sz w:val="21"/>
                      <w:szCs w:val="21"/>
                      <w:lang w:val="en-US" w:eastAsia="zh-CN"/>
                    </w:rPr>
                    <w:t>/</w:t>
                  </w:r>
                </w:p>
              </w:tc>
              <w:tc>
                <w:tcPr>
                  <w:tcW w:w="1430" w:type="pct"/>
                  <w:noWrap w:val="0"/>
                  <w:vAlign w:val="center"/>
                </w:tcPr>
                <w:p w14:paraId="64CCAAA2">
                  <w:pPr>
                    <w:keepNext w:val="0"/>
                    <w:keepLines w:val="0"/>
                    <w:pageBreakBefore w:val="0"/>
                    <w:widowControl w:val="0"/>
                    <w:suppressLineNumbers w:val="0"/>
                    <w:kinsoku/>
                    <w:wordWrap/>
                    <w:overflowPunct/>
                    <w:topLinePunct w:val="0"/>
                    <w:autoSpaceDE w:val="0"/>
                    <w:autoSpaceDN w:val="0"/>
                    <w:bidi w:val="0"/>
                    <w:spacing w:before="0" w:beforeAutospacing="0" w:after="0" w:afterAutospacing="0"/>
                    <w:ind w:left="0" w:leftChars="0" w:right="0" w:rightChars="0"/>
                    <w:jc w:val="center"/>
                    <w:textAlignment w:val="auto"/>
                    <w:rPr>
                      <w:rFonts w:hint="eastAsia" w:eastAsia="宋体"/>
                      <w:color w:val="auto"/>
                      <w:sz w:val="21"/>
                      <w:szCs w:val="21"/>
                      <w:lang w:val="en-US" w:eastAsia="zh-CN"/>
                    </w:rPr>
                  </w:pPr>
                  <w:r>
                    <w:rPr>
                      <w:rFonts w:hint="eastAsia" w:ascii="Times New Roman" w:hAnsi="Times New Roman" w:eastAsia="宋体" w:cs="Times New Roman"/>
                      <w:color w:val="auto"/>
                      <w:spacing w:val="4"/>
                      <w:sz w:val="21"/>
                      <w:szCs w:val="21"/>
                      <w:highlight w:val="none"/>
                      <w:lang w:val="en-US" w:eastAsia="zh-CN"/>
                    </w:rPr>
                    <w:t>油泥</w:t>
                  </w:r>
                </w:p>
              </w:tc>
              <w:tc>
                <w:tcPr>
                  <w:tcW w:w="2088" w:type="pct"/>
                  <w:vMerge w:val="continue"/>
                  <w:noWrap w:val="0"/>
                  <w:vAlign w:val="center"/>
                </w:tcPr>
                <w:p w14:paraId="6BCF5A87">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auto"/>
                      <w:sz w:val="21"/>
                      <w:szCs w:val="21"/>
                      <w:u w:val="none"/>
                    </w:rPr>
                  </w:pPr>
                </w:p>
              </w:tc>
            </w:tr>
            <w:tr w14:paraId="159EF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429" w:type="pct"/>
                  <w:vMerge w:val="continue"/>
                  <w:noWrap w:val="0"/>
                  <w:vAlign w:val="center"/>
                </w:tcPr>
                <w:p w14:paraId="415CA050">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0000FF"/>
                      <w:sz w:val="21"/>
                      <w:szCs w:val="21"/>
                    </w:rPr>
                  </w:pPr>
                </w:p>
              </w:tc>
              <w:tc>
                <w:tcPr>
                  <w:tcW w:w="662" w:type="pct"/>
                  <w:vMerge w:val="restart"/>
                  <w:noWrap w:val="0"/>
                  <w:vAlign w:val="center"/>
                </w:tcPr>
                <w:p w14:paraId="1AB46B46">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宋体" w:cs="Times New Roman"/>
                      <w:color w:val="auto"/>
                      <w:sz w:val="21"/>
                      <w:szCs w:val="21"/>
                      <w:lang w:val="en-US" w:eastAsia="zh-CN"/>
                    </w:rPr>
                    <w:t>废气处理</w:t>
                  </w:r>
                </w:p>
              </w:tc>
              <w:tc>
                <w:tcPr>
                  <w:tcW w:w="389" w:type="pct"/>
                  <w:noWrap w:val="0"/>
                  <w:vAlign w:val="center"/>
                </w:tcPr>
                <w:p w14:paraId="46892A2D">
                  <w:pPr>
                    <w:pStyle w:val="160"/>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lang w:eastAsia="zh-CN"/>
                    </w:rPr>
                  </w:pPr>
                  <w:r>
                    <w:rPr>
                      <w:rFonts w:hint="eastAsia" w:ascii="Times New Roman" w:hAnsi="Times New Roman" w:eastAsia="Times New Roman" w:cs="Times New Roman"/>
                      <w:color w:val="auto"/>
                      <w:sz w:val="21"/>
                      <w:szCs w:val="21"/>
                      <w:lang w:val="en-US" w:eastAsia="zh-CN"/>
                    </w:rPr>
                    <w:t>/</w:t>
                  </w:r>
                </w:p>
              </w:tc>
              <w:tc>
                <w:tcPr>
                  <w:tcW w:w="1430" w:type="pct"/>
                  <w:noWrap w:val="0"/>
                  <w:vAlign w:val="center"/>
                </w:tcPr>
                <w:p w14:paraId="62A81554">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eastAsia="宋体"/>
                      <w:color w:val="auto"/>
                      <w:sz w:val="21"/>
                      <w:szCs w:val="21"/>
                      <w:lang w:val="en-US" w:eastAsia="zh-CN"/>
                    </w:rPr>
                    <w:t>油污</w:t>
                  </w:r>
                  <w:r>
                    <w:rPr>
                      <w:rFonts w:hint="eastAsia"/>
                      <w:color w:val="auto"/>
                      <w:sz w:val="21"/>
                      <w:szCs w:val="21"/>
                      <w:lang w:val="en-US" w:eastAsia="zh-CN"/>
                    </w:rPr>
                    <w:t>、废过滤棉</w:t>
                  </w:r>
                </w:p>
              </w:tc>
              <w:tc>
                <w:tcPr>
                  <w:tcW w:w="2088" w:type="pct"/>
                  <w:vMerge w:val="continue"/>
                  <w:noWrap w:val="0"/>
                  <w:vAlign w:val="center"/>
                </w:tcPr>
                <w:p w14:paraId="6517DDCE">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auto"/>
                      <w:sz w:val="21"/>
                      <w:szCs w:val="21"/>
                      <w:u w:val="none"/>
                    </w:rPr>
                  </w:pPr>
                </w:p>
              </w:tc>
            </w:tr>
            <w:tr w14:paraId="422EA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29" w:type="pct"/>
                  <w:vMerge w:val="continue"/>
                  <w:noWrap w:val="0"/>
                  <w:vAlign w:val="center"/>
                </w:tcPr>
                <w:p w14:paraId="56D2EE30">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0000FF"/>
                      <w:sz w:val="21"/>
                      <w:szCs w:val="21"/>
                    </w:rPr>
                  </w:pPr>
                </w:p>
              </w:tc>
              <w:tc>
                <w:tcPr>
                  <w:tcW w:w="662" w:type="pct"/>
                  <w:vMerge w:val="continue"/>
                  <w:noWrap w:val="0"/>
                  <w:vAlign w:val="center"/>
                </w:tcPr>
                <w:p w14:paraId="780D18AA">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auto"/>
                      <w:sz w:val="21"/>
                      <w:szCs w:val="21"/>
                      <w:lang w:val="en-US" w:eastAsia="zh-CN"/>
                    </w:rPr>
                  </w:pPr>
                </w:p>
              </w:tc>
              <w:tc>
                <w:tcPr>
                  <w:tcW w:w="389" w:type="pct"/>
                  <w:noWrap w:val="0"/>
                  <w:vAlign w:val="center"/>
                </w:tcPr>
                <w:p w14:paraId="3FC4F12E">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auto"/>
                      <w:sz w:val="21"/>
                      <w:szCs w:val="21"/>
                      <w:lang w:val="en-US" w:eastAsia="zh-CN"/>
                    </w:rPr>
                  </w:pPr>
                  <w:r>
                    <w:rPr>
                      <w:rFonts w:hint="eastAsia" w:ascii="Times New Roman" w:hAnsi="Times New Roman" w:eastAsia="Times New Roman" w:cs="Times New Roman"/>
                      <w:color w:val="auto"/>
                      <w:sz w:val="21"/>
                      <w:szCs w:val="21"/>
                      <w:lang w:val="en-US" w:eastAsia="zh-CN"/>
                    </w:rPr>
                    <w:t>/</w:t>
                  </w:r>
                </w:p>
              </w:tc>
              <w:tc>
                <w:tcPr>
                  <w:tcW w:w="1430" w:type="pct"/>
                  <w:noWrap w:val="0"/>
                  <w:vAlign w:val="center"/>
                </w:tcPr>
                <w:p w14:paraId="0A53E6EC">
                  <w:pPr>
                    <w:pStyle w:val="160"/>
                    <w:keepNext w:val="0"/>
                    <w:keepLines w:val="0"/>
                    <w:suppressLineNumbers w:val="0"/>
                    <w:spacing w:before="0" w:beforeAutospacing="0" w:after="0" w:afterAutospacing="0" w:line="240" w:lineRule="auto"/>
                    <w:ind w:left="0" w:right="0" w:firstLine="0" w:firstLineChars="0"/>
                    <w:jc w:val="center"/>
                    <w:rPr>
                      <w:rFonts w:hint="default" w:eastAsia="Times New Roman"/>
                      <w:color w:val="auto"/>
                      <w:sz w:val="21"/>
                      <w:szCs w:val="21"/>
                      <w:lang w:val="en-US"/>
                    </w:rPr>
                  </w:pPr>
                  <w:r>
                    <w:rPr>
                      <w:rFonts w:hint="eastAsia" w:eastAsia="Times New Roman"/>
                      <w:color w:val="auto"/>
                      <w:sz w:val="21"/>
                      <w:szCs w:val="21"/>
                    </w:rPr>
                    <w:t>废活性炭</w:t>
                  </w:r>
                </w:p>
              </w:tc>
              <w:tc>
                <w:tcPr>
                  <w:tcW w:w="2088" w:type="pct"/>
                  <w:vMerge w:val="continue"/>
                  <w:noWrap w:val="0"/>
                  <w:vAlign w:val="center"/>
                </w:tcPr>
                <w:p w14:paraId="3F5D145B">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auto"/>
                      <w:sz w:val="21"/>
                      <w:szCs w:val="21"/>
                      <w:u w:val="none"/>
                    </w:rPr>
                  </w:pPr>
                </w:p>
              </w:tc>
            </w:tr>
            <w:tr w14:paraId="5A7A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429" w:type="pct"/>
                  <w:vMerge w:val="continue"/>
                  <w:noWrap w:val="0"/>
                  <w:vAlign w:val="center"/>
                </w:tcPr>
                <w:p w14:paraId="4B887FDD">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0000FF"/>
                      <w:sz w:val="21"/>
                      <w:szCs w:val="21"/>
                    </w:rPr>
                  </w:pPr>
                </w:p>
              </w:tc>
              <w:tc>
                <w:tcPr>
                  <w:tcW w:w="662" w:type="pct"/>
                  <w:noWrap w:val="0"/>
                  <w:vAlign w:val="center"/>
                </w:tcPr>
                <w:p w14:paraId="5442662C">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职工生活</w:t>
                  </w:r>
                </w:p>
              </w:tc>
              <w:tc>
                <w:tcPr>
                  <w:tcW w:w="389" w:type="pct"/>
                  <w:noWrap w:val="0"/>
                  <w:vAlign w:val="center"/>
                </w:tcPr>
                <w:p w14:paraId="3887A453">
                  <w:pPr>
                    <w:pStyle w:val="160"/>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Times New Roman" w:cs="Times New Roman"/>
                      <w:color w:val="auto"/>
                      <w:sz w:val="21"/>
                      <w:szCs w:val="21"/>
                      <w:lang w:val="en-US" w:eastAsia="zh-CN"/>
                    </w:rPr>
                    <w:t>/</w:t>
                  </w:r>
                </w:p>
              </w:tc>
              <w:tc>
                <w:tcPr>
                  <w:tcW w:w="1430" w:type="pct"/>
                  <w:noWrap w:val="0"/>
                  <w:vAlign w:val="center"/>
                </w:tcPr>
                <w:p w14:paraId="525F1DA5">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生活垃圾</w:t>
                  </w:r>
                </w:p>
              </w:tc>
              <w:tc>
                <w:tcPr>
                  <w:tcW w:w="2088" w:type="pct"/>
                  <w:noWrap w:val="0"/>
                  <w:vAlign w:val="center"/>
                </w:tcPr>
                <w:p w14:paraId="74239716">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auto"/>
                      <w:sz w:val="21"/>
                      <w:szCs w:val="21"/>
                      <w:u w:val="none"/>
                    </w:rPr>
                  </w:pPr>
                  <w:r>
                    <w:rPr>
                      <w:rFonts w:hint="default" w:ascii="Times New Roman" w:hAnsi="Times New Roman" w:eastAsia="Times New Roman" w:cs="Times New Roman"/>
                      <w:color w:val="auto"/>
                      <w:sz w:val="21"/>
                      <w:szCs w:val="21"/>
                      <w:u w:val="none"/>
                    </w:rPr>
                    <w:t>环卫部门定期清运</w:t>
                  </w:r>
                </w:p>
              </w:tc>
            </w:tr>
            <w:tr w14:paraId="1B7C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429" w:type="pct"/>
                  <w:noWrap w:val="0"/>
                  <w:vAlign w:val="center"/>
                </w:tcPr>
                <w:p w14:paraId="1E6801BD">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噪声</w:t>
                  </w:r>
                </w:p>
              </w:tc>
              <w:tc>
                <w:tcPr>
                  <w:tcW w:w="662" w:type="pct"/>
                  <w:noWrap w:val="0"/>
                  <w:vAlign w:val="center"/>
                </w:tcPr>
                <w:p w14:paraId="6AABA04A">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设备运行</w:t>
                  </w:r>
                </w:p>
              </w:tc>
              <w:tc>
                <w:tcPr>
                  <w:tcW w:w="389" w:type="pct"/>
                  <w:noWrap w:val="0"/>
                  <w:vAlign w:val="center"/>
                </w:tcPr>
                <w:p w14:paraId="2695CB9A">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N</w:t>
                  </w:r>
                </w:p>
              </w:tc>
              <w:tc>
                <w:tcPr>
                  <w:tcW w:w="1430" w:type="pct"/>
                  <w:noWrap w:val="0"/>
                  <w:vAlign w:val="center"/>
                </w:tcPr>
                <w:p w14:paraId="345D20AA">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Leq（A）</w:t>
                  </w:r>
                </w:p>
              </w:tc>
              <w:tc>
                <w:tcPr>
                  <w:tcW w:w="2088" w:type="pct"/>
                  <w:noWrap w:val="0"/>
                  <w:vAlign w:val="center"/>
                </w:tcPr>
                <w:p w14:paraId="602C08EF">
                  <w:pPr>
                    <w:pStyle w:val="160"/>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Times New Roman" w:cs="Times New Roman"/>
                      <w:color w:val="auto"/>
                      <w:sz w:val="21"/>
                      <w:szCs w:val="21"/>
                      <w:u w:val="none"/>
                    </w:rPr>
                  </w:pPr>
                  <w:r>
                    <w:rPr>
                      <w:rFonts w:hint="default" w:ascii="Times New Roman" w:hAnsi="Times New Roman" w:eastAsia="Times New Roman" w:cs="Times New Roman"/>
                      <w:color w:val="auto"/>
                      <w:sz w:val="21"/>
                      <w:szCs w:val="21"/>
                      <w:u w:val="none"/>
                    </w:rPr>
                    <w:t>设备选用低噪声设备，采取基础</w:t>
                  </w:r>
                  <w:r>
                    <w:rPr>
                      <w:rFonts w:hint="eastAsia" w:ascii="Times New Roman" w:hAnsi="Times New Roman" w:cs="Times New Roman"/>
                      <w:color w:val="auto"/>
                      <w:sz w:val="21"/>
                      <w:szCs w:val="21"/>
                      <w:u w:val="none"/>
                      <w:lang w:val="en-US" w:eastAsia="zh-CN"/>
                    </w:rPr>
                    <w:t>减振</w:t>
                  </w:r>
                  <w:r>
                    <w:rPr>
                      <w:rFonts w:hint="default" w:ascii="Times New Roman" w:hAnsi="Times New Roman" w:eastAsia="Times New Roman" w:cs="Times New Roman"/>
                      <w:color w:val="auto"/>
                      <w:sz w:val="21"/>
                      <w:szCs w:val="21"/>
                      <w:u w:val="none"/>
                    </w:rPr>
                    <w:t>、加强设备的维护等降噪措施</w:t>
                  </w:r>
                </w:p>
              </w:tc>
            </w:tr>
          </w:tbl>
          <w:p w14:paraId="41F2E440">
            <w:pPr>
              <w:pStyle w:val="4"/>
              <w:suppressLineNumbers w:val="0"/>
              <w:spacing w:beforeAutospacing="0" w:afterAutospacing="0"/>
              <w:ind w:left="0" w:leftChars="0" w:right="0" w:firstLine="0" w:firstLineChars="0"/>
              <w:rPr>
                <w:rFonts w:hint="default" w:ascii="Times New Roman" w:hAnsi="Times New Roman" w:eastAsia="宋体" w:cs="Times New Roman"/>
                <w:color w:val="0000FF"/>
                <w:lang w:eastAsia="zh-CN"/>
              </w:rPr>
            </w:pPr>
          </w:p>
        </w:tc>
      </w:tr>
      <w:tr w14:paraId="443D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515" w:type="dxa"/>
            <w:gridSpan w:val="2"/>
            <w:noWrap w:val="0"/>
            <w:vAlign w:val="center"/>
          </w:tcPr>
          <w:p w14:paraId="520E264D">
            <w:pPr>
              <w:pStyle w:val="6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Times New Roman" w:hAnsi="Times New Roman" w:eastAsia="宋体" w:cs="Times New Roman"/>
                <w:color w:val="auto"/>
                <w:lang w:val="en-US" w:eastAsia="zh-CN"/>
              </w:rPr>
            </w:pPr>
            <w:r>
              <w:rPr>
                <w:rFonts w:hint="default"/>
                <w:color w:val="auto"/>
              </w:rPr>
              <w:t>与项目有关的原有环境污染问题</w:t>
            </w:r>
          </w:p>
        </w:tc>
        <w:tc>
          <w:tcPr>
            <w:tcW w:w="7943" w:type="dxa"/>
            <w:noWrap w:val="0"/>
            <w:vAlign w:val="top"/>
          </w:tcPr>
          <w:p w14:paraId="39833CF3">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b/>
                <w:color w:val="auto"/>
              </w:rPr>
            </w:pPr>
            <w:r>
              <w:rPr>
                <w:rFonts w:hint="default"/>
                <w:snapToGrid w:val="0"/>
                <w:color w:val="auto"/>
                <w:kern w:val="0"/>
                <w:sz w:val="24"/>
              </w:rPr>
              <w:t>本项目位于</w:t>
            </w:r>
            <w:r>
              <w:rPr>
                <w:rFonts w:hint="eastAsia" w:ascii="Times New Roman" w:hAnsi="Times New Roman" w:cs="Times New Roman"/>
                <w:color w:val="auto"/>
                <w:sz w:val="24"/>
                <w:lang w:val="en-US" w:eastAsia="zh-CN"/>
              </w:rPr>
              <w:t>淮南</w:t>
            </w:r>
            <w:r>
              <w:rPr>
                <w:rFonts w:hint="eastAsia" w:ascii="Times New Roman" w:hAnsi="Times New Roman" w:eastAsia="宋体" w:cs="Times New Roman"/>
                <w:color w:val="auto"/>
                <w:sz w:val="24"/>
                <w:lang w:val="en-US" w:eastAsia="zh-CN"/>
              </w:rPr>
              <w:t>市经开区华兴路东侧、庆兴北侧智慧显示产业园</w:t>
            </w:r>
            <w:r>
              <w:rPr>
                <w:rFonts w:hint="eastAsia" w:ascii="Times New Roman" w:hAnsi="Times New Roman" w:cs="Times New Roman"/>
                <w:color w:val="auto"/>
                <w:sz w:val="24"/>
                <w:lang w:val="en-US" w:eastAsia="zh-CN"/>
              </w:rPr>
              <w:t>5#</w:t>
            </w:r>
            <w:r>
              <w:rPr>
                <w:rFonts w:hint="eastAsia" w:ascii="Times New Roman" w:hAnsi="Times New Roman" w:eastAsia="宋体" w:cs="Times New Roman"/>
                <w:color w:val="auto"/>
                <w:sz w:val="24"/>
                <w:lang w:val="en-US" w:eastAsia="zh-CN"/>
              </w:rPr>
              <w:t>厂房（西侧区域）</w:t>
            </w:r>
            <w:r>
              <w:rPr>
                <w:rFonts w:hint="default"/>
                <w:bCs/>
                <w:color w:val="auto"/>
                <w:kern w:val="0"/>
                <w:sz w:val="24"/>
              </w:rPr>
              <w:t>，</w:t>
            </w:r>
            <w:r>
              <w:rPr>
                <w:rFonts w:hint="eastAsia"/>
                <w:color w:val="auto"/>
                <w:sz w:val="24"/>
              </w:rPr>
              <w:t>租赁的厂房现状为闲置厂房</w:t>
            </w:r>
            <w:r>
              <w:rPr>
                <w:rFonts w:hint="eastAsia"/>
                <w:bCs/>
                <w:color w:val="auto"/>
                <w:kern w:val="0"/>
                <w:sz w:val="24"/>
              </w:rPr>
              <w:t>。</w:t>
            </w:r>
            <w:r>
              <w:rPr>
                <w:rFonts w:hint="eastAsia" w:ascii="宋体" w:hAnsi="宋体"/>
                <w:color w:val="auto"/>
                <w:sz w:val="24"/>
              </w:rPr>
              <w:t>本项目为新建项目，不存在与本项目</w:t>
            </w:r>
            <w:r>
              <w:rPr>
                <w:rFonts w:hint="default" w:hAnsi="宋体"/>
                <w:color w:val="auto"/>
                <w:sz w:val="24"/>
              </w:rPr>
              <w:t>有关的原有污染情况及主要环境问题</w:t>
            </w:r>
            <w:r>
              <w:rPr>
                <w:rFonts w:hint="eastAsia" w:hAnsi="宋体"/>
                <w:color w:val="auto"/>
                <w:sz w:val="24"/>
              </w:rPr>
              <w:t>。</w:t>
            </w:r>
          </w:p>
        </w:tc>
      </w:tr>
    </w:tbl>
    <w:p w14:paraId="4BE77816">
      <w:pPr>
        <w:pStyle w:val="46"/>
        <w:spacing w:before="120" w:beforeLines="50" w:beforeAutospacing="0" w:after="0" w:afterAutospacing="0" w:line="360" w:lineRule="auto"/>
        <w:jc w:val="center"/>
        <w:outlineLvl w:val="0"/>
        <w:rPr>
          <w:rFonts w:hint="default" w:ascii="Times New Roman" w:hAnsi="Times New Roman" w:eastAsia="宋体" w:cs="Times New Roman"/>
          <w:snapToGrid w:val="0"/>
          <w:color w:val="0000FF"/>
          <w:sz w:val="28"/>
          <w:szCs w:val="28"/>
        </w:rPr>
        <w:sectPr>
          <w:pgSz w:w="11907" w:h="16840"/>
          <w:pgMar w:top="1440" w:right="1440" w:bottom="1440" w:left="1440" w:header="851" w:footer="851" w:gutter="0"/>
          <w:pgBorders>
            <w:top w:val="none" w:sz="0" w:space="0"/>
            <w:left w:val="none" w:sz="0" w:space="0"/>
            <w:bottom w:val="none" w:sz="0" w:space="0"/>
            <w:right w:val="none" w:sz="0" w:space="0"/>
          </w:pgBorders>
          <w:pgNumType w:fmt="numberInDash"/>
          <w:cols w:space="720" w:num="1"/>
          <w:docGrid w:linePitch="312" w:charSpace="0"/>
        </w:sectPr>
      </w:pPr>
    </w:p>
    <w:p w14:paraId="31BC0A20">
      <w:pPr>
        <w:pStyle w:val="46"/>
        <w:spacing w:before="120" w:beforeLines="50" w:beforeAutospacing="0" w:after="0" w:afterAutospacing="0" w:line="360" w:lineRule="auto"/>
        <w:jc w:val="center"/>
        <w:outlineLvl w:val="0"/>
        <w:rPr>
          <w:rFonts w:hint="default" w:ascii="Times New Roman" w:hAnsi="Times New Roman" w:eastAsia="宋体" w:cs="Times New Roman"/>
          <w:b/>
          <w:snapToGrid w:val="0"/>
          <w:color w:val="0000FF"/>
          <w:sz w:val="28"/>
          <w:szCs w:val="28"/>
        </w:rPr>
      </w:pPr>
      <w:bookmarkStart w:id="7" w:name="_Toc120118374"/>
      <w:r>
        <w:rPr>
          <w:rFonts w:hint="default" w:ascii="Times New Roman" w:hAnsi="Times New Roman" w:eastAsia="宋体" w:cs="Times New Roman"/>
          <w:b/>
          <w:snapToGrid w:val="0"/>
          <w:color w:val="auto"/>
          <w:sz w:val="28"/>
          <w:szCs w:val="28"/>
        </w:rPr>
        <w:t>三、区域环境质量现状、环境保护目标及评价标准</w:t>
      </w:r>
      <w:bookmarkEnd w:id="7"/>
    </w:p>
    <w:tbl>
      <w:tblPr>
        <w:tblStyle w:val="5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8496"/>
      </w:tblGrid>
      <w:tr w14:paraId="65B82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40" w:hRule="atLeast"/>
          <w:jc w:val="center"/>
        </w:trPr>
        <w:tc>
          <w:tcPr>
            <w:tcW w:w="744" w:type="dxa"/>
            <w:noWrap w:val="0"/>
            <w:vAlign w:val="center"/>
          </w:tcPr>
          <w:p w14:paraId="14CC6B1A">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2896AB5E">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5EA2B8B9">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0657640A">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0FBA2784">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63730DB8">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2AD40A0A">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27A9EDEC">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7BDC0C90">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3A496308">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0DF80151">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744C9012">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4DFEF0DC">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6D8B7D18">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区域</w:t>
            </w:r>
          </w:p>
          <w:p w14:paraId="07B88E01">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环境</w:t>
            </w:r>
          </w:p>
          <w:p w14:paraId="584DFDCC">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质量</w:t>
            </w:r>
          </w:p>
          <w:p w14:paraId="2730BE6A">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现状</w:t>
            </w:r>
          </w:p>
          <w:p w14:paraId="19ED2813">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7E46A22A">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4B8B23EA">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02BE466B">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auto"/>
                <w:kern w:val="0"/>
                <w:sz w:val="24"/>
              </w:rPr>
            </w:pPr>
          </w:p>
          <w:p w14:paraId="47FD4E1D">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auto"/>
                <w:kern w:val="0"/>
                <w:sz w:val="24"/>
              </w:rPr>
            </w:pPr>
          </w:p>
          <w:p w14:paraId="7178FD3F">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733F4C04">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2D6955BA">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47D25334">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3A62ED0D">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09957B65">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344B6A53">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7EB7EEC5">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583617D6">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47EF9C55">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2E0AA2AA">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6F9D2AC5">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2BB3AE58">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0DC07B73">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02E0D9A8">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14396AEE">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031087B6">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3EC5302F">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622B970C">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2A1A4EEE">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5BD81805">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58BC075C">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74004559">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7562310B">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区域</w:t>
            </w:r>
          </w:p>
          <w:p w14:paraId="43B79F19">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环境</w:t>
            </w:r>
          </w:p>
          <w:p w14:paraId="213D07F5">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质量</w:t>
            </w:r>
          </w:p>
          <w:p w14:paraId="263CBE33">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现状</w:t>
            </w:r>
          </w:p>
          <w:p w14:paraId="5DB6FFD9">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5F874F10">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667A63B8">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0B2DF39D">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53AA0962">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69521A10">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31D1568A">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034E4B3E">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2B4BFF34">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5D88C70E">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00961435">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5FFD23B3">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2041BD0C">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5FD1579D">
            <w:pPr>
              <w:keepNext w:val="0"/>
              <w:keepLines w:val="0"/>
              <w:suppressLineNumbers w:val="0"/>
              <w:adjustRightInd w:val="0"/>
              <w:spacing w:before="0" w:beforeAutospacing="0" w:after="0" w:afterAutospacing="0"/>
              <w:ind w:left="0" w:right="0"/>
              <w:rPr>
                <w:rFonts w:hint="default" w:ascii="Times New Roman" w:hAnsi="Times New Roman" w:eastAsia="宋体" w:cs="Times New Roman"/>
                <w:color w:val="auto"/>
                <w:kern w:val="0"/>
                <w:sz w:val="24"/>
              </w:rPr>
            </w:pPr>
          </w:p>
          <w:p w14:paraId="324AEE75">
            <w:pPr>
              <w:pStyle w:val="2"/>
              <w:keepNext w:val="0"/>
              <w:keepLines w:val="0"/>
              <w:suppressLineNumbers w:val="0"/>
              <w:spacing w:beforeAutospacing="0" w:afterAutospacing="0" w:line="240" w:lineRule="auto"/>
              <w:ind w:left="0"/>
              <w:rPr>
                <w:rFonts w:hint="default" w:ascii="Times New Roman" w:hAnsi="Times New Roman" w:eastAsia="宋体" w:cs="Times New Roman"/>
                <w:color w:val="auto"/>
              </w:rPr>
            </w:pPr>
          </w:p>
          <w:p w14:paraId="45477257">
            <w:pPr>
              <w:keepNext w:val="0"/>
              <w:keepLines w:val="0"/>
              <w:suppressLineNumbers w:val="0"/>
              <w:adjustRightInd w:val="0"/>
              <w:spacing w:before="0" w:beforeAutospacing="0" w:after="0" w:afterAutospacing="0" w:line="420" w:lineRule="exact"/>
              <w:ind w:left="0" w:right="0"/>
              <w:jc w:val="center"/>
              <w:rPr>
                <w:rFonts w:hint="default" w:ascii="Times New Roman" w:hAnsi="Times New Roman" w:eastAsia="宋体" w:cs="Times New Roman"/>
                <w:color w:val="auto"/>
                <w:kern w:val="0"/>
                <w:sz w:val="24"/>
              </w:rPr>
            </w:pPr>
          </w:p>
          <w:p w14:paraId="21D83E02">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5CB7EF44">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0CAC7EEB">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41BA348A">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7065DCB1">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55DE5523">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4741FE10">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75755F97">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1E187C3E">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442497B5">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1800A018">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0955C4B4">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25D04C15">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60AB1A9D">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区域</w:t>
            </w:r>
          </w:p>
          <w:p w14:paraId="359A970A">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环境</w:t>
            </w:r>
          </w:p>
          <w:p w14:paraId="3635DD84">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质量</w:t>
            </w:r>
          </w:p>
          <w:p w14:paraId="609D1957">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现状</w:t>
            </w:r>
          </w:p>
          <w:p w14:paraId="31491822">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429E09DD">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18A8F96B">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0A622ABB">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072CB3BC">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39304B90">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50D5F4E3">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62EFD1DB">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6C573427">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18345DBE">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1E1E721F">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3268A7D3">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0BEBEA17">
            <w:pPr>
              <w:keepNext w:val="0"/>
              <w:keepLines w:val="0"/>
              <w:suppressLineNumbers w:val="0"/>
              <w:adjustRightInd w:val="0"/>
              <w:spacing w:before="0" w:beforeAutospacing="0" w:after="0" w:afterAutospacing="0" w:line="440" w:lineRule="exact"/>
              <w:ind w:left="0" w:right="0"/>
              <w:jc w:val="center"/>
              <w:rPr>
                <w:rFonts w:hint="eastAsia" w:ascii="Times New Roman" w:hAnsi="Times New Roman" w:eastAsia="宋体" w:cs="Times New Roman"/>
                <w:color w:val="auto"/>
                <w:kern w:val="0"/>
                <w:sz w:val="24"/>
                <w:lang w:eastAsia="zh-CN"/>
              </w:rPr>
            </w:pPr>
          </w:p>
        </w:tc>
        <w:tc>
          <w:tcPr>
            <w:tcW w:w="8496" w:type="dxa"/>
            <w:noWrap w:val="0"/>
            <w:vAlign w:val="top"/>
          </w:tcPr>
          <w:p w14:paraId="32DFA201">
            <w:pPr>
              <w:pStyle w:val="2"/>
              <w:keepNext w:val="0"/>
              <w:keepLines w:val="0"/>
              <w:suppressLineNumbers w:val="0"/>
              <w:snapToGrid/>
              <w:spacing w:before="0" w:beforeAutospacing="0" w:after="0" w:afterAutospacing="0" w:line="440" w:lineRule="exact"/>
              <w:ind w:left="0" w:right="122" w:firstLine="482" w:firstLineChars="200"/>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1、环境空气质量现状</w:t>
            </w:r>
          </w:p>
          <w:p w14:paraId="4493D777">
            <w:pPr>
              <w:keepNext w:val="0"/>
              <w:keepLines w:val="0"/>
              <w:suppressLineNumbers w:val="0"/>
              <w:spacing w:before="0" w:beforeAutospacing="0" w:after="0" w:afterAutospacing="0" w:line="440" w:lineRule="exact"/>
              <w:ind w:left="0" w:right="0" w:firstLine="482"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（1）达标区判定</w:t>
            </w:r>
          </w:p>
          <w:p w14:paraId="38728B61">
            <w:pPr>
              <w:keepNext w:val="0"/>
              <w:keepLines w:val="0"/>
              <w:pageBreakBefore w:val="0"/>
              <w:suppressLineNumbers w:val="0"/>
              <w:kinsoku/>
              <w:wordWrap/>
              <w:overflowPunct/>
              <w:topLinePunct w:val="0"/>
              <w:autoSpaceDE/>
              <w:autoSpaceDN/>
              <w:bidi w:val="0"/>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Cs/>
                <w:color w:val="auto"/>
                <w:sz w:val="24"/>
              </w:rPr>
            </w:pPr>
            <w:r>
              <w:rPr>
                <w:rFonts w:hint="default" w:ascii="Times New Roman" w:hAnsi="宋体" w:eastAsia="宋体" w:cs="Times New Roman"/>
                <w:bCs/>
                <w:color w:val="auto"/>
                <w:sz w:val="24"/>
              </w:rPr>
              <w:t>根据《环境影响评价技术导则</w:t>
            </w:r>
            <w:r>
              <w:rPr>
                <w:rFonts w:hint="default" w:ascii="Times New Roman" w:hAnsi="Times New Roman" w:eastAsia="宋体" w:cs="Times New Roman"/>
                <w:bCs/>
                <w:color w:val="auto"/>
                <w:sz w:val="24"/>
              </w:rPr>
              <w:t xml:space="preserve"> </w:t>
            </w:r>
            <w:r>
              <w:rPr>
                <w:rFonts w:hint="default" w:ascii="Times New Roman" w:hAnsi="宋体" w:eastAsia="宋体" w:cs="Times New Roman"/>
                <w:bCs/>
                <w:color w:val="auto"/>
                <w:sz w:val="24"/>
              </w:rPr>
              <w:t>大气环境》（</w:t>
            </w:r>
            <w:r>
              <w:rPr>
                <w:rFonts w:hint="default" w:ascii="Times New Roman" w:hAnsi="Times New Roman" w:eastAsia="宋体" w:cs="Times New Roman"/>
                <w:bCs/>
                <w:color w:val="auto"/>
                <w:sz w:val="24"/>
              </w:rPr>
              <w:t>HJ2.2-2018</w:t>
            </w:r>
            <w:r>
              <w:rPr>
                <w:rFonts w:hint="default" w:ascii="Times New Roman" w:hAnsi="宋体" w:eastAsia="宋体" w:cs="Times New Roman"/>
                <w:bCs/>
                <w:color w:val="auto"/>
                <w:sz w:val="24"/>
              </w:rPr>
              <w:t>），依据评价所需环境空气质量现状数据选择近</w:t>
            </w:r>
            <w:r>
              <w:rPr>
                <w:rFonts w:hint="default" w:ascii="Times New Roman" w:hAnsi="Times New Roman" w:eastAsia="宋体" w:cs="Times New Roman"/>
                <w:bCs/>
                <w:color w:val="auto"/>
                <w:sz w:val="24"/>
              </w:rPr>
              <w:t>3</w:t>
            </w:r>
            <w:r>
              <w:rPr>
                <w:rFonts w:hint="default" w:ascii="Times New Roman" w:hAnsi="宋体" w:eastAsia="宋体" w:cs="Times New Roman"/>
                <w:bCs/>
                <w:color w:val="auto"/>
                <w:sz w:val="24"/>
              </w:rPr>
              <w:t>年中数据相对完整的</w:t>
            </w:r>
            <w:r>
              <w:rPr>
                <w:rFonts w:hint="default" w:ascii="Times New Roman" w:hAnsi="Times New Roman" w:eastAsia="宋体" w:cs="Times New Roman"/>
                <w:bCs/>
                <w:color w:val="auto"/>
                <w:sz w:val="24"/>
              </w:rPr>
              <w:t>1</w:t>
            </w:r>
            <w:r>
              <w:rPr>
                <w:rFonts w:hint="default" w:ascii="Times New Roman" w:hAnsi="宋体" w:eastAsia="宋体" w:cs="Times New Roman"/>
                <w:bCs/>
                <w:color w:val="auto"/>
                <w:sz w:val="24"/>
              </w:rPr>
              <w:t>个日历年作为评价基准年。判定优先采用国家或地方生态环境主管部门公开发布的评价基准年环境质量公告或环境质量报告中的数据或结论。数据来源符合要求。</w:t>
            </w:r>
          </w:p>
          <w:p w14:paraId="1A593EDB">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szCs w:val="24"/>
              </w:rPr>
            </w:pPr>
            <w:r>
              <w:rPr>
                <w:rFonts w:hint="eastAsia"/>
                <w:color w:val="auto"/>
                <w:lang w:val="en-US" w:eastAsia="zh-CN"/>
              </w:rPr>
              <w:t>本次评价选取2025年作为评价基准年。</w:t>
            </w:r>
            <w:r>
              <w:rPr>
                <w:rFonts w:hint="default"/>
                <w:color w:val="auto"/>
                <w:lang w:val="en-US" w:eastAsia="zh-CN"/>
              </w:rPr>
              <w:t>根据《</w:t>
            </w:r>
            <w:r>
              <w:rPr>
                <w:rFonts w:hint="default" w:ascii="Times New Roman" w:hAnsi="Times New Roman"/>
                <w:color w:val="auto"/>
              </w:rPr>
              <w:t>202</w:t>
            </w:r>
            <w:r>
              <w:rPr>
                <w:rFonts w:hint="eastAsia" w:ascii="Times New Roman" w:hAnsi="Times New Roman"/>
                <w:color w:val="auto"/>
                <w:lang w:val="en-US" w:eastAsia="zh-CN"/>
              </w:rPr>
              <w:t>5</w:t>
            </w:r>
            <w:r>
              <w:rPr>
                <w:rFonts w:hint="default" w:ascii="Times New Roman" w:hAnsi="Times New Roman"/>
                <w:color w:val="auto"/>
              </w:rPr>
              <w:t>年淮南市生态环境质量状况公报</w:t>
            </w:r>
            <w:r>
              <w:rPr>
                <w:rFonts w:hint="default"/>
                <w:color w:val="auto"/>
                <w:lang w:val="en-US" w:eastAsia="zh-CN"/>
              </w:rPr>
              <w:t>》</w:t>
            </w:r>
            <w:r>
              <w:rPr>
                <w:rFonts w:hint="default"/>
                <w:color w:val="auto"/>
              </w:rPr>
              <w:t>：</w:t>
            </w:r>
            <w:r>
              <w:rPr>
                <w:rFonts w:hint="eastAsia" w:ascii="Times New Roman" w:hAnsi="宋体" w:eastAsia="宋体" w:cs="Times New Roman"/>
                <w:bCs/>
                <w:color w:val="auto"/>
                <w:kern w:val="2"/>
                <w:szCs w:val="24"/>
                <w:lang w:val="en-US" w:eastAsia="zh-CN" w:bidi="ar-SA"/>
              </w:rPr>
              <w:t>细颗粒物（PM2.5）年均浓度为</w:t>
            </w:r>
            <w:r>
              <w:rPr>
                <w:rFonts w:hint="eastAsia" w:hAnsi="宋体" w:cs="Times New Roman"/>
                <w:bCs/>
                <w:color w:val="auto"/>
                <w:kern w:val="2"/>
                <w:szCs w:val="24"/>
                <w:lang w:val="en-US" w:eastAsia="zh-CN" w:bidi="ar-SA"/>
              </w:rPr>
              <w:t>37.1</w:t>
            </w:r>
            <w:r>
              <w:rPr>
                <w:rFonts w:hint="eastAsia" w:ascii="Times New Roman" w:hAnsi="宋体" w:eastAsia="宋体" w:cs="Times New Roman"/>
                <w:bCs/>
                <w:color w:val="auto"/>
                <w:kern w:val="2"/>
                <w:szCs w:val="24"/>
                <w:lang w:val="en-US" w:eastAsia="zh-CN" w:bidi="ar-SA"/>
              </w:rPr>
              <w:t>微克/立方米，达到国家二级标准限值；可吸入颗粒物（PM10）年均值浓度为</w:t>
            </w:r>
            <w:r>
              <w:rPr>
                <w:rFonts w:hint="eastAsia" w:hAnsi="宋体" w:cs="Times New Roman"/>
                <w:bCs/>
                <w:color w:val="auto"/>
                <w:kern w:val="2"/>
                <w:szCs w:val="24"/>
                <w:lang w:val="en-US" w:eastAsia="zh-CN" w:bidi="ar-SA"/>
              </w:rPr>
              <w:t>61</w:t>
            </w:r>
            <w:r>
              <w:rPr>
                <w:rFonts w:hint="eastAsia" w:ascii="Times New Roman" w:hAnsi="宋体" w:eastAsia="宋体" w:cs="Times New Roman"/>
                <w:bCs/>
                <w:color w:val="auto"/>
                <w:kern w:val="2"/>
                <w:szCs w:val="24"/>
                <w:lang w:val="en-US" w:eastAsia="zh-CN" w:bidi="ar-SA"/>
              </w:rPr>
              <w:t>微克/立方米，达到国家二级标准限值；二氧化硫年均值浓度为</w:t>
            </w:r>
            <w:r>
              <w:rPr>
                <w:rFonts w:hint="eastAsia" w:hAnsi="宋体" w:cs="Times New Roman"/>
                <w:bCs/>
                <w:color w:val="auto"/>
                <w:kern w:val="2"/>
                <w:szCs w:val="24"/>
                <w:lang w:val="en-US" w:eastAsia="zh-CN" w:bidi="ar-SA"/>
              </w:rPr>
              <w:t>18</w:t>
            </w:r>
            <w:r>
              <w:rPr>
                <w:rFonts w:hint="eastAsia" w:ascii="Times New Roman" w:hAnsi="宋体" w:eastAsia="宋体" w:cs="Times New Roman"/>
                <w:bCs/>
                <w:color w:val="auto"/>
                <w:kern w:val="2"/>
                <w:szCs w:val="24"/>
                <w:lang w:val="en-US" w:eastAsia="zh-CN" w:bidi="ar-SA"/>
              </w:rPr>
              <w:t>微克/立方米，达到国家一级标准限值；二氧化氮年均值浓度为</w:t>
            </w:r>
            <w:r>
              <w:rPr>
                <w:rFonts w:hint="eastAsia" w:hAnsi="宋体" w:cs="Times New Roman"/>
                <w:bCs/>
                <w:color w:val="auto"/>
                <w:kern w:val="2"/>
                <w:szCs w:val="24"/>
                <w:lang w:val="en-US" w:eastAsia="zh-CN" w:bidi="ar-SA"/>
              </w:rPr>
              <w:t>18</w:t>
            </w:r>
            <w:r>
              <w:rPr>
                <w:rFonts w:hint="eastAsia" w:ascii="Times New Roman" w:hAnsi="宋体" w:eastAsia="宋体" w:cs="Times New Roman"/>
                <w:bCs/>
                <w:color w:val="auto"/>
                <w:kern w:val="2"/>
                <w:szCs w:val="24"/>
                <w:lang w:val="en-US" w:eastAsia="zh-CN" w:bidi="ar-SA"/>
              </w:rPr>
              <w:t>微克/立方米，达到国家一级标准限值；一氧化碳日均值第95百分位浓度为</w:t>
            </w:r>
            <w:r>
              <w:rPr>
                <w:rFonts w:hint="eastAsia" w:hAnsi="宋体" w:cs="Times New Roman"/>
                <w:bCs/>
                <w:color w:val="auto"/>
                <w:kern w:val="2"/>
                <w:szCs w:val="24"/>
                <w:lang w:val="en-US" w:eastAsia="zh-CN" w:bidi="ar-SA"/>
              </w:rPr>
              <w:t>0.8</w:t>
            </w:r>
            <w:r>
              <w:rPr>
                <w:rFonts w:hint="eastAsia" w:ascii="Times New Roman" w:hAnsi="宋体" w:eastAsia="宋体" w:cs="Times New Roman"/>
                <w:bCs/>
                <w:color w:val="auto"/>
                <w:kern w:val="2"/>
                <w:szCs w:val="24"/>
                <w:lang w:val="en-US" w:eastAsia="zh-CN" w:bidi="ar-SA"/>
              </w:rPr>
              <w:t>毫克/立方米，达到国家一级标准限值；</w:t>
            </w:r>
            <w:r>
              <w:rPr>
                <w:rFonts w:hint="eastAsia" w:ascii="Times New Roman" w:hAnsi="宋体" w:eastAsia="宋体" w:cs="Times New Roman"/>
                <w:bCs/>
                <w:color w:val="auto"/>
                <w:kern w:val="2"/>
                <w:szCs w:val="24"/>
                <w:highlight w:val="none"/>
                <w:lang w:val="en-US" w:eastAsia="zh-CN" w:bidi="ar-SA"/>
              </w:rPr>
              <w:t>臭氧日最大8小时平均值第90百分位浓度为1</w:t>
            </w:r>
            <w:r>
              <w:rPr>
                <w:rFonts w:hint="eastAsia" w:hAnsi="宋体" w:cs="Times New Roman"/>
                <w:bCs/>
                <w:color w:val="auto"/>
                <w:kern w:val="2"/>
                <w:szCs w:val="24"/>
                <w:highlight w:val="none"/>
                <w:lang w:val="en-US" w:eastAsia="zh-CN" w:bidi="ar-SA"/>
              </w:rPr>
              <w:t>49</w:t>
            </w:r>
            <w:r>
              <w:rPr>
                <w:rFonts w:hint="eastAsia" w:ascii="Times New Roman" w:hAnsi="宋体" w:eastAsia="宋体" w:cs="Times New Roman"/>
                <w:bCs/>
                <w:color w:val="auto"/>
                <w:kern w:val="2"/>
                <w:szCs w:val="24"/>
                <w:highlight w:val="none"/>
                <w:lang w:val="en-US" w:eastAsia="zh-CN" w:bidi="ar-SA"/>
              </w:rPr>
              <w:t>微克/立方米</w:t>
            </w:r>
            <w:r>
              <w:rPr>
                <w:rFonts w:hint="eastAsia" w:hAnsi="宋体" w:cs="Times New Roman"/>
                <w:bCs/>
                <w:color w:val="auto"/>
                <w:kern w:val="2"/>
                <w:szCs w:val="24"/>
                <w:highlight w:val="none"/>
                <w:lang w:val="en-US" w:eastAsia="zh-CN" w:bidi="ar-SA"/>
              </w:rPr>
              <w:t>，</w:t>
            </w:r>
            <w:r>
              <w:rPr>
                <w:rFonts w:hint="eastAsia" w:ascii="Times New Roman" w:hAnsi="宋体" w:eastAsia="宋体" w:cs="Times New Roman"/>
                <w:bCs/>
                <w:color w:val="auto"/>
                <w:kern w:val="2"/>
                <w:szCs w:val="24"/>
                <w:highlight w:val="none"/>
                <w:lang w:val="en-US" w:eastAsia="zh-CN" w:bidi="ar-SA"/>
              </w:rPr>
              <w:t>达到国家二级标准限值。</w:t>
            </w:r>
            <w:r>
              <w:rPr>
                <w:rFonts w:hint="default" w:ascii="Times New Roman" w:hAnsi="宋体" w:eastAsia="宋体" w:cs="Times New Roman"/>
                <w:color w:val="auto"/>
                <w:szCs w:val="24"/>
              </w:rPr>
              <w:t>评价结果详见下表</w:t>
            </w:r>
            <w:r>
              <w:rPr>
                <w:rFonts w:hint="default" w:ascii="Times New Roman" w:hAnsi="Times New Roman" w:eastAsia="宋体" w:cs="Times New Roman"/>
                <w:color w:val="auto"/>
                <w:szCs w:val="24"/>
              </w:rPr>
              <w:t>3-1</w:t>
            </w:r>
            <w:r>
              <w:rPr>
                <w:rFonts w:hint="default" w:ascii="Times New Roman" w:hAnsi="宋体" w:eastAsia="宋体" w:cs="Times New Roman"/>
                <w:color w:val="auto"/>
                <w:szCs w:val="24"/>
              </w:rPr>
              <w:t>。</w:t>
            </w:r>
          </w:p>
          <w:p w14:paraId="5DA9E3D9">
            <w:pPr>
              <w:pStyle w:val="46"/>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440" w:lineRule="exact"/>
              <w:ind w:left="0" w:right="0"/>
              <w:jc w:val="center"/>
              <w:textAlignment w:val="auto"/>
              <w:rPr>
                <w:rFonts w:hint="default" w:ascii="Times New Roman" w:hAnsi="Times New Roman" w:eastAsia="宋体" w:cs="Times New Roman"/>
                <w:b/>
                <w:bCs/>
                <w:color w:val="auto"/>
                <w:kern w:val="2"/>
                <w:sz w:val="21"/>
                <w:szCs w:val="21"/>
                <w:lang w:val="en-US" w:eastAsia="zh-CN"/>
              </w:rPr>
            </w:pPr>
            <w:r>
              <w:rPr>
                <w:rFonts w:hint="default" w:ascii="Times New Roman" w:eastAsia="宋体" w:cs="Times New Roman"/>
                <w:b/>
                <w:bCs/>
                <w:color w:val="auto"/>
                <w:kern w:val="2"/>
                <w:sz w:val="21"/>
                <w:szCs w:val="21"/>
              </w:rPr>
              <w:t>表</w:t>
            </w:r>
            <w:r>
              <w:rPr>
                <w:rFonts w:hint="default" w:ascii="Times New Roman" w:hAnsi="Times New Roman" w:eastAsia="宋体" w:cs="Times New Roman"/>
                <w:b/>
                <w:bCs/>
                <w:color w:val="auto"/>
                <w:kern w:val="2"/>
                <w:sz w:val="21"/>
                <w:szCs w:val="21"/>
              </w:rPr>
              <w:t xml:space="preserve">3-1  </w:t>
            </w:r>
            <w:r>
              <w:rPr>
                <w:rFonts w:hint="default" w:ascii="Times New Roman" w:eastAsia="宋体" w:cs="Times New Roman"/>
                <w:b/>
                <w:bCs/>
                <w:color w:val="auto"/>
                <w:kern w:val="2"/>
                <w:sz w:val="21"/>
                <w:szCs w:val="21"/>
              </w:rPr>
              <w:t>项目区域基本污染物环境质量现状评价一览表</w:t>
            </w:r>
            <w:r>
              <w:rPr>
                <w:rFonts w:hint="eastAsia" w:ascii="Times New Roman" w:eastAsia="宋体" w:cs="Times New Roman"/>
                <w:b/>
                <w:bCs/>
                <w:color w:val="auto"/>
                <w:kern w:val="2"/>
                <w:sz w:val="21"/>
                <w:szCs w:val="21"/>
                <w:lang w:val="en-US" w:eastAsia="zh-CN"/>
              </w:rPr>
              <w:t xml:space="preserve">     单位：</w:t>
            </w:r>
            <w:r>
              <w:rPr>
                <w:rFonts w:hint="default" w:eastAsia="宋体" w:cs="Times New Roman"/>
                <w:b/>
                <w:bCs/>
                <w:color w:val="auto"/>
                <w:szCs w:val="21"/>
              </w:rPr>
              <w:t>ug/m</w:t>
            </w:r>
            <w:r>
              <w:rPr>
                <w:rFonts w:hint="default" w:eastAsia="宋体" w:cs="Times New Roman"/>
                <w:b/>
                <w:bCs/>
                <w:color w:val="auto"/>
                <w:szCs w:val="21"/>
                <w:vertAlign w:val="superscript"/>
              </w:rPr>
              <w:t>3</w:t>
            </w:r>
          </w:p>
          <w:tbl>
            <w:tblPr>
              <w:tblStyle w:val="52"/>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94"/>
              <w:gridCol w:w="2143"/>
              <w:gridCol w:w="1134"/>
              <w:gridCol w:w="985"/>
              <w:gridCol w:w="970"/>
              <w:gridCol w:w="1074"/>
              <w:gridCol w:w="1068"/>
            </w:tblGrid>
            <w:tr w14:paraId="1248D6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540" w:type="pct"/>
                  <w:tcBorders>
                    <w:tl2br w:val="nil"/>
                    <w:tr2bl w:val="nil"/>
                  </w:tcBorders>
                  <w:noWrap w:val="0"/>
                  <w:vAlign w:val="center"/>
                </w:tcPr>
                <w:p w14:paraId="7EED6D1F">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污染物</w:t>
                  </w:r>
                </w:p>
              </w:tc>
              <w:tc>
                <w:tcPr>
                  <w:tcW w:w="1296" w:type="pct"/>
                  <w:tcBorders>
                    <w:tl2br w:val="nil"/>
                    <w:tr2bl w:val="nil"/>
                  </w:tcBorders>
                  <w:noWrap w:val="0"/>
                  <w:vAlign w:val="center"/>
                </w:tcPr>
                <w:p w14:paraId="0AF6877C">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年评价指标</w:t>
                  </w:r>
                </w:p>
              </w:tc>
              <w:tc>
                <w:tcPr>
                  <w:tcW w:w="685" w:type="pct"/>
                  <w:tcBorders>
                    <w:tl2br w:val="nil"/>
                    <w:tr2bl w:val="nil"/>
                  </w:tcBorders>
                  <w:noWrap w:val="0"/>
                  <w:vAlign w:val="center"/>
                </w:tcPr>
                <w:p w14:paraId="36D25FC9">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现状浓度</w:t>
                  </w:r>
                </w:p>
              </w:tc>
              <w:tc>
                <w:tcPr>
                  <w:tcW w:w="595" w:type="pct"/>
                  <w:tcBorders>
                    <w:tl2br w:val="nil"/>
                    <w:tr2bl w:val="nil"/>
                  </w:tcBorders>
                  <w:noWrap w:val="0"/>
                  <w:vAlign w:val="center"/>
                </w:tcPr>
                <w:p w14:paraId="648C7A17">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标准值</w:t>
                  </w:r>
                </w:p>
              </w:tc>
              <w:tc>
                <w:tcPr>
                  <w:tcW w:w="586" w:type="pct"/>
                  <w:tcBorders>
                    <w:tl2br w:val="nil"/>
                    <w:tr2bl w:val="nil"/>
                  </w:tcBorders>
                  <w:noWrap w:val="0"/>
                  <w:vAlign w:val="center"/>
                </w:tcPr>
                <w:p w14:paraId="23FFB34A">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占标率</w:t>
                  </w:r>
                </w:p>
              </w:tc>
              <w:tc>
                <w:tcPr>
                  <w:tcW w:w="649" w:type="pct"/>
                  <w:tcBorders>
                    <w:right w:val="single" w:color="auto" w:sz="4" w:space="0"/>
                    <w:tl2br w:val="nil"/>
                    <w:tr2bl w:val="nil"/>
                  </w:tcBorders>
                  <w:noWrap w:val="0"/>
                  <w:vAlign w:val="center"/>
                </w:tcPr>
                <w:p w14:paraId="4B1D2821">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bCs/>
                      <w:color w:val="auto"/>
                      <w:szCs w:val="21"/>
                      <w:lang w:val="en-US" w:eastAsia="zh-CN"/>
                    </w:rPr>
                  </w:pPr>
                  <w:r>
                    <w:rPr>
                      <w:rFonts w:hint="default" w:ascii="Times New Roman" w:hAnsi="Times New Roman" w:eastAsia="宋体" w:cs="Times New Roman"/>
                      <w:b/>
                      <w:bCs/>
                      <w:color w:val="auto"/>
                      <w:szCs w:val="21"/>
                      <w:lang w:val="en-US" w:eastAsia="zh-CN"/>
                    </w:rPr>
                    <w:t>超标倍数</w:t>
                  </w:r>
                </w:p>
              </w:tc>
              <w:tc>
                <w:tcPr>
                  <w:tcW w:w="645" w:type="pct"/>
                  <w:tcBorders>
                    <w:left w:val="single" w:color="auto" w:sz="4" w:space="0"/>
                    <w:tl2br w:val="nil"/>
                    <w:tr2bl w:val="nil"/>
                  </w:tcBorders>
                  <w:noWrap w:val="0"/>
                  <w:vAlign w:val="center"/>
                </w:tcPr>
                <w:p w14:paraId="6CE57B81">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达标情况</w:t>
                  </w:r>
                </w:p>
              </w:tc>
            </w:tr>
            <w:tr w14:paraId="19D936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540" w:type="pct"/>
                  <w:tcBorders>
                    <w:tl2br w:val="nil"/>
                    <w:tr2bl w:val="nil"/>
                  </w:tcBorders>
                  <w:noWrap w:val="0"/>
                  <w:vAlign w:val="center"/>
                </w:tcPr>
                <w:p w14:paraId="4A083B1C">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SO</w:t>
                  </w:r>
                  <w:r>
                    <w:rPr>
                      <w:rFonts w:hint="default" w:ascii="Times New Roman" w:hAnsi="Times New Roman" w:eastAsia="宋体" w:cs="Times New Roman"/>
                      <w:color w:val="auto"/>
                      <w:szCs w:val="21"/>
                      <w:vertAlign w:val="subscript"/>
                    </w:rPr>
                    <w:t>2</w:t>
                  </w:r>
                </w:p>
              </w:tc>
              <w:tc>
                <w:tcPr>
                  <w:tcW w:w="1296" w:type="pct"/>
                  <w:tcBorders>
                    <w:tl2br w:val="nil"/>
                    <w:tr2bl w:val="nil"/>
                  </w:tcBorders>
                  <w:noWrap w:val="0"/>
                  <w:vAlign w:val="center"/>
                </w:tcPr>
                <w:p w14:paraId="22AF09CF">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年平均质量浓度</w:t>
                  </w:r>
                </w:p>
              </w:tc>
              <w:tc>
                <w:tcPr>
                  <w:tcW w:w="685" w:type="pct"/>
                  <w:tcBorders>
                    <w:tl2br w:val="nil"/>
                    <w:tr2bl w:val="nil"/>
                  </w:tcBorders>
                  <w:noWrap w:val="0"/>
                  <w:vAlign w:val="center"/>
                </w:tcPr>
                <w:p w14:paraId="3F7440A2">
                  <w:pPr>
                    <w:keepNext w:val="0"/>
                    <w:keepLines w:val="0"/>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7</w:t>
                  </w:r>
                </w:p>
              </w:tc>
              <w:tc>
                <w:tcPr>
                  <w:tcW w:w="595" w:type="pct"/>
                  <w:tcBorders>
                    <w:tl2br w:val="nil"/>
                    <w:tr2bl w:val="nil"/>
                  </w:tcBorders>
                  <w:noWrap w:val="0"/>
                  <w:vAlign w:val="center"/>
                </w:tcPr>
                <w:p w14:paraId="462F8E65">
                  <w:pPr>
                    <w:keepNext w:val="0"/>
                    <w:keepLines w:val="0"/>
                    <w:widowControl/>
                    <w:suppressLineNumbers w:val="0"/>
                    <w:adjustRightInd w:val="0"/>
                    <w:spacing w:before="0" w:beforeAutospacing="0" w:after="0" w:afterAutospacing="0" w:line="320" w:lineRule="exact"/>
                    <w:ind w:left="0" w:right="0"/>
                    <w:jc w:val="center"/>
                    <w:rPr>
                      <w:rFonts w:hint="default" w:ascii="Times New Roman" w:hAnsi="Times New Roman" w:eastAsia="宋体" w:cs="Times New Roman"/>
                      <w:color w:val="auto"/>
                      <w:szCs w:val="21"/>
                    </w:rPr>
                  </w:pPr>
                  <w:r>
                    <w:rPr>
                      <w:rFonts w:hint="default" w:ascii="Times New Roman" w:hAnsi="Times New Roman" w:eastAsia="Times New Roman" w:cs="Times New Roman"/>
                      <w:color w:val="auto"/>
                      <w:szCs w:val="21"/>
                      <w:lang w:bidi="ar"/>
                    </w:rPr>
                    <w:t>60</w:t>
                  </w:r>
                </w:p>
              </w:tc>
              <w:tc>
                <w:tcPr>
                  <w:tcW w:w="970" w:type="dxa"/>
                  <w:tcBorders>
                    <w:tl2br w:val="nil"/>
                    <w:tr2bl w:val="nil"/>
                  </w:tcBorders>
                  <w:noWrap w:val="0"/>
                  <w:vAlign w:val="center"/>
                </w:tcPr>
                <w:p w14:paraId="2D1DDAE9">
                  <w:pPr>
                    <w:keepNext w:val="0"/>
                    <w:keepLines w:val="0"/>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11.67%</w:t>
                  </w:r>
                </w:p>
              </w:tc>
              <w:tc>
                <w:tcPr>
                  <w:tcW w:w="649" w:type="pct"/>
                  <w:tcBorders>
                    <w:right w:val="single" w:color="auto" w:sz="4" w:space="0"/>
                    <w:tl2br w:val="nil"/>
                    <w:tr2bl w:val="nil"/>
                  </w:tcBorders>
                  <w:noWrap w:val="0"/>
                  <w:vAlign w:val="center"/>
                </w:tcPr>
                <w:p w14:paraId="145D4661">
                  <w:pPr>
                    <w:keepNext w:val="0"/>
                    <w:keepLines w:val="0"/>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c>
                <w:tcPr>
                  <w:tcW w:w="645" w:type="pct"/>
                  <w:tcBorders>
                    <w:left w:val="single" w:color="auto" w:sz="4" w:space="0"/>
                    <w:tl2br w:val="nil"/>
                    <w:tr2bl w:val="nil"/>
                  </w:tcBorders>
                  <w:noWrap w:val="0"/>
                  <w:vAlign w:val="center"/>
                </w:tcPr>
                <w:p w14:paraId="6B78716E">
                  <w:pPr>
                    <w:keepNext w:val="0"/>
                    <w:keepLines w:val="0"/>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达标</w:t>
                  </w:r>
                </w:p>
              </w:tc>
            </w:tr>
            <w:tr w14:paraId="3DEC0E3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540" w:type="pct"/>
                  <w:tcBorders>
                    <w:tl2br w:val="nil"/>
                    <w:tr2bl w:val="nil"/>
                  </w:tcBorders>
                  <w:noWrap w:val="0"/>
                  <w:vAlign w:val="center"/>
                </w:tcPr>
                <w:p w14:paraId="26B7D1E2">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NO</w:t>
                  </w:r>
                  <w:r>
                    <w:rPr>
                      <w:rFonts w:hint="default" w:ascii="Times New Roman" w:hAnsi="Times New Roman" w:eastAsia="宋体" w:cs="Times New Roman"/>
                      <w:color w:val="auto"/>
                      <w:szCs w:val="21"/>
                      <w:vertAlign w:val="subscript"/>
                    </w:rPr>
                    <w:t>2</w:t>
                  </w:r>
                </w:p>
              </w:tc>
              <w:tc>
                <w:tcPr>
                  <w:tcW w:w="1296" w:type="pct"/>
                  <w:tcBorders>
                    <w:tl2br w:val="nil"/>
                    <w:tr2bl w:val="nil"/>
                  </w:tcBorders>
                  <w:noWrap w:val="0"/>
                  <w:vAlign w:val="center"/>
                </w:tcPr>
                <w:p w14:paraId="451DC0AB">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年平均质量浓度</w:t>
                  </w:r>
                </w:p>
              </w:tc>
              <w:tc>
                <w:tcPr>
                  <w:tcW w:w="685" w:type="pct"/>
                  <w:tcBorders>
                    <w:tl2br w:val="nil"/>
                    <w:tr2bl w:val="nil"/>
                  </w:tcBorders>
                  <w:noWrap w:val="0"/>
                  <w:vAlign w:val="center"/>
                </w:tcPr>
                <w:p w14:paraId="016FF398">
                  <w:pPr>
                    <w:keepNext w:val="0"/>
                    <w:keepLines w:val="0"/>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18</w:t>
                  </w:r>
                </w:p>
              </w:tc>
              <w:tc>
                <w:tcPr>
                  <w:tcW w:w="595" w:type="pct"/>
                  <w:tcBorders>
                    <w:tl2br w:val="nil"/>
                    <w:tr2bl w:val="nil"/>
                  </w:tcBorders>
                  <w:noWrap w:val="0"/>
                  <w:vAlign w:val="center"/>
                </w:tcPr>
                <w:p w14:paraId="234DABA6">
                  <w:pPr>
                    <w:keepNext w:val="0"/>
                    <w:keepLines w:val="0"/>
                    <w:widowControl/>
                    <w:suppressLineNumbers w:val="0"/>
                    <w:adjustRightInd w:val="0"/>
                    <w:spacing w:before="0" w:beforeAutospacing="0" w:after="0" w:afterAutospacing="0" w:line="320" w:lineRule="exact"/>
                    <w:ind w:left="0" w:right="0"/>
                    <w:jc w:val="center"/>
                    <w:rPr>
                      <w:rFonts w:hint="default" w:ascii="Times New Roman" w:hAnsi="Times New Roman" w:eastAsia="宋体" w:cs="Times New Roman"/>
                      <w:color w:val="auto"/>
                      <w:szCs w:val="21"/>
                    </w:rPr>
                  </w:pPr>
                  <w:r>
                    <w:rPr>
                      <w:rFonts w:hint="default" w:ascii="Times New Roman" w:hAnsi="Times New Roman" w:eastAsia="Times New Roman" w:cs="Times New Roman"/>
                      <w:color w:val="auto"/>
                      <w:szCs w:val="21"/>
                      <w:lang w:bidi="ar"/>
                    </w:rPr>
                    <w:t>40</w:t>
                  </w:r>
                </w:p>
              </w:tc>
              <w:tc>
                <w:tcPr>
                  <w:tcW w:w="970" w:type="dxa"/>
                  <w:tcBorders>
                    <w:tl2br w:val="nil"/>
                    <w:tr2bl w:val="nil"/>
                  </w:tcBorders>
                  <w:noWrap w:val="0"/>
                  <w:vAlign w:val="center"/>
                </w:tcPr>
                <w:p w14:paraId="283F5E4A">
                  <w:pPr>
                    <w:keepNext w:val="0"/>
                    <w:keepLines w:val="0"/>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45.00%</w:t>
                  </w:r>
                </w:p>
              </w:tc>
              <w:tc>
                <w:tcPr>
                  <w:tcW w:w="649" w:type="pct"/>
                  <w:tcBorders>
                    <w:right w:val="single" w:color="auto" w:sz="4" w:space="0"/>
                    <w:tl2br w:val="nil"/>
                    <w:tr2bl w:val="nil"/>
                  </w:tcBorders>
                  <w:noWrap w:val="0"/>
                  <w:vAlign w:val="center"/>
                </w:tcPr>
                <w:p w14:paraId="2E1BFB72">
                  <w:pPr>
                    <w:keepNext w:val="0"/>
                    <w:keepLines w:val="0"/>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c>
                <w:tcPr>
                  <w:tcW w:w="645" w:type="pct"/>
                  <w:tcBorders>
                    <w:left w:val="single" w:color="auto" w:sz="4" w:space="0"/>
                    <w:tl2br w:val="nil"/>
                    <w:tr2bl w:val="nil"/>
                  </w:tcBorders>
                  <w:noWrap w:val="0"/>
                  <w:vAlign w:val="center"/>
                </w:tcPr>
                <w:p w14:paraId="5D2F6FC5">
                  <w:pPr>
                    <w:keepNext w:val="0"/>
                    <w:keepLines w:val="0"/>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达标</w:t>
                  </w:r>
                </w:p>
              </w:tc>
            </w:tr>
            <w:tr w14:paraId="7FF062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540" w:type="pct"/>
                  <w:tcBorders>
                    <w:tl2br w:val="nil"/>
                    <w:tr2bl w:val="nil"/>
                  </w:tcBorders>
                  <w:noWrap w:val="0"/>
                  <w:vAlign w:val="center"/>
                </w:tcPr>
                <w:p w14:paraId="3AAE4034">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PM</w:t>
                  </w:r>
                  <w:r>
                    <w:rPr>
                      <w:rFonts w:hint="default" w:ascii="Times New Roman" w:hAnsi="Times New Roman" w:eastAsia="宋体" w:cs="Times New Roman"/>
                      <w:color w:val="auto"/>
                      <w:szCs w:val="21"/>
                      <w:vertAlign w:val="subscript"/>
                    </w:rPr>
                    <w:t>10</w:t>
                  </w:r>
                </w:p>
              </w:tc>
              <w:tc>
                <w:tcPr>
                  <w:tcW w:w="1296" w:type="pct"/>
                  <w:tcBorders>
                    <w:tl2br w:val="nil"/>
                    <w:tr2bl w:val="nil"/>
                  </w:tcBorders>
                  <w:noWrap w:val="0"/>
                  <w:vAlign w:val="center"/>
                </w:tcPr>
                <w:p w14:paraId="6F8DB085">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年平均质量浓度</w:t>
                  </w:r>
                </w:p>
              </w:tc>
              <w:tc>
                <w:tcPr>
                  <w:tcW w:w="1134" w:type="dxa"/>
                  <w:tcBorders>
                    <w:tl2br w:val="nil"/>
                    <w:tr2bl w:val="nil"/>
                  </w:tcBorders>
                  <w:noWrap w:val="0"/>
                  <w:vAlign w:val="center"/>
                </w:tcPr>
                <w:p w14:paraId="43649CCF">
                  <w:pPr>
                    <w:keepNext w:val="0"/>
                    <w:keepLines w:val="0"/>
                    <w:suppressLineNumbers w:val="0"/>
                    <w:spacing w:before="0" w:beforeAutospacing="0" w:after="0" w:afterAutospacing="0" w:line="360" w:lineRule="exact"/>
                    <w:ind w:left="0" w:leftChars="0" w:right="0" w:rightChars="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61</w:t>
                  </w:r>
                </w:p>
              </w:tc>
              <w:tc>
                <w:tcPr>
                  <w:tcW w:w="595" w:type="pct"/>
                  <w:tcBorders>
                    <w:tl2br w:val="nil"/>
                    <w:tr2bl w:val="nil"/>
                  </w:tcBorders>
                  <w:noWrap w:val="0"/>
                  <w:vAlign w:val="center"/>
                </w:tcPr>
                <w:p w14:paraId="12B953FF">
                  <w:pPr>
                    <w:keepNext w:val="0"/>
                    <w:keepLines w:val="0"/>
                    <w:widowControl/>
                    <w:suppressLineNumbers w:val="0"/>
                    <w:adjustRightInd w:val="0"/>
                    <w:spacing w:before="0" w:beforeAutospacing="0" w:after="0" w:afterAutospacing="0" w:line="320" w:lineRule="exact"/>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bidi="ar"/>
                    </w:rPr>
                    <w:t>6</w:t>
                  </w:r>
                  <w:r>
                    <w:rPr>
                      <w:rFonts w:hint="default" w:ascii="Times New Roman" w:hAnsi="Times New Roman" w:eastAsia="Times New Roman" w:cs="Times New Roman"/>
                      <w:color w:val="auto"/>
                      <w:szCs w:val="21"/>
                      <w:lang w:bidi="ar"/>
                    </w:rPr>
                    <w:t>0</w:t>
                  </w:r>
                </w:p>
              </w:tc>
              <w:tc>
                <w:tcPr>
                  <w:tcW w:w="970" w:type="dxa"/>
                  <w:tcBorders>
                    <w:tl2br w:val="nil"/>
                    <w:tr2bl w:val="nil"/>
                  </w:tcBorders>
                  <w:noWrap w:val="0"/>
                  <w:vAlign w:val="center"/>
                </w:tcPr>
                <w:p w14:paraId="63654C65">
                  <w:pPr>
                    <w:keepNext w:val="0"/>
                    <w:keepLines w:val="0"/>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101.67%</w:t>
                  </w:r>
                </w:p>
              </w:tc>
              <w:tc>
                <w:tcPr>
                  <w:tcW w:w="649" w:type="pct"/>
                  <w:tcBorders>
                    <w:right w:val="single" w:color="auto" w:sz="4" w:space="0"/>
                    <w:tl2br w:val="nil"/>
                    <w:tr2bl w:val="nil"/>
                  </w:tcBorders>
                  <w:noWrap w:val="0"/>
                  <w:vAlign w:val="center"/>
                </w:tcPr>
                <w:p w14:paraId="4E564943">
                  <w:pPr>
                    <w:keepNext w:val="0"/>
                    <w:keepLines w:val="0"/>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1.67%</w:t>
                  </w:r>
                </w:p>
              </w:tc>
              <w:tc>
                <w:tcPr>
                  <w:tcW w:w="645" w:type="pct"/>
                  <w:tcBorders>
                    <w:left w:val="single" w:color="auto" w:sz="4" w:space="0"/>
                    <w:tl2br w:val="nil"/>
                    <w:tr2bl w:val="nil"/>
                  </w:tcBorders>
                  <w:noWrap w:val="0"/>
                  <w:vAlign w:val="center"/>
                </w:tcPr>
                <w:p w14:paraId="6DE29307">
                  <w:pPr>
                    <w:keepNext w:val="0"/>
                    <w:keepLines w:val="0"/>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超标</w:t>
                  </w:r>
                </w:p>
              </w:tc>
            </w:tr>
            <w:tr w14:paraId="3D17679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540" w:type="pct"/>
                  <w:tcBorders>
                    <w:tl2br w:val="nil"/>
                    <w:tr2bl w:val="nil"/>
                  </w:tcBorders>
                  <w:noWrap w:val="0"/>
                  <w:vAlign w:val="center"/>
                </w:tcPr>
                <w:p w14:paraId="126E9585">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PM</w:t>
                  </w:r>
                  <w:r>
                    <w:rPr>
                      <w:rFonts w:hint="default" w:ascii="Times New Roman" w:hAnsi="Times New Roman" w:eastAsia="宋体" w:cs="Times New Roman"/>
                      <w:color w:val="auto"/>
                      <w:szCs w:val="21"/>
                      <w:vertAlign w:val="subscript"/>
                    </w:rPr>
                    <w:t>2.5</w:t>
                  </w:r>
                </w:p>
              </w:tc>
              <w:tc>
                <w:tcPr>
                  <w:tcW w:w="1296" w:type="pct"/>
                  <w:tcBorders>
                    <w:tl2br w:val="nil"/>
                    <w:tr2bl w:val="nil"/>
                  </w:tcBorders>
                  <w:noWrap w:val="0"/>
                  <w:vAlign w:val="center"/>
                </w:tcPr>
                <w:p w14:paraId="463CE9FF">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年平均质量浓度</w:t>
                  </w:r>
                </w:p>
              </w:tc>
              <w:tc>
                <w:tcPr>
                  <w:tcW w:w="1134" w:type="dxa"/>
                  <w:tcBorders>
                    <w:tl2br w:val="nil"/>
                    <w:tr2bl w:val="nil"/>
                  </w:tcBorders>
                  <w:noWrap w:val="0"/>
                  <w:vAlign w:val="center"/>
                </w:tcPr>
                <w:p w14:paraId="3E2C0F06">
                  <w:pPr>
                    <w:keepNext w:val="0"/>
                    <w:keepLines w:val="0"/>
                    <w:suppressLineNumbers w:val="0"/>
                    <w:spacing w:before="0" w:beforeAutospacing="0" w:after="0" w:afterAutospacing="0" w:line="360" w:lineRule="exact"/>
                    <w:ind w:left="0" w:leftChars="0" w:right="0" w:rightChars="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37.1</w:t>
                  </w:r>
                </w:p>
              </w:tc>
              <w:tc>
                <w:tcPr>
                  <w:tcW w:w="595" w:type="pct"/>
                  <w:tcBorders>
                    <w:tl2br w:val="nil"/>
                    <w:tr2bl w:val="nil"/>
                  </w:tcBorders>
                  <w:noWrap w:val="0"/>
                  <w:vAlign w:val="center"/>
                </w:tcPr>
                <w:p w14:paraId="444FB9A8">
                  <w:pPr>
                    <w:keepNext w:val="0"/>
                    <w:keepLines w:val="0"/>
                    <w:widowControl/>
                    <w:suppressLineNumbers w:val="0"/>
                    <w:adjustRightInd w:val="0"/>
                    <w:spacing w:before="0" w:beforeAutospacing="0" w:after="0" w:afterAutospacing="0" w:line="320" w:lineRule="exact"/>
                    <w:ind w:left="0" w:right="0"/>
                    <w:jc w:val="center"/>
                    <w:rPr>
                      <w:rFonts w:hint="default" w:ascii="Times New Roman" w:hAnsi="Times New Roman" w:eastAsia="宋体" w:cs="Times New Roman"/>
                      <w:color w:val="auto"/>
                      <w:szCs w:val="21"/>
                      <w:lang w:eastAsia="zh-CN"/>
                    </w:rPr>
                  </w:pPr>
                  <w:r>
                    <w:rPr>
                      <w:rFonts w:hint="default" w:ascii="Times New Roman" w:hAnsi="Times New Roman" w:eastAsia="Times New Roman" w:cs="Times New Roman"/>
                      <w:color w:val="auto"/>
                      <w:szCs w:val="21"/>
                      <w:lang w:bidi="ar"/>
                    </w:rPr>
                    <w:t>3</w:t>
                  </w:r>
                  <w:r>
                    <w:rPr>
                      <w:rFonts w:hint="default" w:ascii="Times New Roman" w:hAnsi="Times New Roman" w:eastAsia="宋体" w:cs="Times New Roman"/>
                      <w:color w:val="auto"/>
                      <w:szCs w:val="21"/>
                      <w:lang w:val="en-US" w:eastAsia="zh-CN" w:bidi="ar"/>
                    </w:rPr>
                    <w:t>0</w:t>
                  </w:r>
                </w:p>
              </w:tc>
              <w:tc>
                <w:tcPr>
                  <w:tcW w:w="970" w:type="dxa"/>
                  <w:tcBorders>
                    <w:tl2br w:val="nil"/>
                    <w:tr2bl w:val="nil"/>
                  </w:tcBorders>
                  <w:noWrap w:val="0"/>
                  <w:vAlign w:val="center"/>
                </w:tcPr>
                <w:p w14:paraId="30D94C81">
                  <w:pPr>
                    <w:keepNext w:val="0"/>
                    <w:keepLines w:val="0"/>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123.67%</w:t>
                  </w:r>
                </w:p>
              </w:tc>
              <w:tc>
                <w:tcPr>
                  <w:tcW w:w="649" w:type="pct"/>
                  <w:tcBorders>
                    <w:right w:val="single" w:color="auto" w:sz="4" w:space="0"/>
                    <w:tl2br w:val="nil"/>
                    <w:tr2bl w:val="nil"/>
                  </w:tcBorders>
                  <w:noWrap w:val="0"/>
                  <w:vAlign w:val="center"/>
                </w:tcPr>
                <w:p w14:paraId="1277366B">
                  <w:pPr>
                    <w:keepNext w:val="0"/>
                    <w:keepLines w:val="0"/>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23.67%</w:t>
                  </w:r>
                </w:p>
              </w:tc>
              <w:tc>
                <w:tcPr>
                  <w:tcW w:w="645" w:type="pct"/>
                  <w:tcBorders>
                    <w:left w:val="single" w:color="auto" w:sz="4" w:space="0"/>
                    <w:tl2br w:val="nil"/>
                    <w:tr2bl w:val="nil"/>
                  </w:tcBorders>
                  <w:noWrap w:val="0"/>
                  <w:vAlign w:val="center"/>
                </w:tcPr>
                <w:p w14:paraId="0980CFD3">
                  <w:pPr>
                    <w:keepNext w:val="0"/>
                    <w:keepLines w:val="0"/>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超标</w:t>
                  </w:r>
                </w:p>
              </w:tc>
            </w:tr>
            <w:tr w14:paraId="482D98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540" w:type="pct"/>
                  <w:tcBorders>
                    <w:tl2br w:val="nil"/>
                    <w:tr2bl w:val="nil"/>
                  </w:tcBorders>
                  <w:noWrap w:val="0"/>
                  <w:vAlign w:val="center"/>
                </w:tcPr>
                <w:p w14:paraId="62EEAD7E">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CO</w:t>
                  </w:r>
                </w:p>
              </w:tc>
              <w:tc>
                <w:tcPr>
                  <w:tcW w:w="1296" w:type="pct"/>
                  <w:tcBorders>
                    <w:tl2br w:val="nil"/>
                    <w:tr2bl w:val="nil"/>
                  </w:tcBorders>
                  <w:noWrap w:val="0"/>
                  <w:vAlign w:val="center"/>
                </w:tcPr>
                <w:p w14:paraId="1CBBB427">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24小时平均第95百分位数</w:t>
                  </w:r>
                </w:p>
              </w:tc>
              <w:tc>
                <w:tcPr>
                  <w:tcW w:w="1134" w:type="dxa"/>
                  <w:tcBorders>
                    <w:tl2br w:val="nil"/>
                    <w:tr2bl w:val="nil"/>
                  </w:tcBorders>
                  <w:noWrap w:val="0"/>
                  <w:vAlign w:val="center"/>
                </w:tcPr>
                <w:p w14:paraId="7C6E8511">
                  <w:pPr>
                    <w:keepNext w:val="0"/>
                    <w:keepLines w:val="0"/>
                    <w:suppressLineNumbers w:val="0"/>
                    <w:spacing w:before="0" w:beforeAutospacing="0" w:after="0" w:afterAutospacing="0" w:line="360" w:lineRule="exact"/>
                    <w:ind w:left="0" w:leftChars="0" w:right="0" w:rightChars="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800</w:t>
                  </w:r>
                </w:p>
              </w:tc>
              <w:tc>
                <w:tcPr>
                  <w:tcW w:w="595" w:type="pct"/>
                  <w:tcBorders>
                    <w:tl2br w:val="nil"/>
                    <w:tr2bl w:val="nil"/>
                  </w:tcBorders>
                  <w:noWrap w:val="0"/>
                  <w:vAlign w:val="center"/>
                </w:tcPr>
                <w:p w14:paraId="3AB00F7B">
                  <w:pPr>
                    <w:keepNext w:val="0"/>
                    <w:keepLines w:val="0"/>
                    <w:widowControl/>
                    <w:suppressLineNumbers w:val="0"/>
                    <w:adjustRightInd w:val="0"/>
                    <w:spacing w:before="0" w:beforeAutospacing="0" w:after="0" w:afterAutospacing="0" w:line="320" w:lineRule="exact"/>
                    <w:ind w:left="0" w:right="0"/>
                    <w:jc w:val="center"/>
                    <w:rPr>
                      <w:rFonts w:hint="default" w:ascii="Times New Roman" w:hAnsi="Times New Roman" w:eastAsia="宋体" w:cs="Times New Roman"/>
                      <w:color w:val="auto"/>
                      <w:szCs w:val="21"/>
                    </w:rPr>
                  </w:pPr>
                  <w:r>
                    <w:rPr>
                      <w:rFonts w:hint="default" w:ascii="Times New Roman" w:hAnsi="Times New Roman" w:eastAsia="Times New Roman" w:cs="Times New Roman"/>
                      <w:color w:val="auto"/>
                      <w:szCs w:val="21"/>
                      <w:lang w:bidi="ar"/>
                    </w:rPr>
                    <w:t>4000</w:t>
                  </w:r>
                </w:p>
              </w:tc>
              <w:tc>
                <w:tcPr>
                  <w:tcW w:w="970" w:type="dxa"/>
                  <w:tcBorders>
                    <w:tl2br w:val="nil"/>
                    <w:tr2bl w:val="nil"/>
                  </w:tcBorders>
                  <w:noWrap w:val="0"/>
                  <w:vAlign w:val="center"/>
                </w:tcPr>
                <w:p w14:paraId="3AB090C0">
                  <w:pPr>
                    <w:keepNext w:val="0"/>
                    <w:keepLines w:val="0"/>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20.00%</w:t>
                  </w:r>
                </w:p>
              </w:tc>
              <w:tc>
                <w:tcPr>
                  <w:tcW w:w="649" w:type="pct"/>
                  <w:tcBorders>
                    <w:right w:val="single" w:color="auto" w:sz="4" w:space="0"/>
                    <w:tl2br w:val="nil"/>
                    <w:tr2bl w:val="nil"/>
                  </w:tcBorders>
                  <w:noWrap w:val="0"/>
                  <w:vAlign w:val="center"/>
                </w:tcPr>
                <w:p w14:paraId="18404997">
                  <w:pPr>
                    <w:keepNext w:val="0"/>
                    <w:keepLines w:val="0"/>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c>
                <w:tcPr>
                  <w:tcW w:w="645" w:type="pct"/>
                  <w:tcBorders>
                    <w:left w:val="single" w:color="auto" w:sz="4" w:space="0"/>
                    <w:tl2br w:val="nil"/>
                    <w:tr2bl w:val="nil"/>
                  </w:tcBorders>
                  <w:noWrap w:val="0"/>
                  <w:vAlign w:val="center"/>
                </w:tcPr>
                <w:p w14:paraId="7E968DCD">
                  <w:pPr>
                    <w:keepNext w:val="0"/>
                    <w:keepLines w:val="0"/>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达标</w:t>
                  </w:r>
                </w:p>
              </w:tc>
            </w:tr>
            <w:tr w14:paraId="1EDFB7D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540" w:type="pct"/>
                  <w:tcBorders>
                    <w:tl2br w:val="nil"/>
                    <w:tr2bl w:val="nil"/>
                  </w:tcBorders>
                  <w:noWrap w:val="0"/>
                  <w:vAlign w:val="center"/>
                </w:tcPr>
                <w:p w14:paraId="7A7CF68C">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O</w:t>
                  </w:r>
                  <w:r>
                    <w:rPr>
                      <w:rFonts w:hint="default" w:ascii="Times New Roman" w:hAnsi="Times New Roman" w:eastAsia="宋体" w:cs="Times New Roman"/>
                      <w:color w:val="auto"/>
                      <w:szCs w:val="21"/>
                      <w:vertAlign w:val="subscript"/>
                    </w:rPr>
                    <w:t>3</w:t>
                  </w:r>
                </w:p>
              </w:tc>
              <w:tc>
                <w:tcPr>
                  <w:tcW w:w="1296" w:type="pct"/>
                  <w:tcBorders>
                    <w:tl2br w:val="nil"/>
                    <w:tr2bl w:val="nil"/>
                  </w:tcBorders>
                  <w:noWrap w:val="0"/>
                  <w:vAlign w:val="center"/>
                </w:tcPr>
                <w:p w14:paraId="6899B7CC">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日最大8小时平均值的第90百分位数</w:t>
                  </w:r>
                </w:p>
              </w:tc>
              <w:tc>
                <w:tcPr>
                  <w:tcW w:w="1134" w:type="dxa"/>
                  <w:tcBorders>
                    <w:tl2br w:val="nil"/>
                    <w:tr2bl w:val="nil"/>
                  </w:tcBorders>
                  <w:noWrap w:val="0"/>
                  <w:vAlign w:val="center"/>
                </w:tcPr>
                <w:p w14:paraId="11DC81E2">
                  <w:pPr>
                    <w:keepNext w:val="0"/>
                    <w:keepLines w:val="0"/>
                    <w:suppressLineNumbers w:val="0"/>
                    <w:spacing w:before="0" w:beforeAutospacing="0" w:after="0" w:afterAutospacing="0" w:line="360" w:lineRule="exact"/>
                    <w:ind w:left="0" w:leftChars="0" w:right="0" w:rightChars="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149</w:t>
                  </w:r>
                </w:p>
              </w:tc>
              <w:tc>
                <w:tcPr>
                  <w:tcW w:w="595" w:type="pct"/>
                  <w:tcBorders>
                    <w:tl2br w:val="nil"/>
                    <w:tr2bl w:val="nil"/>
                  </w:tcBorders>
                  <w:noWrap w:val="0"/>
                  <w:vAlign w:val="center"/>
                </w:tcPr>
                <w:p w14:paraId="2E42FA53">
                  <w:pPr>
                    <w:keepNext w:val="0"/>
                    <w:keepLines w:val="0"/>
                    <w:widowControl/>
                    <w:suppressLineNumbers w:val="0"/>
                    <w:adjustRightInd w:val="0"/>
                    <w:spacing w:before="0" w:beforeAutospacing="0" w:after="0" w:afterAutospacing="0" w:line="320" w:lineRule="exact"/>
                    <w:ind w:left="0" w:right="0"/>
                    <w:jc w:val="center"/>
                    <w:rPr>
                      <w:rFonts w:hint="default" w:ascii="Times New Roman" w:hAnsi="Times New Roman" w:eastAsia="宋体" w:cs="Times New Roman"/>
                      <w:color w:val="auto"/>
                      <w:szCs w:val="21"/>
                    </w:rPr>
                  </w:pPr>
                  <w:r>
                    <w:rPr>
                      <w:rFonts w:hint="default" w:ascii="Times New Roman" w:hAnsi="Times New Roman" w:eastAsia="Times New Roman" w:cs="Times New Roman"/>
                      <w:color w:val="auto"/>
                      <w:szCs w:val="21"/>
                      <w:lang w:bidi="ar"/>
                    </w:rPr>
                    <w:t>160</w:t>
                  </w:r>
                </w:p>
              </w:tc>
              <w:tc>
                <w:tcPr>
                  <w:tcW w:w="970" w:type="dxa"/>
                  <w:tcBorders>
                    <w:tl2br w:val="nil"/>
                    <w:tr2bl w:val="nil"/>
                  </w:tcBorders>
                  <w:noWrap w:val="0"/>
                  <w:vAlign w:val="center"/>
                </w:tcPr>
                <w:p w14:paraId="05D7A0D8">
                  <w:pPr>
                    <w:keepNext w:val="0"/>
                    <w:keepLines w:val="0"/>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93.13%</w:t>
                  </w:r>
                </w:p>
              </w:tc>
              <w:tc>
                <w:tcPr>
                  <w:tcW w:w="649" w:type="pct"/>
                  <w:tcBorders>
                    <w:right w:val="single" w:color="auto" w:sz="4" w:space="0"/>
                    <w:tl2br w:val="nil"/>
                    <w:tr2bl w:val="nil"/>
                  </w:tcBorders>
                  <w:noWrap w:val="0"/>
                  <w:vAlign w:val="center"/>
                </w:tcPr>
                <w:p w14:paraId="429C7A45">
                  <w:pPr>
                    <w:keepNext w:val="0"/>
                    <w:keepLines w:val="0"/>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c>
                <w:tcPr>
                  <w:tcW w:w="645" w:type="pct"/>
                  <w:tcBorders>
                    <w:left w:val="single" w:color="auto" w:sz="4" w:space="0"/>
                    <w:tl2br w:val="nil"/>
                    <w:tr2bl w:val="nil"/>
                  </w:tcBorders>
                  <w:noWrap w:val="0"/>
                  <w:vAlign w:val="center"/>
                </w:tcPr>
                <w:p w14:paraId="0BD85777">
                  <w:pPr>
                    <w:keepNext w:val="0"/>
                    <w:keepLines w:val="0"/>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达标</w:t>
                  </w:r>
                </w:p>
              </w:tc>
            </w:tr>
          </w:tbl>
          <w:p w14:paraId="2A548A57">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440" w:lineRule="atLeast"/>
              <w:ind w:left="0" w:right="0"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由上表可知，202</w:t>
            </w:r>
            <w:r>
              <w:rPr>
                <w:rFonts w:hint="default" w:ascii="Times New Roman" w:hAnsi="Times New Roman" w:cs="Times New Roman"/>
                <w:color w:val="auto"/>
                <w:sz w:val="24"/>
                <w:lang w:val="en-US" w:eastAsia="zh-CN"/>
              </w:rPr>
              <w:t>5</w:t>
            </w:r>
            <w:r>
              <w:rPr>
                <w:rFonts w:hint="default" w:ascii="Times New Roman" w:hAnsi="Times New Roman" w:eastAsia="宋体" w:cs="Times New Roman"/>
                <w:color w:val="auto"/>
                <w:sz w:val="24"/>
              </w:rPr>
              <w:t>年度</w:t>
            </w:r>
            <w:r>
              <w:rPr>
                <w:rFonts w:hint="eastAsia" w:ascii="Times New Roman" w:hAnsi="Times New Roman" w:cs="Times New Roman"/>
                <w:color w:val="auto"/>
                <w:sz w:val="24"/>
                <w:lang w:val="en-US" w:eastAsia="zh-CN"/>
              </w:rPr>
              <w:t>淮南</w:t>
            </w:r>
            <w:r>
              <w:rPr>
                <w:rFonts w:hint="default" w:ascii="Times New Roman" w:hAnsi="Times New Roman" w:eastAsia="宋体" w:cs="Times New Roman"/>
                <w:color w:val="auto"/>
                <w:sz w:val="24"/>
              </w:rPr>
              <w:t>市环境空气质量中SO</w:t>
            </w:r>
            <w:r>
              <w:rPr>
                <w:rFonts w:hint="default" w:ascii="Times New Roman" w:hAnsi="Times New Roman" w:eastAsia="宋体" w:cs="Times New Roman"/>
                <w:color w:val="auto"/>
                <w:sz w:val="24"/>
                <w:vertAlign w:val="subscript"/>
              </w:rPr>
              <w:t>2</w:t>
            </w:r>
            <w:r>
              <w:rPr>
                <w:rFonts w:hint="default" w:ascii="Times New Roman" w:hAnsi="Times New Roman" w:eastAsia="宋体" w:cs="Times New Roman"/>
                <w:color w:val="auto"/>
                <w:sz w:val="24"/>
              </w:rPr>
              <w:t>、NO</w:t>
            </w:r>
            <w:r>
              <w:rPr>
                <w:rFonts w:hint="default" w:ascii="Times New Roman" w:hAnsi="Times New Roman" w:eastAsia="宋体" w:cs="Times New Roman"/>
                <w:color w:val="auto"/>
                <w:sz w:val="24"/>
                <w:vertAlign w:val="subscript"/>
              </w:rPr>
              <w:t>2</w:t>
            </w:r>
            <w:r>
              <w:rPr>
                <w:rFonts w:hint="default" w:ascii="Times New Roman" w:hAnsi="Times New Roman" w:eastAsia="宋体" w:cs="Times New Roman"/>
                <w:color w:val="auto"/>
                <w:sz w:val="24"/>
              </w:rPr>
              <w:t>、CO、O</w:t>
            </w:r>
            <w:r>
              <w:rPr>
                <w:rFonts w:hint="default" w:ascii="Times New Roman" w:hAnsi="Times New Roman" w:eastAsia="宋体" w:cs="Times New Roman"/>
                <w:color w:val="auto"/>
                <w:sz w:val="24"/>
                <w:vertAlign w:val="subscript"/>
              </w:rPr>
              <w:t>3</w:t>
            </w:r>
            <w:r>
              <w:rPr>
                <w:rFonts w:hint="default" w:ascii="Times New Roman" w:hAnsi="Times New Roman" w:eastAsia="宋体" w:cs="Times New Roman"/>
                <w:color w:val="auto"/>
                <w:sz w:val="24"/>
              </w:rPr>
              <w:t>年均浓度和百分位数质量浓度均可满足《环境空气质量标准》（GB3095-20</w:t>
            </w:r>
            <w:r>
              <w:rPr>
                <w:rFonts w:hint="default" w:ascii="Times New Roman" w:hAnsi="Times New Roman" w:cs="Times New Roman"/>
                <w:color w:val="auto"/>
                <w:sz w:val="24"/>
                <w:lang w:val="en-US" w:eastAsia="zh-CN"/>
              </w:rPr>
              <w:t>26</w:t>
            </w:r>
            <w:r>
              <w:rPr>
                <w:rFonts w:hint="default" w:ascii="Times New Roman" w:hAnsi="Times New Roman" w:eastAsia="宋体" w:cs="Times New Roman"/>
                <w:color w:val="auto"/>
                <w:sz w:val="24"/>
              </w:rPr>
              <w:t>）二级标准要求，PM</w:t>
            </w:r>
            <w:r>
              <w:rPr>
                <w:rFonts w:hint="default" w:ascii="Times New Roman" w:hAnsi="Times New Roman" w:eastAsia="宋体" w:cs="Times New Roman"/>
                <w:color w:val="auto"/>
                <w:sz w:val="24"/>
                <w:vertAlign w:val="subscript"/>
              </w:rPr>
              <w:t>10</w:t>
            </w:r>
            <w:r>
              <w:rPr>
                <w:rFonts w:hint="default" w:ascii="Times New Roman" w:hAnsi="Times New Roman" w:eastAsia="宋体" w:cs="Times New Roman"/>
                <w:color w:val="auto"/>
                <w:sz w:val="24"/>
              </w:rPr>
              <w:t>、PM</w:t>
            </w:r>
            <w:r>
              <w:rPr>
                <w:rFonts w:hint="default" w:ascii="Times New Roman" w:hAnsi="Times New Roman" w:eastAsia="宋体" w:cs="Times New Roman"/>
                <w:color w:val="auto"/>
                <w:sz w:val="24"/>
                <w:vertAlign w:val="subscript"/>
              </w:rPr>
              <w:t>2.5</w:t>
            </w:r>
            <w:r>
              <w:rPr>
                <w:rFonts w:hint="default" w:ascii="Times New Roman" w:hAnsi="Times New Roman" w:cs="Times New Roman"/>
                <w:color w:val="auto"/>
                <w:sz w:val="24"/>
                <w:lang w:val="en-US" w:eastAsia="zh-CN"/>
              </w:rPr>
              <w:t>年平均质量浓度</w:t>
            </w:r>
            <w:r>
              <w:rPr>
                <w:rFonts w:hint="default" w:ascii="Times New Roman" w:hAnsi="Times New Roman" w:eastAsia="宋体" w:cs="Times New Roman"/>
                <w:color w:val="auto"/>
                <w:sz w:val="24"/>
              </w:rPr>
              <w:t>超标。</w:t>
            </w:r>
            <w:r>
              <w:rPr>
                <w:rFonts w:hint="default" w:ascii="Times New Roman" w:hAnsi="Times New Roman" w:cs="Times New Roman"/>
                <w:color w:val="auto"/>
                <w:sz w:val="24"/>
                <w:lang w:val="en-US" w:eastAsia="zh-CN"/>
              </w:rPr>
              <w:t>因此，</w:t>
            </w:r>
            <w:r>
              <w:rPr>
                <w:rFonts w:hint="eastAsia" w:ascii="Times New Roman" w:hAnsi="Times New Roman" w:cs="Times New Roman"/>
                <w:color w:val="auto"/>
                <w:sz w:val="24"/>
                <w:lang w:val="en-US" w:eastAsia="zh-CN"/>
              </w:rPr>
              <w:t>淮南</w:t>
            </w:r>
            <w:r>
              <w:rPr>
                <w:rFonts w:hint="default" w:ascii="Times New Roman" w:hAnsi="Times New Roman" w:eastAsia="宋体" w:cs="Times New Roman"/>
                <w:color w:val="auto"/>
                <w:sz w:val="24"/>
              </w:rPr>
              <w:t>市属于空气质量不达标区。</w:t>
            </w:r>
          </w:p>
          <w:p w14:paraId="07AB8EF6">
            <w:pPr>
              <w:keepNext w:val="0"/>
              <w:keepLines w:val="0"/>
              <w:suppressLineNumbers w:val="0"/>
              <w:adjustRightInd w:val="0"/>
              <w:spacing w:before="0" w:beforeAutospacing="0" w:after="0" w:afterAutospacing="0" w:line="440" w:lineRule="atLeast"/>
              <w:ind w:left="0" w:right="0" w:firstLine="361" w:firstLineChars="150"/>
              <w:rPr>
                <w:rFonts w:hint="default" w:ascii="Times New Roman" w:hAnsi="Times New Roman" w:eastAsia="宋体" w:cs="Times New Roman"/>
                <w:b/>
                <w:bCs/>
                <w:color w:val="0000FF"/>
                <w:sz w:val="24"/>
              </w:rPr>
            </w:pPr>
            <w:r>
              <w:rPr>
                <w:rFonts w:hint="default" w:ascii="Times New Roman" w:hAnsi="Times New Roman" w:eastAsia="宋体" w:cs="Times New Roman"/>
                <w:b/>
                <w:bCs/>
                <w:color w:val="auto"/>
                <w:sz w:val="24"/>
              </w:rPr>
              <w:t>（2）特征污染因子现状监测</w:t>
            </w:r>
          </w:p>
          <w:p w14:paraId="654ED6C8">
            <w:pPr>
              <w:keepNext w:val="0"/>
              <w:keepLines w:val="0"/>
              <w:suppressLineNumbers w:val="0"/>
              <w:adjustRightInd w:val="0"/>
              <w:spacing w:before="0" w:beforeAutospacing="0" w:after="0" w:afterAutospacing="0" w:line="440" w:lineRule="atLeast"/>
              <w:ind w:left="0" w:right="0" w:firstLine="480" w:firstLineChars="200"/>
              <w:rPr>
                <w:rFonts w:hint="default" w:ascii="Times New Roman" w:hAnsi="Times New Roman" w:eastAsia="宋体" w:cs="Times New Roman"/>
                <w:color w:val="0000FF"/>
                <w:sz w:val="24"/>
              </w:rPr>
            </w:pPr>
            <w:r>
              <w:rPr>
                <w:rFonts w:hint="default" w:ascii="Times New Roman" w:hAnsi="Times New Roman" w:eastAsia="宋体" w:cs="Times New Roman"/>
                <w:color w:val="auto"/>
                <w:sz w:val="24"/>
              </w:rPr>
              <w:t>根据《建设项目环境影响报告表编制技术指南（污染影响类）》（试行），排放国家、地方环境空气质量标准中有标准限值要求的特征污染物时，引用建设项目周边5km范围内近3年的现有监测数据，无相关数据的选择当季主导风向下风向1个点位补充不少于3天的监测数据。</w:t>
            </w:r>
          </w:p>
          <w:p w14:paraId="6FC65CD2">
            <w:pPr>
              <w:pStyle w:val="62"/>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本项目废气特征污染物主要为颗粒物</w:t>
            </w:r>
            <w:r>
              <w:rPr>
                <w:rFonts w:hint="eastAsia"/>
                <w:color w:val="auto"/>
                <w:lang w:eastAsia="zh-CN"/>
              </w:rPr>
              <w:t>、</w:t>
            </w:r>
            <w:r>
              <w:rPr>
                <w:rFonts w:hint="default"/>
                <w:color w:val="auto"/>
                <w:lang w:val="en-US" w:eastAsia="zh-CN"/>
              </w:rPr>
              <w:t>非甲烷总烃</w:t>
            </w:r>
            <w:r>
              <w:rPr>
                <w:rFonts w:hint="eastAsia"/>
                <w:color w:val="auto"/>
                <w:lang w:eastAsia="zh-CN"/>
              </w:rPr>
              <w:t>，</w:t>
            </w:r>
            <w:r>
              <w:rPr>
                <w:rFonts w:hint="default"/>
                <w:color w:val="auto"/>
              </w:rPr>
              <w:t>环境空气质量监测数据</w:t>
            </w:r>
            <w:r>
              <w:rPr>
                <w:rFonts w:hint="default"/>
                <w:color w:val="auto"/>
                <w:lang w:val="en-US" w:eastAsia="zh-CN"/>
              </w:rPr>
              <w:t>引用</w:t>
            </w:r>
            <w:r>
              <w:rPr>
                <w:rFonts w:hint="eastAsia"/>
                <w:color w:val="auto"/>
                <w:lang w:eastAsia="zh-CN"/>
              </w:rPr>
              <w:t>安徽澳林监测技术有限公司出具的报告中TSP、非甲烷总烃监测数据；TSP监测日期为2024年10月26日-2024年11月01日，非甲烷总烃监测日期为2024年10月25日-2024年10月31日，监测点位于淮南富力城小区内。</w:t>
            </w:r>
            <w:r>
              <w:rPr>
                <w:rFonts w:hint="eastAsia"/>
                <w:color w:val="auto"/>
                <w:lang w:val="en-US" w:eastAsia="zh-CN"/>
              </w:rPr>
              <w:t>监测点位于本项目西侧1950m。</w:t>
            </w:r>
          </w:p>
          <w:p w14:paraId="69763FCE">
            <w:pPr>
              <w:pStyle w:val="62"/>
              <w:keepNext w:val="0"/>
              <w:keepLines w:val="0"/>
              <w:suppressLineNumbers w:val="0"/>
              <w:bidi w:val="0"/>
              <w:spacing w:before="0" w:beforeAutospacing="0" w:after="0" w:afterAutospacing="0"/>
              <w:ind w:left="0" w:right="0"/>
              <w:rPr>
                <w:rFonts w:hint="default"/>
                <w:color w:val="auto"/>
              </w:rPr>
            </w:pPr>
            <w:r>
              <w:rPr>
                <w:rFonts w:hint="default"/>
                <w:color w:val="auto"/>
              </w:rPr>
              <w:t>本次评价引用的监测点位位于项目周边5km范围内，且为近3年的监测数据，满足引用要求。具体监测情况如下：</w:t>
            </w:r>
          </w:p>
          <w:p w14:paraId="15B8EE5A">
            <w:pPr>
              <w:keepNext w:val="0"/>
              <w:keepLines w:val="0"/>
              <w:suppressLineNumbers w:val="0"/>
              <w:adjustRightInd w:val="0"/>
              <w:spacing w:before="0" w:beforeAutospacing="0" w:after="0" w:afterAutospacing="0" w:line="440" w:lineRule="atLeast"/>
              <w:ind w:left="0" w:right="0"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①监测</w:t>
            </w:r>
            <w:r>
              <w:rPr>
                <w:rFonts w:hint="default" w:ascii="Times New Roman" w:hAnsi="Times New Roman" w:eastAsia="宋体" w:cs="Times New Roman"/>
                <w:color w:val="auto"/>
                <w:sz w:val="24"/>
                <w:lang w:val="en-US" w:eastAsia="zh-CN"/>
              </w:rPr>
              <w:t>点位</w:t>
            </w:r>
          </w:p>
          <w:p w14:paraId="59C28687">
            <w:pPr>
              <w:keepNext w:val="0"/>
              <w:keepLines w:val="0"/>
              <w:suppressLineNumbers w:val="0"/>
              <w:adjustRightInd w:val="0"/>
              <w:spacing w:before="0" w:beforeAutospacing="0" w:after="0" w:afterAutospacing="0" w:line="440" w:lineRule="atLeast"/>
              <w:ind w:left="0" w:right="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监测点分布详见下表，具体位置详见附图</w:t>
            </w:r>
            <w:r>
              <w:rPr>
                <w:rFonts w:hint="eastAsia" w:ascii="Times New Roman" w:hAnsi="Times New Roman" w:eastAsia="宋体" w:cs="Times New Roman"/>
                <w:color w:val="auto"/>
                <w:sz w:val="24"/>
                <w:lang w:val="en-US" w:eastAsia="zh-CN"/>
              </w:rPr>
              <w:t>3</w:t>
            </w:r>
            <w:r>
              <w:rPr>
                <w:rFonts w:hint="default" w:ascii="Times New Roman" w:hAnsi="Times New Roman" w:eastAsia="宋体" w:cs="Times New Roman"/>
                <w:color w:val="auto"/>
                <w:sz w:val="24"/>
              </w:rPr>
              <w:t>。</w:t>
            </w:r>
          </w:p>
          <w:p w14:paraId="29581574">
            <w:pPr>
              <w:keepNext w:val="0"/>
              <w:keepLines w:val="0"/>
              <w:suppressLineNumbers w:val="0"/>
              <w:adjustRightInd w:val="0"/>
              <w:spacing w:before="0" w:beforeAutospacing="0" w:after="0" w:afterAutospacing="0" w:line="440" w:lineRule="atLeast"/>
              <w:ind w:left="0" w:right="0" w:firstLine="422" w:firstLineChars="20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表3-2  大气环境监测点布设表</w:t>
            </w:r>
          </w:p>
          <w:tbl>
            <w:tblPr>
              <w:tblStyle w:val="52"/>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07"/>
              <w:gridCol w:w="876"/>
              <w:gridCol w:w="1480"/>
              <w:gridCol w:w="3005"/>
              <w:gridCol w:w="1000"/>
              <w:gridCol w:w="1099"/>
            </w:tblGrid>
            <w:tr w14:paraId="542832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488" w:type="pct"/>
                  <w:noWrap w:val="0"/>
                  <w:vAlign w:val="center"/>
                </w:tcPr>
                <w:p w14:paraId="57F92D8B">
                  <w:pPr>
                    <w:keepNext w:val="0"/>
                    <w:keepLines w:val="0"/>
                    <w:widowControl/>
                    <w:suppressLineNumbers w:val="0"/>
                    <w:adjustRightInd w:val="0"/>
                    <w:spacing w:before="0" w:beforeAutospacing="0" w:after="0" w:afterAutospacing="0"/>
                    <w:ind w:left="0" w:right="0"/>
                    <w:jc w:val="center"/>
                    <w:rPr>
                      <w:rFonts w:hint="default" w:ascii="Times New Roman" w:hAnsi="Times New Roman" w:eastAsia="宋体" w:cs="Times New Roman"/>
                      <w:color w:val="auto"/>
                      <w:lang w:eastAsia="zh-CN"/>
                    </w:rPr>
                  </w:pPr>
                  <w:r>
                    <w:rPr>
                      <w:rFonts w:hint="default" w:ascii="Times New Roman" w:hAnsi="Times New Roman" w:eastAsia="宋体" w:cs="Times New Roman"/>
                      <w:b/>
                      <w:bCs/>
                      <w:color w:val="auto"/>
                      <w:lang w:val="en-US" w:eastAsia="zh-CN"/>
                    </w:rPr>
                    <w:t>编号</w:t>
                  </w:r>
                </w:p>
              </w:tc>
              <w:tc>
                <w:tcPr>
                  <w:tcW w:w="529" w:type="pct"/>
                  <w:noWrap w:val="0"/>
                  <w:vAlign w:val="center"/>
                </w:tcPr>
                <w:p w14:paraId="4D83295F">
                  <w:pPr>
                    <w:keepNext w:val="0"/>
                    <w:keepLines w:val="0"/>
                    <w:widowControl/>
                    <w:suppressLineNumbers w:val="0"/>
                    <w:adjustRightInd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b/>
                      <w:bCs/>
                      <w:color w:val="auto"/>
                      <w:lang w:val="en-US" w:eastAsia="zh-CN"/>
                    </w:rPr>
                    <w:t>监测点</w:t>
                  </w:r>
                </w:p>
              </w:tc>
              <w:tc>
                <w:tcPr>
                  <w:tcW w:w="895" w:type="pct"/>
                  <w:tcBorders>
                    <w:bottom w:val="single" w:color="auto" w:sz="4" w:space="0"/>
                  </w:tcBorders>
                  <w:noWrap w:val="0"/>
                  <w:vAlign w:val="center"/>
                </w:tcPr>
                <w:p w14:paraId="46C0B0C0">
                  <w:pPr>
                    <w:keepNext w:val="0"/>
                    <w:keepLines w:val="0"/>
                    <w:widowControl/>
                    <w:suppressLineNumbers w:val="0"/>
                    <w:adjustRightInd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b/>
                      <w:bCs/>
                      <w:color w:val="auto"/>
                    </w:rPr>
                    <w:t>监测因子</w:t>
                  </w:r>
                </w:p>
              </w:tc>
              <w:tc>
                <w:tcPr>
                  <w:tcW w:w="1817" w:type="pct"/>
                  <w:tcBorders>
                    <w:bottom w:val="single" w:color="auto" w:sz="4" w:space="0"/>
                  </w:tcBorders>
                  <w:noWrap w:val="0"/>
                  <w:vAlign w:val="center"/>
                </w:tcPr>
                <w:p w14:paraId="580C7CC8">
                  <w:pPr>
                    <w:keepNext w:val="0"/>
                    <w:keepLines w:val="0"/>
                    <w:widowControl/>
                    <w:suppressLineNumbers w:val="0"/>
                    <w:adjustRightInd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b/>
                      <w:bCs/>
                      <w:color w:val="auto"/>
                    </w:rPr>
                    <w:t>监测时段</w:t>
                  </w:r>
                </w:p>
              </w:tc>
              <w:tc>
                <w:tcPr>
                  <w:tcW w:w="604" w:type="pct"/>
                  <w:noWrap w:val="0"/>
                  <w:vAlign w:val="center"/>
                </w:tcPr>
                <w:p w14:paraId="51CF3C7C">
                  <w:pPr>
                    <w:keepNext w:val="0"/>
                    <w:keepLines w:val="0"/>
                    <w:widowControl/>
                    <w:suppressLineNumbers w:val="0"/>
                    <w:adjustRightInd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b/>
                      <w:bCs/>
                      <w:color w:val="auto"/>
                    </w:rPr>
                    <w:t>相对厂址方位</w:t>
                  </w:r>
                </w:p>
              </w:tc>
              <w:tc>
                <w:tcPr>
                  <w:tcW w:w="664" w:type="pct"/>
                  <w:noWrap w:val="0"/>
                  <w:vAlign w:val="center"/>
                </w:tcPr>
                <w:p w14:paraId="1B4D4D70">
                  <w:pPr>
                    <w:keepNext w:val="0"/>
                    <w:keepLines w:val="0"/>
                    <w:widowControl/>
                    <w:suppressLineNumbers w:val="0"/>
                    <w:adjustRightInd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b/>
                      <w:bCs/>
                      <w:color w:val="auto"/>
                    </w:rPr>
                    <w:t>相对厂址距离</w:t>
                  </w:r>
                </w:p>
              </w:tc>
            </w:tr>
            <w:tr w14:paraId="6DC3B7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488" w:type="pct"/>
                  <w:vMerge w:val="restart"/>
                  <w:noWrap w:val="0"/>
                  <w:vAlign w:val="center"/>
                </w:tcPr>
                <w:p w14:paraId="2B3ED62C">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G1</w:t>
                  </w:r>
                </w:p>
              </w:tc>
              <w:tc>
                <w:tcPr>
                  <w:tcW w:w="529" w:type="pct"/>
                  <w:vMerge w:val="restart"/>
                  <w:noWrap w:val="0"/>
                  <w:vAlign w:val="center"/>
                </w:tcPr>
                <w:p w14:paraId="5879ABC0">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color w:val="auto"/>
                      <w:lang w:val="en-US"/>
                    </w:rPr>
                  </w:pPr>
                  <w:r>
                    <w:rPr>
                      <w:rFonts w:hint="eastAsia"/>
                      <w:color w:val="auto"/>
                      <w:lang w:val="en-US" w:eastAsia="zh-CN"/>
                    </w:rPr>
                    <w:t>淮南富力城</w:t>
                  </w:r>
                </w:p>
              </w:tc>
              <w:tc>
                <w:tcPr>
                  <w:tcW w:w="895" w:type="pct"/>
                  <w:tcBorders>
                    <w:top w:val="single" w:color="auto" w:sz="4" w:space="0"/>
                    <w:bottom w:val="single" w:color="auto" w:sz="4" w:space="0"/>
                  </w:tcBorders>
                  <w:noWrap w:val="0"/>
                  <w:vAlign w:val="center"/>
                </w:tcPr>
                <w:p w14:paraId="009327B7">
                  <w:pPr>
                    <w:keepNext w:val="0"/>
                    <w:keepLines w:val="0"/>
                    <w:suppressLineNumbers w:val="0"/>
                    <w:spacing w:before="0" w:beforeAutospacing="0" w:after="0" w:afterAutospacing="0" w:line="276" w:lineRule="auto"/>
                    <w:ind w:left="0" w:right="0"/>
                    <w:jc w:val="center"/>
                    <w:textAlignment w:val="center"/>
                    <w:rPr>
                      <w:rFonts w:hint="default" w:ascii="Times New Roman" w:hAnsi="Times New Roman" w:eastAsia="宋体" w:cs="Times New Roman"/>
                      <w:color w:val="auto"/>
                      <w:lang w:val="en-US" w:eastAsia="zh-CN"/>
                    </w:rPr>
                  </w:pPr>
                  <w:r>
                    <w:rPr>
                      <w:rFonts w:hint="default" w:ascii="Times New Roman" w:hAnsi="Times New Roman"/>
                      <w:color w:val="auto"/>
                      <w:kern w:val="2"/>
                      <w:sz w:val="21"/>
                      <w:szCs w:val="21"/>
                      <w:lang w:eastAsia="zh-CN"/>
                    </w:rPr>
                    <w:t>TSP</w:t>
                  </w:r>
                </w:p>
              </w:tc>
              <w:tc>
                <w:tcPr>
                  <w:tcW w:w="1817" w:type="pct"/>
                  <w:tcBorders>
                    <w:top w:val="single" w:color="auto" w:sz="4" w:space="0"/>
                    <w:bottom w:val="single" w:color="auto" w:sz="4" w:space="0"/>
                  </w:tcBorders>
                  <w:noWrap w:val="0"/>
                  <w:vAlign w:val="center"/>
                </w:tcPr>
                <w:p w14:paraId="23E5C885">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连续监测</w:t>
                  </w:r>
                  <w:r>
                    <w:rPr>
                      <w:rFonts w:hint="eastAsia" w:ascii="Times New Roman" w:hAnsi="Times New Roman" w:eastAsia="宋体" w:cs="Times New Roman"/>
                      <w:color w:val="auto"/>
                      <w:lang w:val="en-US" w:eastAsia="zh-CN"/>
                    </w:rPr>
                    <w:t>7</w:t>
                  </w:r>
                  <w:r>
                    <w:rPr>
                      <w:rFonts w:hint="default" w:ascii="Times New Roman" w:hAnsi="Times New Roman" w:eastAsia="宋体" w:cs="Times New Roman"/>
                      <w:color w:val="auto"/>
                    </w:rPr>
                    <w:t>天，</w:t>
                  </w:r>
                  <w:r>
                    <w:rPr>
                      <w:rFonts w:hint="eastAsia" w:ascii="Times New Roman" w:hAnsi="Times New Roman" w:cs="Times New Roman"/>
                      <w:color w:val="auto"/>
                      <w:lang w:val="en-US" w:eastAsia="zh-CN"/>
                    </w:rPr>
                    <w:t>日均值</w:t>
                  </w:r>
                </w:p>
              </w:tc>
              <w:tc>
                <w:tcPr>
                  <w:tcW w:w="604" w:type="pct"/>
                  <w:vMerge w:val="restart"/>
                  <w:noWrap w:val="0"/>
                  <w:vAlign w:val="center"/>
                </w:tcPr>
                <w:p w14:paraId="745E029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w:t>
                  </w:r>
                </w:p>
              </w:tc>
              <w:tc>
                <w:tcPr>
                  <w:tcW w:w="664" w:type="pct"/>
                  <w:vMerge w:val="restart"/>
                  <w:noWrap w:val="0"/>
                  <w:vAlign w:val="center"/>
                </w:tcPr>
                <w:p w14:paraId="2879C5E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cs="Times New Roman"/>
                      <w:color w:val="auto"/>
                      <w:lang w:val="en-US" w:eastAsia="zh-CN"/>
                    </w:rPr>
                    <w:t>195</w:t>
                  </w:r>
                  <w:r>
                    <w:rPr>
                      <w:rFonts w:hint="eastAsia" w:ascii="Times New Roman" w:hAnsi="Times New Roman" w:eastAsia="宋体" w:cs="Times New Roman"/>
                      <w:color w:val="auto"/>
                      <w:lang w:val="en-US" w:eastAsia="zh-CN"/>
                    </w:rPr>
                    <w:t>0</w:t>
                  </w:r>
                  <w:r>
                    <w:rPr>
                      <w:rFonts w:hint="default" w:ascii="Times New Roman" w:hAnsi="Times New Roman" w:eastAsia="宋体" w:cs="Times New Roman"/>
                      <w:color w:val="auto"/>
                    </w:rPr>
                    <w:t>m</w:t>
                  </w:r>
                </w:p>
              </w:tc>
            </w:tr>
            <w:tr w14:paraId="4792DE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488" w:type="pct"/>
                  <w:vMerge w:val="continue"/>
                  <w:noWrap w:val="0"/>
                  <w:vAlign w:val="center"/>
                </w:tcPr>
                <w:p w14:paraId="4ADFA290">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color w:val="auto"/>
                    </w:rPr>
                  </w:pPr>
                </w:p>
              </w:tc>
              <w:tc>
                <w:tcPr>
                  <w:tcW w:w="529" w:type="pct"/>
                  <w:vMerge w:val="continue"/>
                  <w:noWrap w:val="0"/>
                  <w:vAlign w:val="center"/>
                </w:tcPr>
                <w:p w14:paraId="2E21D09F">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p>
              </w:tc>
              <w:tc>
                <w:tcPr>
                  <w:tcW w:w="895" w:type="pct"/>
                  <w:tcBorders>
                    <w:top w:val="single" w:color="auto" w:sz="4" w:space="0"/>
                    <w:bottom w:val="single" w:color="auto" w:sz="4" w:space="0"/>
                  </w:tcBorders>
                  <w:noWrap w:val="0"/>
                  <w:vAlign w:val="center"/>
                </w:tcPr>
                <w:p w14:paraId="5B0CE0A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eastAsia" w:ascii="Times New Roman" w:hAnsi="Times New Roman"/>
                      <w:color w:val="auto"/>
                      <w:sz w:val="21"/>
                      <w:szCs w:val="21"/>
                      <w:lang w:eastAsia="zh-CN"/>
                    </w:rPr>
                    <w:t>非甲烷总烃</w:t>
                  </w:r>
                </w:p>
              </w:tc>
              <w:tc>
                <w:tcPr>
                  <w:tcW w:w="1817" w:type="pct"/>
                  <w:tcBorders>
                    <w:top w:val="single" w:color="auto" w:sz="4" w:space="0"/>
                    <w:bottom w:val="single" w:color="auto" w:sz="4" w:space="0"/>
                  </w:tcBorders>
                  <w:noWrap w:val="0"/>
                  <w:vAlign w:val="center"/>
                </w:tcPr>
                <w:p w14:paraId="473C01CF">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连续监测</w:t>
                  </w:r>
                  <w:r>
                    <w:rPr>
                      <w:rFonts w:hint="eastAsia" w:ascii="Times New Roman" w:hAnsi="Times New Roman" w:eastAsia="宋体" w:cs="Times New Roman"/>
                      <w:color w:val="auto"/>
                      <w:lang w:val="en-US" w:eastAsia="zh-CN"/>
                    </w:rPr>
                    <w:t>7</w:t>
                  </w:r>
                  <w:r>
                    <w:rPr>
                      <w:rFonts w:hint="default" w:ascii="Times New Roman" w:hAnsi="Times New Roman" w:eastAsia="宋体" w:cs="Times New Roman"/>
                      <w:color w:val="auto"/>
                    </w:rPr>
                    <w:t>天，</w:t>
                  </w:r>
                  <w:r>
                    <w:rPr>
                      <w:rFonts w:hint="default" w:ascii="Times New Roman" w:hAnsi="Times New Roman" w:eastAsia="宋体" w:cs="Times New Roman"/>
                      <w:color w:val="auto"/>
                      <w:lang w:val="en-US" w:eastAsia="zh-CN"/>
                    </w:rPr>
                    <w:t>1h</w:t>
                  </w:r>
                  <w:r>
                    <w:rPr>
                      <w:rFonts w:hint="default" w:ascii="Times New Roman" w:hAnsi="Times New Roman" w:eastAsia="宋体" w:cs="Times New Roman"/>
                      <w:color w:val="auto"/>
                    </w:rPr>
                    <w:t>值</w:t>
                  </w:r>
                </w:p>
              </w:tc>
              <w:tc>
                <w:tcPr>
                  <w:tcW w:w="604" w:type="pct"/>
                  <w:vMerge w:val="continue"/>
                  <w:noWrap w:val="0"/>
                  <w:vAlign w:val="center"/>
                </w:tcPr>
                <w:p w14:paraId="0F83EC1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664" w:type="pct"/>
                  <w:vMerge w:val="continue"/>
                  <w:noWrap w:val="0"/>
                  <w:vAlign w:val="center"/>
                </w:tcPr>
                <w:p w14:paraId="347F2EB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r>
          </w:tbl>
          <w:p w14:paraId="25BE252E">
            <w:pPr>
              <w:keepNext w:val="0"/>
              <w:keepLines w:val="0"/>
              <w:suppressLineNumbers w:val="0"/>
              <w:spacing w:before="0" w:beforeAutospacing="0" w:after="0" w:afterAutospacing="0" w:line="440" w:lineRule="exact"/>
              <w:ind w:left="0" w:right="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②评价标准</w:t>
            </w:r>
          </w:p>
          <w:p w14:paraId="13BE3AAB">
            <w:pPr>
              <w:pStyle w:val="63"/>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表3-</w:t>
            </w:r>
            <w:r>
              <w:rPr>
                <w:rFonts w:hint="default" w:ascii="Times New Roman" w:hAnsi="Times New Roman" w:eastAsia="宋体" w:cs="Times New Roman"/>
                <w:color w:val="auto"/>
                <w:lang w:val="en-US" w:eastAsia="zh-CN"/>
              </w:rPr>
              <w:t>3</w:t>
            </w:r>
            <w:r>
              <w:rPr>
                <w:rFonts w:hint="default" w:ascii="Times New Roman" w:hAnsi="Times New Roman" w:eastAsia="宋体" w:cs="Times New Roman"/>
                <w:color w:val="auto"/>
              </w:rPr>
              <w:t xml:space="preserve">  环境</w:t>
            </w:r>
            <w:r>
              <w:rPr>
                <w:rFonts w:hint="default" w:ascii="Times New Roman" w:hAnsi="Times New Roman" w:eastAsia="宋体" w:cs="Times New Roman"/>
                <w:color w:val="auto"/>
                <w:lang w:val="en-US" w:eastAsia="zh-CN"/>
              </w:rPr>
              <w:t>空气</w:t>
            </w:r>
            <w:r>
              <w:rPr>
                <w:rFonts w:hint="default" w:ascii="Times New Roman" w:hAnsi="Times New Roman" w:eastAsia="宋体" w:cs="Times New Roman"/>
                <w:color w:val="auto"/>
              </w:rPr>
              <w:t>质量</w:t>
            </w:r>
            <w:r>
              <w:rPr>
                <w:rFonts w:hint="default" w:ascii="Times New Roman" w:hAnsi="Times New Roman" w:eastAsia="宋体" w:cs="Times New Roman"/>
                <w:color w:val="auto"/>
                <w:lang w:val="en-US" w:eastAsia="zh-CN"/>
              </w:rPr>
              <w:t>限值</w:t>
            </w:r>
          </w:p>
          <w:tbl>
            <w:tblPr>
              <w:tblStyle w:val="5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467"/>
              <w:gridCol w:w="1770"/>
              <w:gridCol w:w="4356"/>
            </w:tblGrid>
            <w:tr w14:paraId="01DF4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74" w:type="dxa"/>
                  <w:tcBorders>
                    <w:tl2br w:val="nil"/>
                    <w:tr2bl w:val="nil"/>
                  </w:tcBorders>
                  <w:noWrap w:val="0"/>
                  <w:vAlign w:val="center"/>
                </w:tcPr>
                <w:p w14:paraId="5A182F24">
                  <w:pPr>
                    <w:pStyle w:val="455"/>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val="en-US" w:eastAsia="zh-CN"/>
                    </w:rPr>
                    <w:t>序号</w:t>
                  </w:r>
                </w:p>
              </w:tc>
              <w:tc>
                <w:tcPr>
                  <w:tcW w:w="1467" w:type="dxa"/>
                  <w:tcBorders>
                    <w:tl2br w:val="nil"/>
                    <w:tr2bl w:val="nil"/>
                  </w:tcBorders>
                  <w:noWrap w:val="0"/>
                  <w:vAlign w:val="center"/>
                </w:tcPr>
                <w:p w14:paraId="71E0E876">
                  <w:pPr>
                    <w:pStyle w:val="455"/>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污染因子</w:t>
                  </w:r>
                </w:p>
              </w:tc>
              <w:tc>
                <w:tcPr>
                  <w:tcW w:w="1770" w:type="dxa"/>
                  <w:tcBorders>
                    <w:tl2br w:val="nil"/>
                    <w:tr2bl w:val="nil"/>
                  </w:tcBorders>
                  <w:noWrap w:val="0"/>
                  <w:vAlign w:val="center"/>
                </w:tcPr>
                <w:p w14:paraId="3C9AF725">
                  <w:pPr>
                    <w:pStyle w:val="455"/>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标准限值</w:t>
                  </w:r>
                  <w:r>
                    <w:rPr>
                      <w:rFonts w:hint="default" w:ascii="Times New Roman" w:hAnsi="Times New Roman" w:eastAsia="宋体" w:cs="Times New Roman"/>
                      <w:b/>
                      <w:bCs/>
                      <w:color w:val="auto"/>
                      <w:kern w:val="0"/>
                      <w:sz w:val="21"/>
                      <w:szCs w:val="21"/>
                    </w:rPr>
                    <w:t>(</w:t>
                  </w:r>
                  <w:r>
                    <w:rPr>
                      <w:rFonts w:hint="default" w:ascii="Times New Roman" w:hAnsi="Times New Roman" w:eastAsia="宋体" w:cs="Times New Roman"/>
                      <w:b/>
                      <w:bCs/>
                      <w:color w:val="auto"/>
                      <w:kern w:val="0"/>
                      <w:sz w:val="21"/>
                      <w:szCs w:val="21"/>
                      <w:lang w:eastAsia="zh-CN"/>
                    </w:rPr>
                    <w:t>μ</w:t>
                  </w:r>
                  <w:r>
                    <w:rPr>
                      <w:rFonts w:hint="default" w:ascii="Times New Roman" w:hAnsi="Times New Roman" w:eastAsia="宋体" w:cs="Times New Roman"/>
                      <w:b/>
                      <w:bCs/>
                      <w:color w:val="auto"/>
                      <w:kern w:val="0"/>
                      <w:sz w:val="21"/>
                      <w:szCs w:val="21"/>
                      <w:lang w:val="en-US" w:eastAsia="zh-CN"/>
                    </w:rPr>
                    <w:t>g</w:t>
                  </w:r>
                  <w:r>
                    <w:rPr>
                      <w:rFonts w:hint="default" w:ascii="Times New Roman" w:hAnsi="Times New Roman" w:eastAsia="宋体" w:cs="Times New Roman"/>
                      <w:b/>
                      <w:bCs/>
                      <w:color w:val="auto"/>
                      <w:kern w:val="0"/>
                      <w:sz w:val="21"/>
                      <w:szCs w:val="21"/>
                    </w:rPr>
                    <w:t>/m</w:t>
                  </w:r>
                  <w:r>
                    <w:rPr>
                      <w:rFonts w:hint="default" w:ascii="Times New Roman" w:hAnsi="Times New Roman" w:eastAsia="宋体" w:cs="Times New Roman"/>
                      <w:b/>
                      <w:bCs/>
                      <w:color w:val="auto"/>
                      <w:kern w:val="0"/>
                      <w:sz w:val="21"/>
                      <w:szCs w:val="21"/>
                      <w:vertAlign w:val="superscript"/>
                    </w:rPr>
                    <w:t>3</w:t>
                  </w:r>
                  <w:r>
                    <w:rPr>
                      <w:rFonts w:hint="default" w:ascii="Times New Roman" w:hAnsi="Times New Roman" w:eastAsia="宋体" w:cs="Times New Roman"/>
                      <w:b/>
                      <w:bCs/>
                      <w:color w:val="auto"/>
                      <w:kern w:val="0"/>
                      <w:sz w:val="21"/>
                      <w:szCs w:val="21"/>
                    </w:rPr>
                    <w:t>)</w:t>
                  </w:r>
                </w:p>
              </w:tc>
              <w:tc>
                <w:tcPr>
                  <w:tcW w:w="4356" w:type="dxa"/>
                  <w:tcBorders>
                    <w:tl2br w:val="nil"/>
                    <w:tr2bl w:val="nil"/>
                  </w:tcBorders>
                  <w:noWrap w:val="0"/>
                  <w:vAlign w:val="center"/>
                </w:tcPr>
                <w:p w14:paraId="30A0E9B9">
                  <w:pPr>
                    <w:pStyle w:val="455"/>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依据</w:t>
                  </w:r>
                </w:p>
              </w:tc>
            </w:tr>
            <w:tr w14:paraId="60F37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74" w:type="dxa"/>
                  <w:tcBorders>
                    <w:tl2br w:val="nil"/>
                    <w:tr2bl w:val="nil"/>
                  </w:tcBorders>
                  <w:noWrap w:val="0"/>
                  <w:vAlign w:val="center"/>
                </w:tcPr>
                <w:p w14:paraId="234D534A">
                  <w:pPr>
                    <w:pStyle w:val="455"/>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1467" w:type="dxa"/>
                  <w:tcBorders>
                    <w:tl2br w:val="nil"/>
                    <w:tr2bl w:val="nil"/>
                  </w:tcBorders>
                  <w:noWrap w:val="0"/>
                  <w:vAlign w:val="center"/>
                </w:tcPr>
                <w:p w14:paraId="6F9576E4">
                  <w:pPr>
                    <w:pStyle w:val="455"/>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leftChars="0" w:right="0" w:rightChars="0"/>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TSP</w:t>
                  </w:r>
                </w:p>
              </w:tc>
              <w:tc>
                <w:tcPr>
                  <w:tcW w:w="1770" w:type="dxa"/>
                  <w:tcBorders>
                    <w:tl2br w:val="nil"/>
                    <w:tr2bl w:val="nil"/>
                  </w:tcBorders>
                  <w:noWrap w:val="0"/>
                  <w:vAlign w:val="center"/>
                </w:tcPr>
                <w:p w14:paraId="6AE4EAD6">
                  <w:pPr>
                    <w:pStyle w:val="455"/>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leftChars="0" w:right="0" w:rightChars="0"/>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300</w:t>
                  </w:r>
                </w:p>
              </w:tc>
              <w:tc>
                <w:tcPr>
                  <w:tcW w:w="4356" w:type="dxa"/>
                  <w:tcBorders>
                    <w:tl2br w:val="nil"/>
                    <w:tr2bl w:val="nil"/>
                  </w:tcBorders>
                  <w:noWrap w:val="0"/>
                  <w:vAlign w:val="center"/>
                </w:tcPr>
                <w:p w14:paraId="760D7527">
                  <w:pPr>
                    <w:pStyle w:val="455"/>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leftChars="0" w:right="0" w:rightChars="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《环境空气质量标准》（GB3095-20</w:t>
                  </w:r>
                  <w:r>
                    <w:rPr>
                      <w:rFonts w:hint="default" w:ascii="Times New Roman" w:hAnsi="Times New Roman" w:cs="Times New Roman"/>
                      <w:color w:val="auto"/>
                      <w:sz w:val="21"/>
                      <w:szCs w:val="21"/>
                      <w:lang w:val="en-US" w:eastAsia="zh-CN"/>
                    </w:rPr>
                    <w:t>26</w:t>
                  </w:r>
                  <w:r>
                    <w:rPr>
                      <w:rFonts w:hint="default" w:ascii="Times New Roman" w:hAnsi="Times New Roman" w:eastAsia="宋体" w:cs="Times New Roman"/>
                      <w:color w:val="auto"/>
                      <w:sz w:val="21"/>
                      <w:szCs w:val="21"/>
                    </w:rPr>
                    <w:t>）</w:t>
                  </w:r>
                  <w:r>
                    <w:rPr>
                      <w:rFonts w:hint="eastAsia" w:ascii="Times New Roman" w:hAnsi="宋体"/>
                      <w:color w:val="auto"/>
                      <w:sz w:val="21"/>
                      <w:szCs w:val="21"/>
                      <w:lang w:eastAsia="zh-CN"/>
                    </w:rPr>
                    <w:t>中的二级标准</w:t>
                  </w:r>
                </w:p>
              </w:tc>
            </w:tr>
            <w:tr w14:paraId="5D552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74" w:type="dxa"/>
                  <w:tcBorders>
                    <w:tl2br w:val="nil"/>
                    <w:tr2bl w:val="nil"/>
                  </w:tcBorders>
                  <w:noWrap w:val="0"/>
                  <w:vAlign w:val="center"/>
                </w:tcPr>
                <w:p w14:paraId="78F3ACAD">
                  <w:pPr>
                    <w:pStyle w:val="455"/>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2</w:t>
                  </w:r>
                </w:p>
              </w:tc>
              <w:tc>
                <w:tcPr>
                  <w:tcW w:w="1467" w:type="dxa"/>
                  <w:tcBorders>
                    <w:tl2br w:val="nil"/>
                    <w:tr2bl w:val="nil"/>
                  </w:tcBorders>
                  <w:noWrap w:val="0"/>
                  <w:vAlign w:val="center"/>
                </w:tcPr>
                <w:p w14:paraId="6E210D55">
                  <w:pPr>
                    <w:pStyle w:val="455"/>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leftChars="0" w:right="0" w:right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非甲烷总烃</w:t>
                  </w:r>
                </w:p>
              </w:tc>
              <w:tc>
                <w:tcPr>
                  <w:tcW w:w="1770" w:type="dxa"/>
                  <w:tcBorders>
                    <w:tl2br w:val="nil"/>
                    <w:tr2bl w:val="nil"/>
                  </w:tcBorders>
                  <w:noWrap w:val="0"/>
                  <w:vAlign w:val="center"/>
                </w:tcPr>
                <w:p w14:paraId="36FC2B85">
                  <w:pPr>
                    <w:pStyle w:val="455"/>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leftChars="0" w:right="0" w:rightChars="0"/>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2000</w:t>
                  </w:r>
                  <w:r>
                    <w:rPr>
                      <w:rFonts w:hint="eastAsia" w:ascii="Times New Roman" w:hAnsi="Times New Roman" w:eastAsia="宋体" w:cs="Times New Roman"/>
                      <w:color w:val="auto"/>
                      <w:sz w:val="21"/>
                      <w:szCs w:val="21"/>
                      <w:lang w:val="en-US" w:eastAsia="zh-CN"/>
                    </w:rPr>
                    <w:t>（小时）</w:t>
                  </w:r>
                </w:p>
              </w:tc>
              <w:tc>
                <w:tcPr>
                  <w:tcW w:w="4356" w:type="dxa"/>
                  <w:tcBorders>
                    <w:tl2br w:val="nil"/>
                    <w:tr2bl w:val="nil"/>
                  </w:tcBorders>
                  <w:noWrap w:val="0"/>
                  <w:vAlign w:val="center"/>
                </w:tcPr>
                <w:p w14:paraId="1D52920D">
                  <w:pPr>
                    <w:pStyle w:val="455"/>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leftChars="0" w:right="0" w:rightChars="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《大气污染物综合排放标准》（GB16297-1996）详解中推荐值</w:t>
                  </w:r>
                </w:p>
              </w:tc>
            </w:tr>
          </w:tbl>
          <w:p w14:paraId="2F6B62E4">
            <w:pPr>
              <w:keepNext w:val="0"/>
              <w:keepLines w:val="0"/>
              <w:suppressLineNumbers w:val="0"/>
              <w:adjustRightInd w:val="0"/>
              <w:spacing w:before="0" w:beforeAutospacing="0" w:after="0" w:afterAutospacing="0" w:line="440" w:lineRule="exact"/>
              <w:ind w:left="0" w:right="0" w:firstLine="480" w:firstLineChars="200"/>
              <w:rPr>
                <w:rFonts w:hint="default" w:ascii="Times New Roman" w:hAnsi="Times New Roman" w:eastAsia="宋体" w:cs="Times New Roman"/>
                <w:b/>
                <w:bCs/>
                <w:color w:val="auto"/>
              </w:rPr>
            </w:pPr>
            <w:r>
              <w:rPr>
                <w:rFonts w:hint="default" w:ascii="Times New Roman" w:hAnsi="Times New Roman" w:eastAsia="宋体" w:cs="Times New Roman"/>
                <w:color w:val="auto"/>
                <w:sz w:val="24"/>
              </w:rPr>
              <w:t>③监测结果</w:t>
            </w:r>
          </w:p>
          <w:p w14:paraId="6F2F5FB1">
            <w:pPr>
              <w:keepNext w:val="0"/>
              <w:keepLines w:val="0"/>
              <w:suppressLineNumbers w:val="0"/>
              <w:adjustRightInd w:val="0"/>
              <w:spacing w:before="0" w:beforeAutospacing="0" w:after="0" w:afterAutospacing="0" w:line="440" w:lineRule="exact"/>
              <w:ind w:left="0" w:right="0" w:firstLine="422" w:firstLineChars="20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表3-</w:t>
            </w:r>
            <w:r>
              <w:rPr>
                <w:rFonts w:hint="default" w:ascii="Times New Roman" w:hAnsi="Times New Roman" w:eastAsia="宋体" w:cs="Times New Roman"/>
                <w:b/>
                <w:bCs/>
                <w:color w:val="auto"/>
                <w:lang w:val="en-US" w:eastAsia="zh-CN"/>
              </w:rPr>
              <w:t>4</w:t>
            </w:r>
            <w:r>
              <w:rPr>
                <w:rFonts w:hint="default" w:ascii="Times New Roman" w:hAnsi="Times New Roman" w:eastAsia="宋体" w:cs="Times New Roman"/>
                <w:b/>
                <w:bCs/>
                <w:color w:val="auto"/>
              </w:rPr>
              <w:t xml:space="preserve">  特征污染物环境质量现状监测结果统计表  单位：</w:t>
            </w:r>
            <w:r>
              <w:rPr>
                <w:rFonts w:hint="eastAsia" w:ascii="Times New Roman" w:hAnsi="Times New Roman" w:cs="Times New Roman"/>
                <w:b/>
                <w:color w:val="auto"/>
                <w:lang w:val="en-US" w:eastAsia="zh-CN"/>
              </w:rPr>
              <w:t>u</w:t>
            </w:r>
            <w:r>
              <w:rPr>
                <w:rFonts w:hint="default" w:ascii="Times New Roman" w:hAnsi="Times New Roman" w:eastAsia="宋体" w:cs="Times New Roman"/>
                <w:b/>
                <w:color w:val="auto"/>
                <w:lang w:bidi="ar"/>
              </w:rPr>
              <w:t>g/m³</w:t>
            </w:r>
          </w:p>
          <w:tbl>
            <w:tblPr>
              <w:tblStyle w:val="52"/>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fixed"/>
              <w:tblCellMar>
                <w:top w:w="0" w:type="dxa"/>
                <w:left w:w="108" w:type="dxa"/>
                <w:bottom w:w="0" w:type="dxa"/>
                <w:right w:w="108" w:type="dxa"/>
              </w:tblCellMar>
            </w:tblPr>
            <w:tblGrid>
              <w:gridCol w:w="595"/>
              <w:gridCol w:w="1429"/>
              <w:gridCol w:w="1202"/>
              <w:gridCol w:w="904"/>
              <w:gridCol w:w="1362"/>
              <w:gridCol w:w="1422"/>
              <w:gridCol w:w="711"/>
              <w:gridCol w:w="637"/>
            </w:tblGrid>
            <w:tr w14:paraId="790F4BA7">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312" w:hRule="atLeast"/>
                <w:jc w:val="center"/>
              </w:trPr>
              <w:tc>
                <w:tcPr>
                  <w:tcW w:w="360" w:type="pct"/>
                  <w:vMerge w:val="restart"/>
                  <w:noWrap w:val="0"/>
                  <w:vAlign w:val="center"/>
                </w:tcPr>
                <w:p w14:paraId="0B96E5B7">
                  <w:pPr>
                    <w:pStyle w:val="2"/>
                    <w:keepNext w:val="0"/>
                    <w:keepLines w:val="0"/>
                    <w:suppressLineNumbers w:val="0"/>
                    <w:snapToGrid/>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监测点位</w:t>
                  </w:r>
                </w:p>
              </w:tc>
              <w:tc>
                <w:tcPr>
                  <w:tcW w:w="864" w:type="pct"/>
                  <w:vMerge w:val="restart"/>
                  <w:noWrap w:val="0"/>
                  <w:vAlign w:val="center"/>
                </w:tcPr>
                <w:p w14:paraId="41F8CBF8">
                  <w:pPr>
                    <w:pStyle w:val="2"/>
                    <w:keepNext w:val="0"/>
                    <w:keepLines w:val="0"/>
                    <w:suppressLineNumbers w:val="0"/>
                    <w:snapToGrid/>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污染物</w:t>
                  </w:r>
                </w:p>
              </w:tc>
              <w:tc>
                <w:tcPr>
                  <w:tcW w:w="727" w:type="pct"/>
                  <w:vMerge w:val="restart"/>
                  <w:noWrap w:val="0"/>
                  <w:vAlign w:val="center"/>
                </w:tcPr>
                <w:p w14:paraId="10A9DAFE">
                  <w:pPr>
                    <w:pStyle w:val="2"/>
                    <w:keepNext w:val="0"/>
                    <w:keepLines w:val="0"/>
                    <w:suppressLineNumbers w:val="0"/>
                    <w:snapToGrid/>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平均时间</w:t>
                  </w:r>
                </w:p>
              </w:tc>
              <w:tc>
                <w:tcPr>
                  <w:tcW w:w="547" w:type="pct"/>
                  <w:vMerge w:val="restart"/>
                  <w:noWrap w:val="0"/>
                  <w:vAlign w:val="center"/>
                </w:tcPr>
                <w:p w14:paraId="3B6461D8">
                  <w:pPr>
                    <w:pStyle w:val="2"/>
                    <w:keepNext w:val="0"/>
                    <w:keepLines w:val="0"/>
                    <w:suppressLineNumbers w:val="0"/>
                    <w:snapToGrid/>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评价标准</w:t>
                  </w:r>
                </w:p>
              </w:tc>
              <w:tc>
                <w:tcPr>
                  <w:tcW w:w="824" w:type="pct"/>
                  <w:vMerge w:val="restart"/>
                  <w:noWrap w:val="0"/>
                  <w:vAlign w:val="center"/>
                </w:tcPr>
                <w:p w14:paraId="659BFCD6">
                  <w:pPr>
                    <w:keepNext w:val="0"/>
                    <w:keepLines w:val="0"/>
                    <w:suppressLineNumbers w:val="0"/>
                    <w:adjustRightInd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监测浓度范围</w:t>
                  </w:r>
                </w:p>
              </w:tc>
              <w:tc>
                <w:tcPr>
                  <w:tcW w:w="860" w:type="pct"/>
                  <w:vMerge w:val="restart"/>
                  <w:noWrap w:val="0"/>
                  <w:vAlign w:val="center"/>
                </w:tcPr>
                <w:p w14:paraId="30B18B7B">
                  <w:pPr>
                    <w:pStyle w:val="2"/>
                    <w:keepNext w:val="0"/>
                    <w:keepLines w:val="0"/>
                    <w:suppressLineNumbers w:val="0"/>
                    <w:snapToGrid/>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最大浓</w:t>
                  </w:r>
                </w:p>
                <w:p w14:paraId="15B7419D">
                  <w:pPr>
                    <w:pStyle w:val="2"/>
                    <w:keepNext w:val="0"/>
                    <w:keepLines w:val="0"/>
                    <w:suppressLineNumbers w:val="0"/>
                    <w:snapToGrid/>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度占标率</w:t>
                  </w:r>
                </w:p>
              </w:tc>
              <w:tc>
                <w:tcPr>
                  <w:tcW w:w="430" w:type="pct"/>
                  <w:vMerge w:val="restart"/>
                  <w:noWrap w:val="0"/>
                  <w:vAlign w:val="center"/>
                </w:tcPr>
                <w:p w14:paraId="2E8AF9F2">
                  <w:pPr>
                    <w:pStyle w:val="2"/>
                    <w:keepNext w:val="0"/>
                    <w:keepLines w:val="0"/>
                    <w:suppressLineNumbers w:val="0"/>
                    <w:snapToGrid/>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超标率</w:t>
                  </w:r>
                </w:p>
              </w:tc>
              <w:tc>
                <w:tcPr>
                  <w:tcW w:w="385" w:type="pct"/>
                  <w:vMerge w:val="restart"/>
                  <w:noWrap w:val="0"/>
                  <w:vAlign w:val="center"/>
                </w:tcPr>
                <w:p w14:paraId="6F85B779">
                  <w:pPr>
                    <w:pStyle w:val="2"/>
                    <w:keepNext w:val="0"/>
                    <w:keepLines w:val="0"/>
                    <w:suppressLineNumbers w:val="0"/>
                    <w:snapToGrid/>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达标</w:t>
                  </w:r>
                </w:p>
                <w:p w14:paraId="36DBD0DE">
                  <w:pPr>
                    <w:pStyle w:val="2"/>
                    <w:keepNext w:val="0"/>
                    <w:keepLines w:val="0"/>
                    <w:suppressLineNumbers w:val="0"/>
                    <w:snapToGrid/>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情况</w:t>
                  </w:r>
                </w:p>
              </w:tc>
            </w:tr>
            <w:tr w14:paraId="0F6382EA">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312" w:hRule="atLeast"/>
                <w:jc w:val="center"/>
              </w:trPr>
              <w:tc>
                <w:tcPr>
                  <w:tcW w:w="360" w:type="pct"/>
                  <w:vMerge w:val="continue"/>
                  <w:noWrap w:val="0"/>
                  <w:vAlign w:val="center"/>
                </w:tcPr>
                <w:p w14:paraId="1D37F81C">
                  <w:pPr>
                    <w:pStyle w:val="2"/>
                    <w:keepNext w:val="0"/>
                    <w:keepLines w:val="0"/>
                    <w:suppressLineNumbers w:val="0"/>
                    <w:snapToGrid/>
                    <w:spacing w:before="0" w:beforeAutospacing="0" w:after="0" w:afterAutospacing="0" w:line="240" w:lineRule="auto"/>
                    <w:ind w:left="0" w:right="122"/>
                    <w:jc w:val="center"/>
                    <w:rPr>
                      <w:rFonts w:hint="default" w:ascii="Times New Roman" w:hAnsi="Times New Roman" w:eastAsia="宋体" w:cs="Times New Roman"/>
                      <w:b/>
                      <w:color w:val="0000FF"/>
                      <w:sz w:val="21"/>
                      <w:szCs w:val="21"/>
                    </w:rPr>
                  </w:pPr>
                </w:p>
              </w:tc>
              <w:tc>
                <w:tcPr>
                  <w:tcW w:w="864" w:type="pct"/>
                  <w:vMerge w:val="continue"/>
                  <w:noWrap w:val="0"/>
                  <w:vAlign w:val="center"/>
                </w:tcPr>
                <w:p w14:paraId="370C98E6">
                  <w:pPr>
                    <w:pStyle w:val="2"/>
                    <w:keepNext w:val="0"/>
                    <w:keepLines w:val="0"/>
                    <w:suppressLineNumbers w:val="0"/>
                    <w:snapToGrid/>
                    <w:spacing w:before="0" w:beforeAutospacing="0" w:after="0" w:afterAutospacing="0" w:line="240" w:lineRule="auto"/>
                    <w:ind w:left="-105" w:leftChars="-50" w:right="-105" w:rightChars="-50"/>
                    <w:jc w:val="center"/>
                    <w:rPr>
                      <w:rFonts w:hint="default" w:ascii="Times New Roman" w:hAnsi="Times New Roman" w:eastAsia="宋体" w:cs="Times New Roman"/>
                      <w:b/>
                      <w:color w:val="0000FF"/>
                      <w:sz w:val="21"/>
                      <w:szCs w:val="21"/>
                    </w:rPr>
                  </w:pPr>
                </w:p>
              </w:tc>
              <w:tc>
                <w:tcPr>
                  <w:tcW w:w="727" w:type="pct"/>
                  <w:vMerge w:val="continue"/>
                  <w:noWrap w:val="0"/>
                  <w:vAlign w:val="center"/>
                </w:tcPr>
                <w:p w14:paraId="14BE1B43">
                  <w:pPr>
                    <w:pStyle w:val="2"/>
                    <w:keepNext w:val="0"/>
                    <w:keepLines w:val="0"/>
                    <w:suppressLineNumbers w:val="0"/>
                    <w:snapToGrid/>
                    <w:spacing w:before="0" w:beforeAutospacing="0" w:after="0" w:afterAutospacing="0" w:line="240" w:lineRule="auto"/>
                    <w:ind w:left="-105" w:leftChars="-50" w:right="-105" w:rightChars="-50"/>
                    <w:jc w:val="center"/>
                    <w:rPr>
                      <w:rFonts w:hint="default" w:ascii="Times New Roman" w:hAnsi="Times New Roman" w:eastAsia="宋体" w:cs="Times New Roman"/>
                      <w:b/>
                      <w:color w:val="0000FF"/>
                      <w:sz w:val="21"/>
                      <w:szCs w:val="21"/>
                    </w:rPr>
                  </w:pPr>
                </w:p>
              </w:tc>
              <w:tc>
                <w:tcPr>
                  <w:tcW w:w="547" w:type="pct"/>
                  <w:vMerge w:val="continue"/>
                  <w:noWrap w:val="0"/>
                  <w:vAlign w:val="center"/>
                </w:tcPr>
                <w:p w14:paraId="4508D17B">
                  <w:pPr>
                    <w:pStyle w:val="2"/>
                    <w:keepNext w:val="0"/>
                    <w:keepLines w:val="0"/>
                    <w:suppressLineNumbers w:val="0"/>
                    <w:snapToGrid/>
                    <w:spacing w:before="0" w:beforeAutospacing="0" w:after="0" w:afterAutospacing="0" w:line="240" w:lineRule="auto"/>
                    <w:ind w:left="-105" w:leftChars="-50" w:right="-105" w:rightChars="-50"/>
                    <w:jc w:val="center"/>
                    <w:rPr>
                      <w:rFonts w:hint="default" w:ascii="Times New Roman" w:hAnsi="Times New Roman" w:eastAsia="宋体" w:cs="Times New Roman"/>
                      <w:b/>
                      <w:color w:val="0000FF"/>
                      <w:sz w:val="21"/>
                      <w:szCs w:val="21"/>
                    </w:rPr>
                  </w:pPr>
                </w:p>
              </w:tc>
              <w:tc>
                <w:tcPr>
                  <w:tcW w:w="824" w:type="pct"/>
                  <w:vMerge w:val="continue"/>
                  <w:noWrap w:val="0"/>
                  <w:vAlign w:val="center"/>
                </w:tcPr>
                <w:p w14:paraId="23E5BED8">
                  <w:pPr>
                    <w:pStyle w:val="2"/>
                    <w:keepNext w:val="0"/>
                    <w:keepLines w:val="0"/>
                    <w:suppressLineNumbers w:val="0"/>
                    <w:snapToGrid/>
                    <w:spacing w:before="0" w:beforeAutospacing="0" w:after="0" w:afterAutospacing="0" w:line="240" w:lineRule="auto"/>
                    <w:ind w:left="-105" w:leftChars="-50" w:right="-105" w:rightChars="-50"/>
                    <w:jc w:val="center"/>
                    <w:rPr>
                      <w:rFonts w:hint="default" w:ascii="Times New Roman" w:hAnsi="Times New Roman" w:eastAsia="宋体" w:cs="Times New Roman"/>
                      <w:b/>
                      <w:color w:val="0000FF"/>
                      <w:sz w:val="21"/>
                      <w:szCs w:val="21"/>
                    </w:rPr>
                  </w:pPr>
                </w:p>
              </w:tc>
              <w:tc>
                <w:tcPr>
                  <w:tcW w:w="860" w:type="pct"/>
                  <w:vMerge w:val="continue"/>
                  <w:noWrap w:val="0"/>
                  <w:vAlign w:val="center"/>
                </w:tcPr>
                <w:p w14:paraId="7FEE5EE7">
                  <w:pPr>
                    <w:pStyle w:val="2"/>
                    <w:keepNext w:val="0"/>
                    <w:keepLines w:val="0"/>
                    <w:suppressLineNumbers w:val="0"/>
                    <w:snapToGrid/>
                    <w:spacing w:before="0" w:beforeAutospacing="0" w:after="0" w:afterAutospacing="0" w:line="240" w:lineRule="auto"/>
                    <w:ind w:left="-105" w:leftChars="-50" w:right="-105" w:rightChars="-50"/>
                    <w:jc w:val="center"/>
                    <w:rPr>
                      <w:rFonts w:hint="default" w:ascii="Times New Roman" w:hAnsi="Times New Roman" w:eastAsia="宋体" w:cs="Times New Roman"/>
                      <w:b/>
                      <w:color w:val="0000FF"/>
                      <w:sz w:val="21"/>
                      <w:szCs w:val="21"/>
                    </w:rPr>
                  </w:pPr>
                </w:p>
              </w:tc>
              <w:tc>
                <w:tcPr>
                  <w:tcW w:w="430" w:type="pct"/>
                  <w:vMerge w:val="continue"/>
                  <w:noWrap w:val="0"/>
                  <w:vAlign w:val="center"/>
                </w:tcPr>
                <w:p w14:paraId="21560703">
                  <w:pPr>
                    <w:pStyle w:val="2"/>
                    <w:keepNext w:val="0"/>
                    <w:keepLines w:val="0"/>
                    <w:suppressLineNumbers w:val="0"/>
                    <w:snapToGrid/>
                    <w:spacing w:before="0" w:beforeAutospacing="0" w:after="0" w:afterAutospacing="0" w:line="240" w:lineRule="auto"/>
                    <w:ind w:left="-105" w:leftChars="-50" w:right="-105" w:rightChars="-50"/>
                    <w:jc w:val="center"/>
                    <w:rPr>
                      <w:rFonts w:hint="default" w:ascii="Times New Roman" w:hAnsi="Times New Roman" w:eastAsia="宋体" w:cs="Times New Roman"/>
                      <w:b/>
                      <w:color w:val="0000FF"/>
                      <w:sz w:val="21"/>
                      <w:szCs w:val="21"/>
                    </w:rPr>
                  </w:pPr>
                </w:p>
              </w:tc>
              <w:tc>
                <w:tcPr>
                  <w:tcW w:w="385" w:type="pct"/>
                  <w:vMerge w:val="continue"/>
                  <w:noWrap w:val="0"/>
                  <w:vAlign w:val="center"/>
                </w:tcPr>
                <w:p w14:paraId="4C28FD5A">
                  <w:pPr>
                    <w:pStyle w:val="2"/>
                    <w:keepNext w:val="0"/>
                    <w:keepLines w:val="0"/>
                    <w:suppressLineNumbers w:val="0"/>
                    <w:snapToGrid/>
                    <w:spacing w:before="0" w:beforeAutospacing="0" w:after="0" w:afterAutospacing="0" w:line="240" w:lineRule="auto"/>
                    <w:ind w:left="-105" w:leftChars="-50" w:right="-105" w:rightChars="-50"/>
                    <w:jc w:val="center"/>
                    <w:rPr>
                      <w:rFonts w:hint="default" w:ascii="Times New Roman" w:hAnsi="Times New Roman" w:eastAsia="宋体" w:cs="Times New Roman"/>
                      <w:b/>
                      <w:color w:val="0000FF"/>
                      <w:sz w:val="21"/>
                      <w:szCs w:val="21"/>
                    </w:rPr>
                  </w:pPr>
                </w:p>
              </w:tc>
            </w:tr>
            <w:tr w14:paraId="0B06A99E">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306" w:hRule="atLeast"/>
                <w:jc w:val="center"/>
              </w:trPr>
              <w:tc>
                <w:tcPr>
                  <w:tcW w:w="360" w:type="pct"/>
                  <w:vMerge w:val="restart"/>
                  <w:noWrap w:val="0"/>
                  <w:vAlign w:val="center"/>
                </w:tcPr>
                <w:p w14:paraId="5EFB7987">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G1</w:t>
                  </w:r>
                </w:p>
              </w:tc>
              <w:tc>
                <w:tcPr>
                  <w:tcW w:w="864" w:type="pct"/>
                  <w:noWrap w:val="0"/>
                  <w:vAlign w:val="center"/>
                </w:tcPr>
                <w:p w14:paraId="58C9566D">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TSP</w:t>
                  </w:r>
                </w:p>
              </w:tc>
              <w:tc>
                <w:tcPr>
                  <w:tcW w:w="727" w:type="pct"/>
                  <w:noWrap w:val="0"/>
                  <w:vAlign w:val="center"/>
                </w:tcPr>
                <w:p w14:paraId="27C2F614">
                  <w:pPr>
                    <w:pStyle w:val="2"/>
                    <w:keepNext w:val="0"/>
                    <w:keepLines w:val="0"/>
                    <w:suppressLineNumbers w:val="0"/>
                    <w:snapToGrid/>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日均值</w:t>
                  </w:r>
                </w:p>
              </w:tc>
              <w:tc>
                <w:tcPr>
                  <w:tcW w:w="547" w:type="pct"/>
                  <w:noWrap w:val="0"/>
                  <w:vAlign w:val="center"/>
                </w:tcPr>
                <w:p w14:paraId="072FAC78">
                  <w:pPr>
                    <w:pStyle w:val="2"/>
                    <w:keepNext w:val="0"/>
                    <w:keepLines w:val="0"/>
                    <w:suppressLineNumbers w:val="0"/>
                    <w:snapToGrid/>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300</w:t>
                  </w:r>
                </w:p>
              </w:tc>
              <w:tc>
                <w:tcPr>
                  <w:tcW w:w="1362" w:type="dxa"/>
                  <w:noWrap w:val="0"/>
                  <w:vAlign w:val="center"/>
                </w:tcPr>
                <w:p w14:paraId="14A5CD72">
                  <w:pPr>
                    <w:keepNext w:val="0"/>
                    <w:keepLines w:val="0"/>
                    <w:suppressLineNumbers w:val="0"/>
                    <w:spacing w:before="0" w:beforeAutospacing="0" w:after="0" w:afterAutospacing="0" w:line="276" w:lineRule="auto"/>
                    <w:ind w:left="0" w:right="0"/>
                    <w:jc w:val="center"/>
                    <w:textAlignment w:val="center"/>
                    <w:rPr>
                      <w:rFonts w:hint="default" w:ascii="Times New Roman" w:hAnsi="Times New Roman" w:eastAsia="宋体" w:cs="Times New Roman"/>
                      <w:color w:val="0000FF"/>
                      <w:sz w:val="21"/>
                      <w:szCs w:val="21"/>
                      <w:lang w:val="en-US" w:eastAsia="zh-CN"/>
                    </w:rPr>
                  </w:pPr>
                  <w:r>
                    <w:rPr>
                      <w:rFonts w:hint="default" w:ascii="Times New Roman" w:hAnsi="Times New Roman" w:cs="Times New Roman"/>
                      <w:kern w:val="2"/>
                      <w:sz w:val="21"/>
                      <w:szCs w:val="21"/>
                      <w:lang w:eastAsia="zh-CN"/>
                    </w:rPr>
                    <w:t>90~97</w:t>
                  </w:r>
                </w:p>
              </w:tc>
              <w:tc>
                <w:tcPr>
                  <w:tcW w:w="860" w:type="pct"/>
                  <w:noWrap w:val="0"/>
                  <w:vAlign w:val="center"/>
                </w:tcPr>
                <w:p w14:paraId="04A62A3E">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32%</w:t>
                  </w:r>
                </w:p>
              </w:tc>
              <w:tc>
                <w:tcPr>
                  <w:tcW w:w="711" w:type="dxa"/>
                  <w:noWrap w:val="0"/>
                  <w:vAlign w:val="center"/>
                </w:tcPr>
                <w:p w14:paraId="39CB87CC">
                  <w:pPr>
                    <w:keepNext w:val="0"/>
                    <w:keepLines w:val="0"/>
                    <w:suppressLineNumbers w:val="0"/>
                    <w:snapToGrid/>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637" w:type="dxa"/>
                  <w:noWrap w:val="0"/>
                  <w:vAlign w:val="center"/>
                </w:tcPr>
                <w:p w14:paraId="2CBEEC75">
                  <w:pPr>
                    <w:keepNext w:val="0"/>
                    <w:keepLines w:val="0"/>
                    <w:suppressLineNumbers w:val="0"/>
                    <w:snapToGrid/>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00AAB72C">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PrEx>
              <w:trPr>
                <w:trHeight w:val="306" w:hRule="atLeast"/>
                <w:jc w:val="center"/>
              </w:trPr>
              <w:tc>
                <w:tcPr>
                  <w:tcW w:w="360" w:type="pct"/>
                  <w:vMerge w:val="continue"/>
                  <w:noWrap w:val="0"/>
                  <w:vAlign w:val="center"/>
                </w:tcPr>
                <w:p w14:paraId="2B7D930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1429" w:type="dxa"/>
                  <w:noWrap w:val="0"/>
                  <w:vAlign w:val="center"/>
                </w:tcPr>
                <w:p w14:paraId="32AB3D37">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rPr>
                    <w:t>非甲烷总烃</w:t>
                  </w:r>
                </w:p>
              </w:tc>
              <w:tc>
                <w:tcPr>
                  <w:tcW w:w="1202" w:type="dxa"/>
                  <w:noWrap w:val="0"/>
                  <w:vAlign w:val="center"/>
                </w:tcPr>
                <w:p w14:paraId="3E089871">
                  <w:pPr>
                    <w:pStyle w:val="2"/>
                    <w:keepNext w:val="0"/>
                    <w:keepLines w:val="0"/>
                    <w:suppressLineNumbers w:val="0"/>
                    <w:snapToGrid/>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1h值</w:t>
                  </w:r>
                </w:p>
              </w:tc>
              <w:tc>
                <w:tcPr>
                  <w:tcW w:w="904" w:type="dxa"/>
                  <w:noWrap w:val="0"/>
                  <w:vAlign w:val="center"/>
                </w:tcPr>
                <w:p w14:paraId="47B6752E">
                  <w:pPr>
                    <w:pStyle w:val="2"/>
                    <w:keepNext w:val="0"/>
                    <w:keepLines w:val="0"/>
                    <w:suppressLineNumbers w:val="0"/>
                    <w:snapToGrid/>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2000</w:t>
                  </w:r>
                </w:p>
              </w:tc>
              <w:tc>
                <w:tcPr>
                  <w:tcW w:w="1362" w:type="dxa"/>
                  <w:noWrap w:val="0"/>
                  <w:vAlign w:val="center"/>
                </w:tcPr>
                <w:p w14:paraId="0DF89187">
                  <w:pPr>
                    <w:keepNext w:val="0"/>
                    <w:keepLines w:val="0"/>
                    <w:suppressLineNumbers w:val="0"/>
                    <w:spacing w:before="0" w:beforeAutospacing="0" w:after="0" w:afterAutospacing="0" w:line="276" w:lineRule="auto"/>
                    <w:ind w:left="0" w:right="0"/>
                    <w:jc w:val="center"/>
                    <w:textAlignment w:val="center"/>
                    <w:rPr>
                      <w:rFonts w:hint="default" w:ascii="Times New Roman" w:hAnsi="Times New Roman" w:eastAsia="宋体" w:cs="Times New Roman"/>
                      <w:color w:val="0000FF"/>
                      <w:sz w:val="21"/>
                      <w:szCs w:val="21"/>
                      <w:lang w:val="en-US" w:eastAsia="zh-CN"/>
                    </w:rPr>
                  </w:pPr>
                  <w:r>
                    <w:rPr>
                      <w:rFonts w:hint="default" w:ascii="Times New Roman" w:hAnsi="Times New Roman" w:cs="Times New Roman"/>
                      <w:kern w:val="2"/>
                      <w:sz w:val="21"/>
                      <w:szCs w:val="21"/>
                      <w:lang w:eastAsia="zh-CN"/>
                    </w:rPr>
                    <w:t>390~720</w:t>
                  </w:r>
                </w:p>
              </w:tc>
              <w:tc>
                <w:tcPr>
                  <w:tcW w:w="1422" w:type="dxa"/>
                  <w:noWrap w:val="0"/>
                  <w:vAlign w:val="center"/>
                </w:tcPr>
                <w:p w14:paraId="570F400D">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36</w:t>
                  </w:r>
                  <w:r>
                    <w:rPr>
                      <w:rFonts w:hint="default" w:ascii="Times New Roman" w:hAnsi="Times New Roman" w:eastAsia="宋体" w:cs="Times New Roman"/>
                      <w:color w:val="auto"/>
                      <w:sz w:val="21"/>
                      <w:szCs w:val="21"/>
                    </w:rPr>
                    <w:t>%</w:t>
                  </w:r>
                </w:p>
              </w:tc>
              <w:tc>
                <w:tcPr>
                  <w:tcW w:w="711" w:type="dxa"/>
                  <w:noWrap w:val="0"/>
                  <w:vAlign w:val="center"/>
                </w:tcPr>
                <w:p w14:paraId="43C57966">
                  <w:pPr>
                    <w:keepNext w:val="0"/>
                    <w:keepLines w:val="0"/>
                    <w:suppressLineNumbers w:val="0"/>
                    <w:snapToGrid/>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637" w:type="dxa"/>
                  <w:noWrap w:val="0"/>
                  <w:vAlign w:val="center"/>
                </w:tcPr>
                <w:p w14:paraId="483EE1CD">
                  <w:pPr>
                    <w:keepNext w:val="0"/>
                    <w:keepLines w:val="0"/>
                    <w:suppressLineNumbers w:val="0"/>
                    <w:snapToGrid/>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bl>
          <w:p w14:paraId="7469466E">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b/>
                <w:color w:val="0000FF"/>
                <w:sz w:val="24"/>
                <w:szCs w:val="24"/>
              </w:rPr>
            </w:pPr>
            <w:r>
              <w:rPr>
                <w:rFonts w:hint="default" w:ascii="Times New Roman" w:hAnsi="Times New Roman" w:eastAsia="宋体" w:cs="Times New Roman"/>
                <w:color w:val="auto"/>
                <w:lang w:val="en-US" w:eastAsia="zh-CN"/>
              </w:rPr>
              <w:t>由上表可知，</w:t>
            </w:r>
            <w:r>
              <w:rPr>
                <w:rFonts w:hint="eastAsia" w:ascii="Times New Roman" w:hAnsi="宋体"/>
                <w:color w:val="auto"/>
                <w:sz w:val="24"/>
                <w:szCs w:val="24"/>
                <w:lang w:eastAsia="zh-CN"/>
              </w:rPr>
              <w:t>特征污染物</w:t>
            </w:r>
            <w:r>
              <w:rPr>
                <w:rFonts w:hint="default" w:ascii="Times New Roman" w:hAnsi="宋体"/>
                <w:color w:val="auto"/>
                <w:sz w:val="24"/>
                <w:szCs w:val="24"/>
                <w:lang w:eastAsia="zh-CN"/>
              </w:rPr>
              <w:t>TSP</w:t>
            </w:r>
            <w:r>
              <w:rPr>
                <w:rFonts w:hint="eastAsia" w:ascii="Times New Roman" w:hAnsi="宋体"/>
                <w:color w:val="auto"/>
                <w:sz w:val="24"/>
                <w:szCs w:val="24"/>
                <w:lang w:eastAsia="zh-CN"/>
              </w:rPr>
              <w:t>环境空气质量满足《环境空气质量标准》（</w:t>
            </w:r>
            <w:r>
              <w:rPr>
                <w:rFonts w:hint="default" w:ascii="Times New Roman" w:hAnsi="宋体"/>
                <w:color w:val="auto"/>
                <w:sz w:val="24"/>
                <w:szCs w:val="24"/>
                <w:lang w:eastAsia="zh-CN"/>
              </w:rPr>
              <w:t>GB3095-20</w:t>
            </w:r>
            <w:r>
              <w:rPr>
                <w:rFonts w:hint="eastAsia" w:ascii="Times New Roman" w:hAnsi="宋体"/>
                <w:color w:val="auto"/>
                <w:sz w:val="24"/>
                <w:szCs w:val="24"/>
                <w:lang w:val="en-US" w:eastAsia="zh-CN"/>
              </w:rPr>
              <w:t>26</w:t>
            </w:r>
            <w:r>
              <w:rPr>
                <w:rFonts w:hint="eastAsia" w:ascii="Times New Roman" w:hAnsi="宋体"/>
                <w:color w:val="auto"/>
                <w:sz w:val="24"/>
                <w:szCs w:val="24"/>
                <w:lang w:eastAsia="zh-CN"/>
              </w:rPr>
              <w:t>）中的二级标准，</w:t>
            </w:r>
            <w:r>
              <w:rPr>
                <w:rFonts w:hint="default" w:ascii="Times New Roman" w:hAnsi="Times New Roman" w:eastAsia="宋体" w:cs="Times New Roman"/>
                <w:color w:val="auto"/>
                <w:lang w:val="en-US" w:eastAsia="zh-CN"/>
              </w:rPr>
              <w:t>非甲烷总烃浓度满足《大气污染物综合排放标准详解》中限值。</w:t>
            </w:r>
          </w:p>
          <w:p w14:paraId="2CDB0386">
            <w:pPr>
              <w:pStyle w:val="2"/>
              <w:keepNext w:val="0"/>
              <w:keepLines w:val="0"/>
              <w:suppressLineNumbers w:val="0"/>
              <w:snapToGrid/>
              <w:spacing w:before="0" w:beforeAutospacing="0" w:after="0" w:afterAutospacing="0" w:line="440" w:lineRule="atLeast"/>
              <w:ind w:left="0" w:right="233" w:firstLine="482" w:firstLineChars="200"/>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2、地表水环境质量现状</w:t>
            </w:r>
          </w:p>
          <w:p w14:paraId="1CBFB6D5">
            <w:pPr>
              <w:pStyle w:val="62"/>
              <w:keepNext w:val="0"/>
              <w:keepLines w:val="0"/>
              <w:suppressLineNumbers w:val="0"/>
              <w:bidi w:val="0"/>
              <w:spacing w:before="0" w:beforeAutospacing="0" w:after="0" w:afterAutospacing="0"/>
              <w:ind w:left="0" w:right="0"/>
              <w:rPr>
                <w:rFonts w:hint="eastAsia"/>
                <w:color w:val="auto"/>
                <w:lang w:eastAsia="zh-CN"/>
              </w:rPr>
            </w:pPr>
            <w:r>
              <w:rPr>
                <w:rFonts w:hint="default"/>
                <w:color w:val="auto"/>
              </w:rPr>
              <w:t>本项目废水经</w:t>
            </w:r>
            <w:r>
              <w:rPr>
                <w:rFonts w:hint="eastAsia"/>
                <w:color w:val="auto"/>
              </w:rPr>
              <w:t>市政污水管网</w:t>
            </w:r>
            <w:r>
              <w:rPr>
                <w:rFonts w:hint="default"/>
                <w:color w:val="auto"/>
              </w:rPr>
              <w:t>接入</w:t>
            </w:r>
            <w:r>
              <w:rPr>
                <w:rFonts w:hint="eastAsia"/>
                <w:color w:val="auto"/>
                <w:lang w:eastAsia="zh-CN"/>
              </w:rPr>
              <w:t>淮南市经济技术开发区工业污水处理厂</w:t>
            </w:r>
            <w:r>
              <w:rPr>
                <w:rFonts w:hint="default"/>
                <w:color w:val="auto"/>
              </w:rPr>
              <w:t>处理，处理达标后排入</w:t>
            </w:r>
            <w:r>
              <w:rPr>
                <w:rFonts w:hint="eastAsia"/>
                <w:color w:val="auto"/>
                <w:lang w:val="en-US" w:eastAsia="zh-CN"/>
              </w:rPr>
              <w:t>淮</w:t>
            </w:r>
            <w:r>
              <w:rPr>
                <w:rFonts w:hint="eastAsia"/>
                <w:color w:val="auto"/>
              </w:rPr>
              <w:t>河</w:t>
            </w:r>
            <w:r>
              <w:rPr>
                <w:rFonts w:hint="default"/>
                <w:color w:val="auto"/>
              </w:rPr>
              <w:t>。根据《环境影响评价技术导则地表水环境》（HJ2.3-2018）的要求，地表水环境质量现状调查优先采用国务院生态环境保护主管部门统一发布的水环境状况信息。本评价引用</w:t>
            </w:r>
            <w:r>
              <w:rPr>
                <w:rFonts w:hint="default"/>
                <w:color w:val="auto"/>
                <w:lang w:val="en-US" w:eastAsia="zh-CN"/>
              </w:rPr>
              <w:t>《</w:t>
            </w:r>
            <w:r>
              <w:rPr>
                <w:rFonts w:hint="default"/>
                <w:color w:val="auto"/>
              </w:rPr>
              <w:t>202</w:t>
            </w:r>
            <w:r>
              <w:rPr>
                <w:rFonts w:hint="eastAsia"/>
                <w:color w:val="auto"/>
                <w:lang w:val="en-US" w:eastAsia="zh-CN"/>
              </w:rPr>
              <w:t>5</w:t>
            </w:r>
            <w:r>
              <w:rPr>
                <w:rFonts w:hint="default"/>
                <w:color w:val="auto"/>
              </w:rPr>
              <w:t>年淮南市生态环境质量状况公报</w:t>
            </w:r>
            <w:r>
              <w:rPr>
                <w:rFonts w:hint="default"/>
                <w:color w:val="auto"/>
                <w:lang w:val="en-US" w:eastAsia="zh-CN"/>
              </w:rPr>
              <w:t>》</w:t>
            </w:r>
            <w:r>
              <w:rPr>
                <w:rFonts w:hint="eastAsia"/>
                <w:color w:val="auto"/>
                <w:lang w:eastAsia="zh-CN"/>
              </w:rPr>
              <w:t>：“</w:t>
            </w:r>
            <w:r>
              <w:rPr>
                <w:rFonts w:hint="eastAsia"/>
                <w:color w:val="auto"/>
              </w:rPr>
              <w:t>淮河干流水质状况为优，东淝河、西淝河、永幸河、陡涧河水质状况为优，架河、泥河、万小河、瓦西干渠、丁家沟和便民沟水质状况为良好。20个监测断面中优良水质比例为100%，与去年持平。袁庄水厂、东部城区水源地、西淝河闸下、窑口大桥和白洋淀渡口断面水质均有所好转（Ⅲ类→Ⅱ类），其他断面水质保持稳定。</w:t>
            </w:r>
            <w:r>
              <w:rPr>
                <w:rFonts w:hint="eastAsia"/>
                <w:color w:val="auto"/>
                <w:lang w:eastAsia="zh-CN"/>
              </w:rPr>
              <w:t>”</w:t>
            </w:r>
          </w:p>
          <w:p w14:paraId="449E70A2">
            <w:pPr>
              <w:pStyle w:val="2"/>
              <w:keepNext w:val="0"/>
              <w:keepLines w:val="0"/>
              <w:suppressLineNumbers w:val="0"/>
              <w:snapToGrid/>
              <w:spacing w:before="0" w:beforeAutospacing="0" w:after="0" w:afterAutospacing="0" w:line="440" w:lineRule="atLeast"/>
              <w:ind w:left="0" w:right="233" w:firstLine="482" w:firstLineChars="200"/>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3、声环境质量现状</w:t>
            </w:r>
          </w:p>
          <w:p w14:paraId="52B6B289">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440" w:lineRule="atLeast"/>
              <w:ind w:left="0" w:right="0" w:firstLine="480" w:firstLineChars="200"/>
              <w:textAlignment w:val="auto"/>
              <w:rPr>
                <w:rFonts w:hint="default" w:eastAsia="宋体"/>
                <w:color w:val="auto"/>
                <w:sz w:val="24"/>
              </w:rPr>
            </w:pPr>
            <w:r>
              <w:rPr>
                <w:rFonts w:hint="default" w:hAnsi="宋体" w:eastAsia="宋体"/>
                <w:color w:val="auto"/>
                <w:sz w:val="24"/>
              </w:rPr>
              <w:t>根据《建设项目环境影响报告表编制技术指南（污染影响类）》（试行）要求：</w:t>
            </w:r>
            <w:r>
              <w:rPr>
                <w:rFonts w:hint="eastAsia" w:eastAsia="宋体"/>
                <w:color w:val="auto"/>
                <w:sz w:val="24"/>
                <w:lang w:eastAsia="zh-CN"/>
              </w:rPr>
              <w:t>“</w:t>
            </w:r>
            <w:r>
              <w:rPr>
                <w:rStyle w:val="67"/>
                <w:rFonts w:hint="default"/>
                <w:color w:val="auto"/>
              </w:rPr>
              <w:t>厂界外周边50米范围内存在声环境保护目标的建设项目，应监测保护目标声环境质量现状并评价达标情况。</w:t>
            </w:r>
            <w:r>
              <w:rPr>
                <w:rStyle w:val="67"/>
                <w:rFonts w:hint="eastAsia"/>
                <w:color w:val="auto"/>
                <w:lang w:eastAsia="zh-CN"/>
              </w:rPr>
              <w:t>”</w:t>
            </w:r>
            <w:r>
              <w:rPr>
                <w:rStyle w:val="67"/>
                <w:rFonts w:hint="default"/>
                <w:color w:val="auto"/>
              </w:rPr>
              <w:t>据现场调查，本项目厂界外周边50米范围内不存在声环境保护目标，</w:t>
            </w:r>
            <w:r>
              <w:rPr>
                <w:rStyle w:val="67"/>
                <w:rFonts w:hint="eastAsia"/>
                <w:color w:val="auto"/>
                <w:lang w:val="en-US" w:eastAsia="zh-CN"/>
              </w:rPr>
              <w:t>则</w:t>
            </w:r>
            <w:r>
              <w:rPr>
                <w:rStyle w:val="67"/>
                <w:rFonts w:hint="default"/>
                <w:color w:val="auto"/>
              </w:rPr>
              <w:t>本项目无需进行声环境质量现状监测。</w:t>
            </w:r>
          </w:p>
          <w:p w14:paraId="12D7AFA6">
            <w:pPr>
              <w:keepNext w:val="0"/>
              <w:keepLines w:val="0"/>
              <w:suppressLineNumbers w:val="0"/>
              <w:adjustRightInd w:val="0"/>
              <w:spacing w:before="0" w:beforeAutospacing="0" w:after="0" w:afterAutospacing="0" w:line="440" w:lineRule="atLeast"/>
              <w:ind w:left="0" w:right="0" w:firstLine="482" w:firstLineChars="200"/>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4、地下水</w:t>
            </w:r>
            <w:r>
              <w:rPr>
                <w:rFonts w:hint="default" w:ascii="Times New Roman" w:hAnsi="Times New Roman" w:eastAsia="宋体" w:cs="Times New Roman"/>
                <w:b/>
                <w:color w:val="auto"/>
                <w:sz w:val="24"/>
                <w:lang w:eastAsia="zh-CN"/>
              </w:rPr>
              <w:t>、</w:t>
            </w:r>
            <w:r>
              <w:rPr>
                <w:rFonts w:hint="default" w:ascii="Times New Roman" w:hAnsi="Times New Roman" w:eastAsia="宋体" w:cs="Times New Roman"/>
                <w:b/>
                <w:color w:val="auto"/>
                <w:sz w:val="24"/>
                <w:lang w:val="en-US" w:eastAsia="zh-CN"/>
              </w:rPr>
              <w:t>土壤</w:t>
            </w:r>
            <w:r>
              <w:rPr>
                <w:rFonts w:hint="default" w:ascii="Times New Roman" w:hAnsi="Times New Roman" w:eastAsia="宋体" w:cs="Times New Roman"/>
                <w:b/>
                <w:color w:val="auto"/>
                <w:sz w:val="24"/>
              </w:rPr>
              <w:t>环境</w:t>
            </w:r>
          </w:p>
          <w:p w14:paraId="006A7FF3">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b/>
                <w:color w:val="auto"/>
                <w:sz w:val="24"/>
                <w:szCs w:val="24"/>
              </w:rPr>
            </w:pPr>
            <w:r>
              <w:rPr>
                <w:rFonts w:hint="default" w:ascii="Times New Roman" w:hAnsi="Times New Roman" w:eastAsia="宋体" w:cs="Times New Roman"/>
                <w:bCs/>
                <w:color w:val="auto"/>
                <w:sz w:val="24"/>
              </w:rPr>
              <w:t>本项目选址</w:t>
            </w:r>
            <w:r>
              <w:rPr>
                <w:rFonts w:hint="default" w:ascii="Times New Roman" w:hAnsi="Times New Roman" w:eastAsia="宋体" w:cs="Times New Roman"/>
                <w:bCs/>
                <w:color w:val="auto"/>
                <w:sz w:val="24"/>
                <w:lang w:val="en-US" w:eastAsia="zh-CN"/>
              </w:rPr>
              <w:t>位</w:t>
            </w:r>
            <w:r>
              <w:rPr>
                <w:rFonts w:hint="default" w:ascii="Times New Roman" w:hAnsi="Times New Roman" w:eastAsia="宋体" w:cs="Times New Roman"/>
                <w:bCs/>
                <w:color w:val="auto"/>
                <w:sz w:val="24"/>
              </w:rPr>
              <w:t>于</w:t>
            </w:r>
            <w:r>
              <w:rPr>
                <w:rFonts w:hint="eastAsia" w:ascii="Times New Roman" w:hAnsi="Times New Roman" w:cs="Times New Roman"/>
                <w:color w:val="auto"/>
                <w:sz w:val="24"/>
                <w:lang w:val="en-US" w:eastAsia="zh-CN"/>
              </w:rPr>
              <w:t>淮南</w:t>
            </w:r>
            <w:r>
              <w:rPr>
                <w:rFonts w:hint="eastAsia" w:ascii="Times New Roman" w:hAnsi="Times New Roman" w:eastAsia="宋体" w:cs="Times New Roman"/>
                <w:color w:val="auto"/>
                <w:sz w:val="24"/>
                <w:lang w:val="en-US" w:eastAsia="zh-CN"/>
              </w:rPr>
              <w:t>市经开区华兴路东侧、庆兴北侧智慧显示产业园</w:t>
            </w:r>
            <w:r>
              <w:rPr>
                <w:rFonts w:hint="eastAsia" w:ascii="Times New Roman" w:hAnsi="Times New Roman" w:cs="Times New Roman"/>
                <w:color w:val="auto"/>
                <w:sz w:val="24"/>
                <w:lang w:val="en-US" w:eastAsia="zh-CN"/>
              </w:rPr>
              <w:t>5#</w:t>
            </w:r>
            <w:r>
              <w:rPr>
                <w:rFonts w:hint="eastAsia" w:ascii="Times New Roman" w:hAnsi="Times New Roman" w:eastAsia="宋体" w:cs="Times New Roman"/>
                <w:color w:val="auto"/>
                <w:sz w:val="24"/>
                <w:lang w:val="en-US" w:eastAsia="zh-CN"/>
              </w:rPr>
              <w:t>厂房（西侧区域）</w:t>
            </w:r>
            <w:r>
              <w:rPr>
                <w:rFonts w:hint="default" w:ascii="Times New Roman" w:hAnsi="Times New Roman" w:eastAsia="宋体" w:cs="Times New Roman"/>
                <w:color w:val="auto"/>
                <w:sz w:val="24"/>
              </w:rPr>
              <w:t>，</w:t>
            </w:r>
            <w:r>
              <w:rPr>
                <w:rFonts w:hint="default" w:ascii="Times New Roman" w:hAnsi="Times New Roman" w:eastAsia="宋体" w:cs="Times New Roman"/>
                <w:color w:val="auto"/>
                <w:kern w:val="0"/>
                <w:sz w:val="24"/>
                <w:lang w:bidi="ar"/>
              </w:rPr>
              <w:t>厂界外500米范围内无地下水集中式饮用水水源和热水、矿泉水、温泉等特殊地下水资源。项目采取分区防渗措施后，不会对地下水、土壤造成影响。故本次评价不开展地下水、土壤环境质量现状调查。</w:t>
            </w:r>
          </w:p>
          <w:p w14:paraId="1D7EE4EB">
            <w:pPr>
              <w:keepNext w:val="0"/>
              <w:keepLines w:val="0"/>
              <w:suppressLineNumbers w:val="0"/>
              <w:adjustRightInd w:val="0"/>
              <w:spacing w:before="0" w:beforeAutospacing="0" w:after="0" w:afterAutospacing="0" w:line="440" w:lineRule="atLeast"/>
              <w:ind w:left="0" w:right="0" w:firstLine="482" w:firstLineChars="200"/>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5、生态环境</w:t>
            </w:r>
          </w:p>
          <w:p w14:paraId="656C09CE">
            <w:pPr>
              <w:pStyle w:val="62"/>
              <w:keepNext w:val="0"/>
              <w:keepLines w:val="0"/>
              <w:suppressLineNumbers w:val="0"/>
              <w:bidi w:val="0"/>
              <w:spacing w:before="0" w:beforeAutospacing="0" w:after="0" w:afterAutospacing="0"/>
              <w:ind w:left="0" w:right="0"/>
              <w:rPr>
                <w:rFonts w:hint="default"/>
                <w:color w:val="auto"/>
              </w:rPr>
            </w:pPr>
            <w:r>
              <w:rPr>
                <w:rFonts w:hint="default"/>
                <w:color w:val="auto"/>
              </w:rPr>
              <w:t>根据《建设项目环境影响报告表编制技术指南 （污染影响类）》（试行）规定</w:t>
            </w:r>
            <w:r>
              <w:rPr>
                <w:rFonts w:hint="eastAsia"/>
                <w:color w:val="auto"/>
                <w:lang w:eastAsia="zh-CN"/>
              </w:rPr>
              <w:t>，</w:t>
            </w:r>
            <w:r>
              <w:rPr>
                <w:rFonts w:hint="default"/>
                <w:color w:val="auto"/>
              </w:rPr>
              <w:t>本项目选址位于</w:t>
            </w:r>
            <w:r>
              <w:rPr>
                <w:rFonts w:hint="eastAsia" w:ascii="Times New Roman" w:hAnsi="Times New Roman" w:cs="Times New Roman"/>
                <w:color w:val="auto"/>
                <w:sz w:val="24"/>
                <w:lang w:val="en-US" w:eastAsia="zh-CN"/>
              </w:rPr>
              <w:t>淮南</w:t>
            </w:r>
            <w:r>
              <w:rPr>
                <w:rFonts w:hint="eastAsia" w:ascii="Times New Roman" w:hAnsi="Times New Roman" w:eastAsia="宋体" w:cs="Times New Roman"/>
                <w:color w:val="auto"/>
                <w:sz w:val="24"/>
                <w:lang w:val="en-US" w:eastAsia="zh-CN"/>
              </w:rPr>
              <w:t>市经开区华兴路东侧、庆兴北侧智慧显示产业园</w:t>
            </w:r>
            <w:r>
              <w:rPr>
                <w:rFonts w:hint="eastAsia" w:ascii="Times New Roman" w:hAnsi="Times New Roman" w:cs="Times New Roman"/>
                <w:color w:val="auto"/>
                <w:sz w:val="24"/>
                <w:lang w:val="en-US" w:eastAsia="zh-CN"/>
              </w:rPr>
              <w:t>5#</w:t>
            </w:r>
            <w:r>
              <w:rPr>
                <w:rFonts w:hint="eastAsia" w:ascii="Times New Roman" w:hAnsi="Times New Roman" w:eastAsia="宋体" w:cs="Times New Roman"/>
                <w:color w:val="auto"/>
                <w:sz w:val="24"/>
                <w:lang w:val="en-US" w:eastAsia="zh-CN"/>
              </w:rPr>
              <w:t>厂房（西侧区域）</w:t>
            </w:r>
            <w:r>
              <w:rPr>
                <w:rFonts w:hint="default"/>
                <w:color w:val="auto"/>
              </w:rPr>
              <w:t>，不新增用地，则项目无需进行生态环境现状调查。</w:t>
            </w:r>
          </w:p>
          <w:p w14:paraId="2064E166">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6、电磁辐射</w:t>
            </w:r>
          </w:p>
          <w:p w14:paraId="311860F2">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color w:val="0000FF"/>
                <w:lang w:val="en-US" w:eastAsia="zh-CN"/>
              </w:rPr>
            </w:pPr>
            <w:r>
              <w:rPr>
                <w:rFonts w:hint="default"/>
                <w:color w:val="auto"/>
                <w:lang w:val="en-US" w:eastAsia="zh-CN"/>
              </w:rPr>
              <w:t>本项目不属于广播电台、差转台、电视塔台、卫星地球上行站、雷达等电磁辐射类项目，因此不开展电磁辐射现状调查与评价。</w:t>
            </w:r>
          </w:p>
        </w:tc>
      </w:tr>
      <w:tr w14:paraId="05FC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8" w:hRule="atLeast"/>
          <w:jc w:val="center"/>
        </w:trPr>
        <w:tc>
          <w:tcPr>
            <w:tcW w:w="744" w:type="dxa"/>
            <w:noWrap w:val="0"/>
            <w:vAlign w:val="center"/>
          </w:tcPr>
          <w:p w14:paraId="45F6EA32">
            <w:pPr>
              <w:keepNext w:val="0"/>
              <w:keepLines w:val="0"/>
              <w:suppressLineNumbers w:val="0"/>
              <w:adjustRightInd w:val="0"/>
              <w:spacing w:before="0" w:beforeAutospacing="0" w:after="0" w:afterAutospacing="0" w:line="360" w:lineRule="auto"/>
              <w:ind w:left="0" w:right="0"/>
              <w:rPr>
                <w:rFonts w:hint="default" w:ascii="Times New Roman" w:hAnsi="Times New Roman" w:eastAsia="宋体" w:cs="Times New Roman"/>
                <w:color w:val="auto"/>
                <w:kern w:val="0"/>
                <w:sz w:val="24"/>
              </w:rPr>
            </w:pPr>
          </w:p>
          <w:p w14:paraId="1C515AB5">
            <w:pPr>
              <w:keepNext w:val="0"/>
              <w:keepLines w:val="0"/>
              <w:suppressLineNumbers w:val="0"/>
              <w:adjustRightInd w:val="0"/>
              <w:spacing w:before="0" w:beforeAutospacing="0" w:after="0" w:afterAutospacing="0" w:line="360" w:lineRule="auto"/>
              <w:ind w:left="0" w:right="0"/>
              <w:rPr>
                <w:rFonts w:hint="default" w:ascii="Times New Roman" w:hAnsi="Times New Roman" w:eastAsia="宋体" w:cs="Times New Roman"/>
                <w:color w:val="auto"/>
                <w:kern w:val="0"/>
                <w:sz w:val="24"/>
              </w:rPr>
            </w:pPr>
          </w:p>
          <w:p w14:paraId="6EC7CA2F">
            <w:pPr>
              <w:keepNext w:val="0"/>
              <w:keepLines w:val="0"/>
              <w:suppressLineNumbers w:val="0"/>
              <w:adjustRightInd w:val="0"/>
              <w:spacing w:before="0" w:beforeAutospacing="0" w:after="0" w:afterAutospacing="0" w:line="360" w:lineRule="auto"/>
              <w:ind w:left="0" w:right="0"/>
              <w:rPr>
                <w:rFonts w:hint="default" w:ascii="Times New Roman" w:hAnsi="Times New Roman" w:eastAsia="宋体" w:cs="Times New Roman"/>
                <w:color w:val="auto"/>
                <w:kern w:val="0"/>
                <w:sz w:val="24"/>
              </w:rPr>
            </w:pPr>
          </w:p>
          <w:p w14:paraId="6C84E209">
            <w:pPr>
              <w:keepNext w:val="0"/>
              <w:keepLines w:val="0"/>
              <w:suppressLineNumbers w:val="0"/>
              <w:adjustRightInd w:val="0"/>
              <w:spacing w:before="0" w:beforeAutospacing="0" w:after="0" w:afterAutospacing="0" w:line="360" w:lineRule="auto"/>
              <w:ind w:left="0" w:right="0"/>
              <w:rPr>
                <w:rFonts w:hint="default" w:ascii="Times New Roman" w:hAnsi="Times New Roman" w:eastAsia="宋体" w:cs="Times New Roman"/>
                <w:color w:val="auto"/>
                <w:kern w:val="0"/>
                <w:sz w:val="24"/>
              </w:rPr>
            </w:pPr>
          </w:p>
          <w:p w14:paraId="2E5B9AAC">
            <w:pPr>
              <w:keepNext w:val="0"/>
              <w:keepLines w:val="0"/>
              <w:suppressLineNumbers w:val="0"/>
              <w:adjustRightInd w:val="0"/>
              <w:spacing w:before="0" w:beforeAutospacing="0" w:after="0" w:afterAutospacing="0" w:line="360" w:lineRule="auto"/>
              <w:ind w:left="0" w:right="0"/>
              <w:rPr>
                <w:rFonts w:hint="default" w:ascii="Times New Roman" w:hAnsi="Times New Roman" w:eastAsia="宋体" w:cs="Times New Roman"/>
                <w:color w:val="auto"/>
                <w:kern w:val="0"/>
                <w:sz w:val="24"/>
              </w:rPr>
            </w:pPr>
          </w:p>
          <w:p w14:paraId="1C89B598">
            <w:pPr>
              <w:keepNext w:val="0"/>
              <w:keepLines w:val="0"/>
              <w:suppressLineNumbers w:val="0"/>
              <w:adjustRightInd w:val="0"/>
              <w:spacing w:before="0" w:beforeAutospacing="0" w:after="0" w:afterAutospacing="0" w:line="360" w:lineRule="auto"/>
              <w:ind w:left="0" w:right="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环境</w:t>
            </w:r>
          </w:p>
          <w:p w14:paraId="42A06D4C">
            <w:pPr>
              <w:keepNext w:val="0"/>
              <w:keepLines w:val="0"/>
              <w:suppressLineNumbers w:val="0"/>
              <w:adjustRightInd w:val="0"/>
              <w:spacing w:before="0" w:beforeAutospacing="0" w:after="0" w:afterAutospacing="0" w:line="360" w:lineRule="auto"/>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保护</w:t>
            </w:r>
          </w:p>
          <w:p w14:paraId="7EE8CAD5">
            <w:pPr>
              <w:keepNext w:val="0"/>
              <w:keepLines w:val="0"/>
              <w:suppressLineNumbers w:val="0"/>
              <w:adjustRightInd w:val="0"/>
              <w:spacing w:before="0" w:beforeAutospacing="0" w:after="0" w:afterAutospacing="0" w:line="360" w:lineRule="auto"/>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目标</w:t>
            </w:r>
          </w:p>
          <w:p w14:paraId="671E838A">
            <w:pPr>
              <w:pStyle w:val="44"/>
              <w:keepNext w:val="0"/>
              <w:keepLines w:val="0"/>
              <w:suppressLineNumbers w:val="0"/>
              <w:spacing w:before="0" w:beforeAutospacing="0" w:afterAutospacing="0"/>
              <w:ind w:left="0" w:right="0"/>
              <w:rPr>
                <w:rFonts w:hint="default" w:ascii="Times New Roman" w:hAnsi="Times New Roman" w:eastAsia="宋体" w:cs="Times New Roman"/>
                <w:color w:val="auto"/>
                <w:kern w:val="0"/>
                <w:sz w:val="24"/>
              </w:rPr>
            </w:pPr>
          </w:p>
          <w:p w14:paraId="0E7071BF">
            <w:pPr>
              <w:pStyle w:val="44"/>
              <w:keepNext w:val="0"/>
              <w:keepLines w:val="0"/>
              <w:suppressLineNumbers w:val="0"/>
              <w:spacing w:before="0" w:beforeAutospacing="0" w:afterAutospacing="0"/>
              <w:ind w:left="0" w:right="0"/>
              <w:rPr>
                <w:rFonts w:hint="default" w:ascii="Times New Roman" w:hAnsi="Times New Roman" w:eastAsia="宋体" w:cs="Times New Roman"/>
                <w:color w:val="auto"/>
                <w:kern w:val="0"/>
                <w:sz w:val="24"/>
              </w:rPr>
            </w:pPr>
          </w:p>
        </w:tc>
        <w:tc>
          <w:tcPr>
            <w:tcW w:w="8496" w:type="dxa"/>
            <w:noWrap w:val="0"/>
            <w:vAlign w:val="top"/>
          </w:tcPr>
          <w:p w14:paraId="3FB2DDF6">
            <w:pPr>
              <w:pStyle w:val="21"/>
              <w:keepNext w:val="0"/>
              <w:keepLines w:val="0"/>
              <w:suppressLineNumbers w:val="0"/>
              <w:spacing w:before="0" w:beforeAutospacing="0" w:after="0" w:afterAutospacing="0" w:line="440" w:lineRule="exact"/>
              <w:ind w:left="0" w:leftChars="0" w:right="0" w:firstLine="482" w:firstLineChars="200"/>
              <w:jc w:val="both"/>
              <w:rPr>
                <w:rFonts w:hint="default" w:ascii="Times New Roman" w:hAnsi="Times New Roman" w:eastAsia="宋体" w:cs="Times New Roman"/>
                <w:b/>
                <w:color w:val="auto"/>
              </w:rPr>
            </w:pPr>
            <w:r>
              <w:rPr>
                <w:rFonts w:hint="default" w:ascii="Times New Roman" w:hAnsi="Times New Roman" w:eastAsia="宋体" w:cs="Times New Roman"/>
                <w:b/>
                <w:color w:val="auto"/>
              </w:rPr>
              <w:t>1、大气环境</w:t>
            </w:r>
          </w:p>
          <w:p w14:paraId="4AFF4329">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both"/>
              <w:textAlignment w:val="auto"/>
              <w:rPr>
                <w:rFonts w:hint="eastAsia" w:ascii="Times New Roman" w:hAnsi="Times New Roman" w:eastAsia="宋体" w:cs="Times New Roman"/>
                <w:color w:val="auto"/>
                <w:lang w:eastAsia="zh-CN"/>
              </w:rPr>
            </w:pPr>
            <w:r>
              <w:rPr>
                <w:rFonts w:hint="default" w:ascii="Times New Roman" w:hAnsi="宋体" w:eastAsia="宋体" w:cs="Times New Roman"/>
                <w:color w:val="auto"/>
              </w:rPr>
              <w:t>本项目厂界外500米范围内涉及的大气环境保护目标如下表所示：</w:t>
            </w:r>
          </w:p>
          <w:p w14:paraId="40FB9D53">
            <w:pPr>
              <w:pStyle w:val="6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表3-5  大气环境保护目标</w:t>
            </w:r>
          </w:p>
          <w:tbl>
            <w:tblPr>
              <w:tblStyle w:val="5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925"/>
              <w:gridCol w:w="900"/>
              <w:gridCol w:w="760"/>
              <w:gridCol w:w="840"/>
              <w:gridCol w:w="2171"/>
              <w:gridCol w:w="960"/>
              <w:gridCol w:w="959"/>
            </w:tblGrid>
            <w:tr w14:paraId="05A28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455" w:type="pct"/>
                  <w:vMerge w:val="restart"/>
                  <w:noWrap w:val="0"/>
                  <w:vAlign w:val="center"/>
                </w:tcPr>
                <w:p w14:paraId="014AA891">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名称</w:t>
                  </w:r>
                </w:p>
              </w:tc>
              <w:tc>
                <w:tcPr>
                  <w:tcW w:w="1103" w:type="pct"/>
                  <w:gridSpan w:val="2"/>
                  <w:noWrap w:val="0"/>
                  <w:vAlign w:val="center"/>
                </w:tcPr>
                <w:p w14:paraId="63FEBD15">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坐标</w:t>
                  </w:r>
                  <w:r>
                    <w:rPr>
                      <w:rFonts w:hint="default" w:ascii="Times New Roman" w:hAnsi="Times New Roman" w:cs="Times New Roman"/>
                      <w:b/>
                      <w:bCs w:val="0"/>
                      <w:color w:val="auto"/>
                      <w:sz w:val="21"/>
                      <w:szCs w:val="21"/>
                      <w:lang w:val="en-US" w:eastAsia="zh-CN"/>
                    </w:rPr>
                    <w:t>（°）</w:t>
                  </w:r>
                </w:p>
              </w:tc>
              <w:tc>
                <w:tcPr>
                  <w:tcW w:w="459" w:type="pct"/>
                  <w:vMerge w:val="restart"/>
                  <w:noWrap w:val="0"/>
                  <w:vAlign w:val="center"/>
                </w:tcPr>
                <w:p w14:paraId="0BB6D546">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保护对象</w:t>
                  </w:r>
                </w:p>
              </w:tc>
              <w:tc>
                <w:tcPr>
                  <w:tcW w:w="507" w:type="pct"/>
                  <w:vMerge w:val="restart"/>
                  <w:noWrap w:val="0"/>
                  <w:vAlign w:val="center"/>
                </w:tcPr>
                <w:p w14:paraId="3F1F6488">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保护内容</w:t>
                  </w:r>
                </w:p>
              </w:tc>
              <w:tc>
                <w:tcPr>
                  <w:tcW w:w="1312" w:type="pct"/>
                  <w:vMerge w:val="restart"/>
                  <w:noWrap w:val="0"/>
                  <w:vAlign w:val="center"/>
                </w:tcPr>
                <w:p w14:paraId="4FB648E2">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环境功能区</w:t>
                  </w:r>
                </w:p>
              </w:tc>
              <w:tc>
                <w:tcPr>
                  <w:tcW w:w="580" w:type="pct"/>
                  <w:vMerge w:val="restart"/>
                  <w:noWrap w:val="0"/>
                  <w:vAlign w:val="center"/>
                </w:tcPr>
                <w:p w14:paraId="7CAEF887">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相对厂址最近方位</w:t>
                  </w:r>
                </w:p>
              </w:tc>
              <w:tc>
                <w:tcPr>
                  <w:tcW w:w="579" w:type="pct"/>
                  <w:vMerge w:val="restart"/>
                  <w:noWrap w:val="0"/>
                  <w:vAlign w:val="center"/>
                </w:tcPr>
                <w:p w14:paraId="23AA20CD">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相对厂界距离/m</w:t>
                  </w:r>
                </w:p>
              </w:tc>
            </w:tr>
            <w:tr w14:paraId="05FD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55" w:type="pct"/>
                  <w:vMerge w:val="continue"/>
                  <w:noWrap w:val="0"/>
                  <w:vAlign w:val="center"/>
                </w:tcPr>
                <w:p w14:paraId="2F8A99F4">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lang w:val="en-US" w:eastAsia="zh-CN"/>
                    </w:rPr>
                  </w:pPr>
                </w:p>
              </w:tc>
              <w:tc>
                <w:tcPr>
                  <w:tcW w:w="559" w:type="pct"/>
                  <w:noWrap w:val="0"/>
                  <w:vAlign w:val="center"/>
                </w:tcPr>
                <w:p w14:paraId="452935FE">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经度</w:t>
                  </w:r>
                </w:p>
              </w:tc>
              <w:tc>
                <w:tcPr>
                  <w:tcW w:w="544" w:type="pct"/>
                  <w:noWrap w:val="0"/>
                  <w:vAlign w:val="center"/>
                </w:tcPr>
                <w:p w14:paraId="6768CAD2">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纬度</w:t>
                  </w:r>
                </w:p>
              </w:tc>
              <w:tc>
                <w:tcPr>
                  <w:tcW w:w="459" w:type="pct"/>
                  <w:vMerge w:val="continue"/>
                  <w:noWrap w:val="0"/>
                  <w:vAlign w:val="center"/>
                </w:tcPr>
                <w:p w14:paraId="5D2935D2">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lang w:val="en-US" w:eastAsia="zh-CN"/>
                    </w:rPr>
                  </w:pPr>
                </w:p>
              </w:tc>
              <w:tc>
                <w:tcPr>
                  <w:tcW w:w="507" w:type="pct"/>
                  <w:vMerge w:val="continue"/>
                  <w:noWrap w:val="0"/>
                  <w:vAlign w:val="center"/>
                </w:tcPr>
                <w:p w14:paraId="18B3FF86">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lang w:val="en-US" w:eastAsia="zh-CN"/>
                    </w:rPr>
                  </w:pPr>
                </w:p>
              </w:tc>
              <w:tc>
                <w:tcPr>
                  <w:tcW w:w="1312" w:type="pct"/>
                  <w:vMerge w:val="continue"/>
                  <w:noWrap w:val="0"/>
                  <w:vAlign w:val="center"/>
                </w:tcPr>
                <w:p w14:paraId="3BCFEA2C">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lang w:val="en-US" w:eastAsia="zh-CN"/>
                    </w:rPr>
                  </w:pPr>
                </w:p>
              </w:tc>
              <w:tc>
                <w:tcPr>
                  <w:tcW w:w="580" w:type="pct"/>
                  <w:vMerge w:val="continue"/>
                  <w:noWrap w:val="0"/>
                  <w:vAlign w:val="center"/>
                </w:tcPr>
                <w:p w14:paraId="50D754BF">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lang w:val="en-US" w:eastAsia="zh-CN"/>
                    </w:rPr>
                  </w:pPr>
                </w:p>
              </w:tc>
              <w:tc>
                <w:tcPr>
                  <w:tcW w:w="579" w:type="pct"/>
                  <w:vMerge w:val="continue"/>
                  <w:noWrap w:val="0"/>
                  <w:vAlign w:val="center"/>
                </w:tcPr>
                <w:p w14:paraId="107F65DB">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lang w:val="en-US" w:eastAsia="zh-CN"/>
                    </w:rPr>
                  </w:pPr>
                </w:p>
              </w:tc>
            </w:tr>
            <w:tr w14:paraId="41C9B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55" w:type="pct"/>
                  <w:noWrap w:val="0"/>
                  <w:vAlign w:val="center"/>
                </w:tcPr>
                <w:p w14:paraId="3CB60510">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cs="Times New Roman"/>
                      <w:b w:val="0"/>
                      <w:bCs/>
                      <w:color w:val="auto"/>
                      <w:sz w:val="21"/>
                      <w:szCs w:val="21"/>
                      <w:lang w:val="en-US" w:eastAsia="zh-CN"/>
                    </w:rPr>
                    <w:t>文华东郡</w:t>
                  </w:r>
                </w:p>
              </w:tc>
              <w:tc>
                <w:tcPr>
                  <w:tcW w:w="559" w:type="pct"/>
                  <w:noWrap w:val="0"/>
                  <w:vAlign w:val="center"/>
                </w:tcPr>
                <w:p w14:paraId="433E4371">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117.089019061</w:t>
                  </w:r>
                </w:p>
              </w:tc>
              <w:tc>
                <w:tcPr>
                  <w:tcW w:w="544" w:type="pct"/>
                  <w:noWrap w:val="0"/>
                  <w:vAlign w:val="center"/>
                </w:tcPr>
                <w:p w14:paraId="012B9DE4">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32.650318661</w:t>
                  </w:r>
                </w:p>
              </w:tc>
              <w:tc>
                <w:tcPr>
                  <w:tcW w:w="459" w:type="pct"/>
                  <w:noWrap w:val="0"/>
                  <w:vAlign w:val="center"/>
                </w:tcPr>
                <w:p w14:paraId="32AC0F1C">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居民</w:t>
                  </w:r>
                </w:p>
              </w:tc>
              <w:tc>
                <w:tcPr>
                  <w:tcW w:w="507" w:type="pct"/>
                  <w:noWrap w:val="0"/>
                  <w:vAlign w:val="center"/>
                </w:tcPr>
                <w:p w14:paraId="0FCFC14F">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约</w:t>
                  </w:r>
                  <w:r>
                    <w:rPr>
                      <w:rFonts w:hint="eastAsia" w:ascii="Times New Roman" w:hAnsi="Times New Roman" w:cs="Times New Roman"/>
                      <w:b w:val="0"/>
                      <w:bCs/>
                      <w:color w:val="auto"/>
                      <w:sz w:val="21"/>
                      <w:szCs w:val="21"/>
                      <w:lang w:val="en-US" w:eastAsia="zh-CN"/>
                    </w:rPr>
                    <w:t>5</w:t>
                  </w:r>
                  <w:r>
                    <w:rPr>
                      <w:rFonts w:hint="default" w:ascii="Times New Roman" w:hAnsi="Times New Roman" w:eastAsia="宋体" w:cs="Times New Roman"/>
                      <w:b w:val="0"/>
                      <w:bCs/>
                      <w:color w:val="auto"/>
                      <w:sz w:val="21"/>
                      <w:szCs w:val="21"/>
                      <w:lang w:val="en-US" w:eastAsia="zh-CN"/>
                    </w:rPr>
                    <w:t>00人</w:t>
                  </w:r>
                </w:p>
              </w:tc>
              <w:tc>
                <w:tcPr>
                  <w:tcW w:w="1312" w:type="pct"/>
                  <w:noWrap w:val="0"/>
                  <w:vAlign w:val="center"/>
                </w:tcPr>
                <w:p w14:paraId="73222A9D">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《环境空气质量标准》(GB3095-20</w:t>
                  </w:r>
                  <w:r>
                    <w:rPr>
                      <w:rFonts w:hint="default" w:ascii="Times New Roman" w:hAnsi="Times New Roman" w:cs="Times New Roman"/>
                      <w:b w:val="0"/>
                      <w:bCs/>
                      <w:color w:val="auto"/>
                      <w:sz w:val="21"/>
                      <w:szCs w:val="21"/>
                      <w:lang w:val="en-US" w:eastAsia="zh-CN"/>
                    </w:rPr>
                    <w:t>26</w:t>
                  </w:r>
                  <w:r>
                    <w:rPr>
                      <w:rFonts w:hint="default" w:ascii="Times New Roman" w:hAnsi="Times New Roman" w:eastAsia="宋体" w:cs="Times New Roman"/>
                      <w:b w:val="0"/>
                      <w:bCs/>
                      <w:color w:val="auto"/>
                      <w:sz w:val="21"/>
                      <w:szCs w:val="21"/>
                      <w:lang w:val="en-US" w:eastAsia="zh-CN"/>
                    </w:rPr>
                    <w:t>)二级标准</w:t>
                  </w:r>
                </w:p>
              </w:tc>
              <w:tc>
                <w:tcPr>
                  <w:tcW w:w="580" w:type="pct"/>
                  <w:noWrap w:val="0"/>
                  <w:vAlign w:val="center"/>
                </w:tcPr>
                <w:p w14:paraId="343D511C">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cs="Times New Roman"/>
                      <w:b w:val="0"/>
                      <w:bCs/>
                      <w:color w:val="auto"/>
                      <w:sz w:val="21"/>
                      <w:szCs w:val="21"/>
                      <w:lang w:val="en-US" w:eastAsia="zh-CN"/>
                    </w:rPr>
                    <w:t>SW</w:t>
                  </w:r>
                </w:p>
              </w:tc>
              <w:tc>
                <w:tcPr>
                  <w:tcW w:w="579" w:type="pct"/>
                  <w:noWrap w:val="0"/>
                  <w:vAlign w:val="center"/>
                </w:tcPr>
                <w:p w14:paraId="2CE936DD">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cs="Times New Roman"/>
                      <w:b w:val="0"/>
                      <w:bCs/>
                      <w:color w:val="auto"/>
                      <w:sz w:val="21"/>
                      <w:szCs w:val="21"/>
                      <w:lang w:val="en-US" w:eastAsia="zh-CN"/>
                    </w:rPr>
                    <w:t>110</w:t>
                  </w:r>
                </w:p>
              </w:tc>
            </w:tr>
          </w:tbl>
          <w:p w14:paraId="09BAB314">
            <w:pPr>
              <w:pStyle w:val="21"/>
              <w:keepNext w:val="0"/>
              <w:keepLines w:val="0"/>
              <w:suppressLineNumbers w:val="0"/>
              <w:spacing w:before="0" w:beforeAutospacing="0" w:after="0" w:afterAutospacing="0" w:line="440" w:lineRule="exact"/>
              <w:ind w:left="0" w:leftChars="0" w:right="0" w:firstLine="482" w:firstLineChars="200"/>
              <w:jc w:val="both"/>
              <w:rPr>
                <w:rFonts w:hint="default" w:ascii="Times New Roman" w:hAnsi="Times New Roman" w:eastAsia="宋体" w:cs="Times New Roman"/>
                <w:b/>
                <w:color w:val="auto"/>
              </w:rPr>
            </w:pPr>
            <w:r>
              <w:rPr>
                <w:rFonts w:hint="default" w:ascii="Times New Roman" w:hAnsi="Times New Roman" w:eastAsia="宋体" w:cs="Times New Roman"/>
                <w:b/>
                <w:color w:val="auto"/>
              </w:rPr>
              <w:t>2、声环境</w:t>
            </w:r>
          </w:p>
          <w:p w14:paraId="49A5446A">
            <w:pPr>
              <w:pStyle w:val="62"/>
              <w:keepNext w:val="0"/>
              <w:keepLines w:val="0"/>
              <w:suppressLineNumbers w:val="0"/>
              <w:bidi w:val="0"/>
              <w:spacing w:before="0" w:beforeAutospacing="0" w:after="0" w:afterAutospacing="0"/>
              <w:ind w:left="0" w:right="0"/>
              <w:jc w:val="both"/>
              <w:rPr>
                <w:rFonts w:hint="default"/>
                <w:color w:val="auto"/>
              </w:rPr>
            </w:pPr>
            <w:r>
              <w:rPr>
                <w:rFonts w:hint="default"/>
                <w:color w:val="auto"/>
              </w:rPr>
              <w:t>根据现场勘查，项目厂界外50m范围内无声环境保护目标。</w:t>
            </w:r>
          </w:p>
          <w:p w14:paraId="28285C41">
            <w:pPr>
              <w:pStyle w:val="21"/>
              <w:keepNext w:val="0"/>
              <w:keepLines w:val="0"/>
              <w:suppressLineNumbers w:val="0"/>
              <w:spacing w:before="0" w:beforeAutospacing="0" w:after="0" w:afterAutospacing="0" w:line="440" w:lineRule="exact"/>
              <w:ind w:left="0" w:leftChars="0" w:right="0" w:firstLine="482" w:firstLineChars="200"/>
              <w:jc w:val="both"/>
              <w:rPr>
                <w:rFonts w:hint="default" w:ascii="Times New Roman" w:hAnsi="Times New Roman" w:eastAsia="宋体" w:cs="Times New Roman"/>
                <w:b/>
                <w:color w:val="auto"/>
              </w:rPr>
            </w:pPr>
            <w:r>
              <w:rPr>
                <w:rFonts w:hint="default" w:ascii="Times New Roman" w:hAnsi="Times New Roman" w:eastAsia="宋体" w:cs="Times New Roman"/>
                <w:b/>
                <w:color w:val="auto"/>
              </w:rPr>
              <w:t>3、地下水环境</w:t>
            </w:r>
          </w:p>
          <w:p w14:paraId="0CB36111">
            <w:pPr>
              <w:pStyle w:val="21"/>
              <w:keepNext w:val="0"/>
              <w:keepLines w:val="0"/>
              <w:suppressLineNumbers w:val="0"/>
              <w:spacing w:before="0" w:beforeAutospacing="0" w:after="0" w:afterAutospacing="0" w:line="440" w:lineRule="exact"/>
              <w:ind w:left="0" w:leftChars="0" w:right="0" w:firstLine="480" w:firstLineChars="200"/>
              <w:jc w:val="both"/>
              <w:rPr>
                <w:rFonts w:hint="default" w:ascii="Times New Roman" w:hAnsi="Times New Roman" w:eastAsia="宋体" w:cs="Times New Roman"/>
                <w:b/>
                <w:color w:val="auto"/>
              </w:rPr>
            </w:pPr>
            <w:r>
              <w:rPr>
                <w:rFonts w:hint="default" w:ascii="Times New Roman" w:hAnsi="Times New Roman" w:eastAsia="宋体" w:cs="Times New Roman"/>
                <w:color w:val="auto"/>
              </w:rPr>
              <w:t>根据现场勘查，项目厂界外500m范围内无集中式饮用水水源和热水、矿泉水、温泉等特殊地下资源。</w:t>
            </w:r>
          </w:p>
          <w:p w14:paraId="797AA24D">
            <w:pPr>
              <w:pStyle w:val="21"/>
              <w:keepNext w:val="0"/>
              <w:keepLines w:val="0"/>
              <w:suppressLineNumbers w:val="0"/>
              <w:spacing w:before="0" w:beforeAutospacing="0" w:after="0" w:afterAutospacing="0" w:line="440" w:lineRule="exact"/>
              <w:ind w:left="0" w:leftChars="0" w:right="0" w:firstLine="482" w:firstLineChars="200"/>
              <w:jc w:val="both"/>
              <w:rPr>
                <w:rFonts w:hint="default" w:ascii="Times New Roman" w:hAnsi="Times New Roman" w:eastAsia="宋体" w:cs="Times New Roman"/>
                <w:b/>
                <w:color w:val="auto"/>
              </w:rPr>
            </w:pPr>
            <w:r>
              <w:rPr>
                <w:rFonts w:hint="default" w:ascii="Times New Roman" w:hAnsi="Times New Roman" w:eastAsia="宋体" w:cs="Times New Roman"/>
                <w:b/>
                <w:color w:val="auto"/>
              </w:rPr>
              <w:t>4、生态环境</w:t>
            </w:r>
          </w:p>
          <w:p w14:paraId="09E3F845">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color w:val="0000FF"/>
              </w:rPr>
            </w:pPr>
            <w:r>
              <w:rPr>
                <w:rFonts w:hint="default"/>
                <w:color w:val="auto"/>
                <w:lang w:val="en-US" w:eastAsia="zh-CN"/>
              </w:rPr>
              <w:t>项目建设不涉及生态环境保护目标。</w:t>
            </w:r>
          </w:p>
        </w:tc>
      </w:tr>
      <w:tr w14:paraId="6469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4" w:type="dxa"/>
            <w:noWrap w:val="0"/>
            <w:tcMar>
              <w:left w:w="28" w:type="dxa"/>
              <w:right w:w="28" w:type="dxa"/>
            </w:tcMar>
            <w:vAlign w:val="center"/>
          </w:tcPr>
          <w:p w14:paraId="29B1226E">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229738A8">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668290F9">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4FA2254B">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2F3ADB9F">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2BC50DA3">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7C6AA2F9">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污染</w:t>
            </w:r>
          </w:p>
          <w:p w14:paraId="74A096DA">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物排</w:t>
            </w:r>
          </w:p>
          <w:p w14:paraId="2CC82DC4">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放控</w:t>
            </w:r>
          </w:p>
          <w:p w14:paraId="0AE3EF13">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制标</w:t>
            </w:r>
          </w:p>
          <w:p w14:paraId="35423EBC">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准</w:t>
            </w:r>
          </w:p>
          <w:p w14:paraId="5238B024">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362E9023">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4FD81BE1">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1153C319">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39B98BB8">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0D25F2EE">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2648516E">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169F5E6D">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5237E501">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4B50D240">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6D50A05D">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1668FB15">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3793581F">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59D485E1">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43F1EF11">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50A9B17E">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6E9FDFA3">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263AD21C">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1C35BB45">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污染</w:t>
            </w:r>
          </w:p>
          <w:p w14:paraId="37A96739">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物排</w:t>
            </w:r>
          </w:p>
          <w:p w14:paraId="4992009C">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放控</w:t>
            </w:r>
          </w:p>
          <w:p w14:paraId="6E806EDF">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制标</w:t>
            </w:r>
          </w:p>
          <w:p w14:paraId="6565F24D">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准</w:t>
            </w:r>
          </w:p>
          <w:p w14:paraId="01F1F637">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019D4EB4">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4C4AE95E">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53156182">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01D5353D">
            <w:pPr>
              <w:keepNext w:val="0"/>
              <w:keepLines w:val="0"/>
              <w:suppressLineNumbers w:val="0"/>
              <w:adjustRightInd w:val="0"/>
              <w:spacing w:before="0" w:beforeAutospacing="0" w:after="0" w:afterAutospacing="0" w:line="440" w:lineRule="exact"/>
              <w:ind w:left="0" w:right="0"/>
              <w:rPr>
                <w:rFonts w:hint="default" w:ascii="Times New Roman" w:hAnsi="Times New Roman" w:eastAsia="宋体" w:cs="Times New Roman"/>
                <w:color w:val="auto"/>
                <w:kern w:val="0"/>
                <w:sz w:val="24"/>
              </w:rPr>
            </w:pPr>
          </w:p>
          <w:p w14:paraId="35A16298">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0A71A493">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16CEFB71">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573260B2">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4C29265A">
            <w:pPr>
              <w:keepNext w:val="0"/>
              <w:keepLines w:val="0"/>
              <w:suppressLineNumbers w:val="0"/>
              <w:adjustRightInd w:val="0"/>
              <w:spacing w:before="0" w:beforeAutospacing="0" w:after="0" w:afterAutospacing="0" w:line="440" w:lineRule="exact"/>
              <w:ind w:left="0" w:right="0"/>
              <w:rPr>
                <w:rFonts w:hint="default" w:ascii="Times New Roman" w:hAnsi="Times New Roman" w:eastAsia="宋体" w:cs="Times New Roman"/>
                <w:color w:val="auto"/>
                <w:kern w:val="0"/>
                <w:sz w:val="24"/>
              </w:rPr>
            </w:pPr>
          </w:p>
          <w:p w14:paraId="01D3C495">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13CD28B5">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26B1970E">
            <w:pPr>
              <w:keepNext w:val="0"/>
              <w:keepLines w:val="0"/>
              <w:suppressLineNumbers w:val="0"/>
              <w:adjustRightInd w:val="0"/>
              <w:spacing w:before="0" w:beforeAutospacing="0" w:after="0" w:afterAutospacing="0" w:line="440" w:lineRule="exact"/>
              <w:ind w:left="0" w:right="0"/>
              <w:jc w:val="both"/>
              <w:rPr>
                <w:rFonts w:hint="default" w:ascii="Times New Roman" w:hAnsi="Times New Roman" w:eastAsia="宋体" w:cs="Times New Roman"/>
                <w:color w:val="auto"/>
                <w:kern w:val="0"/>
                <w:sz w:val="24"/>
              </w:rPr>
            </w:pPr>
          </w:p>
          <w:p w14:paraId="38C36B09">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10652035">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73C56032">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06BB9DD1">
            <w:pPr>
              <w:keepNext w:val="0"/>
              <w:keepLines w:val="0"/>
              <w:suppressLineNumbers w:val="0"/>
              <w:adjustRightInd w:val="0"/>
              <w:spacing w:before="0" w:beforeAutospacing="0" w:after="0" w:afterAutospacing="0" w:line="440" w:lineRule="exact"/>
              <w:ind w:left="0" w:right="0"/>
              <w:jc w:val="both"/>
              <w:rPr>
                <w:rFonts w:hint="default" w:ascii="Times New Roman" w:hAnsi="Times New Roman" w:eastAsia="宋体" w:cs="Times New Roman"/>
                <w:color w:val="auto"/>
                <w:kern w:val="0"/>
                <w:sz w:val="24"/>
              </w:rPr>
            </w:pPr>
          </w:p>
          <w:p w14:paraId="74FB6C29">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140EC927">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291E8837">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463B58C9">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污染</w:t>
            </w:r>
          </w:p>
          <w:p w14:paraId="44A4364C">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物排</w:t>
            </w:r>
          </w:p>
          <w:p w14:paraId="07105B87">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放控</w:t>
            </w:r>
          </w:p>
          <w:p w14:paraId="7BB4B3BF">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制标</w:t>
            </w:r>
          </w:p>
          <w:p w14:paraId="3283EC23">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准</w:t>
            </w:r>
          </w:p>
          <w:p w14:paraId="6C59B976">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09EB94C8">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7471D509">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0387C564">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p>
          <w:p w14:paraId="3C17E572">
            <w:pPr>
              <w:keepNext w:val="0"/>
              <w:keepLines w:val="0"/>
              <w:suppressLineNumbers w:val="0"/>
              <w:adjustRightInd w:val="0"/>
              <w:spacing w:before="0" w:beforeAutospacing="0" w:after="0" w:afterAutospacing="0" w:line="440" w:lineRule="exact"/>
              <w:ind w:left="0" w:right="0"/>
              <w:jc w:val="both"/>
              <w:rPr>
                <w:rFonts w:hint="default" w:ascii="Times New Roman" w:hAnsi="Times New Roman" w:eastAsia="宋体" w:cs="Times New Roman"/>
                <w:color w:val="auto"/>
                <w:kern w:val="0"/>
                <w:sz w:val="24"/>
              </w:rPr>
            </w:pPr>
          </w:p>
          <w:p w14:paraId="19437B8A">
            <w:pPr>
              <w:keepNext w:val="0"/>
              <w:keepLines w:val="0"/>
              <w:suppressLineNumbers w:val="0"/>
              <w:adjustRightInd w:val="0"/>
              <w:spacing w:before="0" w:beforeAutospacing="0" w:after="0" w:afterAutospacing="0" w:line="440" w:lineRule="exact"/>
              <w:ind w:left="0" w:right="0"/>
              <w:jc w:val="both"/>
              <w:rPr>
                <w:rFonts w:hint="default" w:ascii="Times New Roman" w:hAnsi="Times New Roman" w:eastAsia="宋体" w:cs="Times New Roman"/>
                <w:color w:val="auto"/>
              </w:rPr>
            </w:pPr>
          </w:p>
        </w:tc>
        <w:tc>
          <w:tcPr>
            <w:tcW w:w="8496" w:type="dxa"/>
            <w:noWrap w:val="0"/>
            <w:vAlign w:val="top"/>
          </w:tcPr>
          <w:p w14:paraId="1535408D">
            <w:pPr>
              <w:keepNext w:val="0"/>
              <w:keepLines w:val="0"/>
              <w:suppressLineNumbers w:val="0"/>
              <w:spacing w:before="0" w:beforeAutospacing="0" w:after="0" w:afterAutospacing="0" w:line="440" w:lineRule="exact"/>
              <w:ind w:left="0" w:right="0" w:firstLine="482" w:firstLineChars="200"/>
              <w:rPr>
                <w:rFonts w:hint="default" w:ascii="Times New Roman" w:hAnsi="Times New Roman" w:eastAsia="宋体" w:cs="Times New Roman"/>
                <w:b/>
                <w:bCs/>
                <w:snapToGrid w:val="0"/>
                <w:color w:val="auto"/>
                <w:kern w:val="0"/>
                <w:sz w:val="24"/>
              </w:rPr>
            </w:pPr>
            <w:r>
              <w:rPr>
                <w:rFonts w:hint="default" w:ascii="Times New Roman" w:hAnsi="Times New Roman" w:eastAsia="宋体" w:cs="Times New Roman"/>
                <w:b/>
                <w:bCs/>
                <w:snapToGrid w:val="0"/>
                <w:color w:val="auto"/>
                <w:kern w:val="0"/>
                <w:sz w:val="24"/>
              </w:rPr>
              <w:t>1、废气</w:t>
            </w:r>
          </w:p>
          <w:p w14:paraId="16CB3EC9">
            <w:pPr>
              <w:pStyle w:val="62"/>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（1）有组织</w:t>
            </w:r>
          </w:p>
          <w:p w14:paraId="7D40B5DA">
            <w:pPr>
              <w:pStyle w:val="62"/>
              <w:keepNext w:val="0"/>
              <w:keepLines w:val="0"/>
              <w:suppressLineNumbers w:val="0"/>
              <w:bidi w:val="0"/>
              <w:spacing w:before="0" w:beforeAutospacing="0" w:after="0" w:afterAutospacing="0"/>
              <w:ind w:left="0" w:right="0"/>
              <w:rPr>
                <w:rFonts w:hint="default"/>
                <w:color w:val="0000FF"/>
              </w:rPr>
            </w:pPr>
            <w:r>
              <w:rPr>
                <w:rFonts w:hint="eastAsia"/>
                <w:color w:val="auto"/>
                <w:lang w:val="en-US" w:eastAsia="zh-CN"/>
              </w:rPr>
              <w:t>营运期箱式渗碳淬废气（非甲烷总烃）、淬火回火废气（颗粒物、非甲烷总烃）有组织排放</w:t>
            </w:r>
            <w:r>
              <w:rPr>
                <w:rFonts w:hint="eastAsia"/>
                <w:color w:val="auto"/>
                <w:sz w:val="24"/>
              </w:rPr>
              <w:t>执行《大气污染物综合排放标准》（GB16297-1996）</w:t>
            </w:r>
            <w:r>
              <w:rPr>
                <w:rFonts w:hint="eastAsia" w:ascii="Times New Roman" w:hAnsi="Times New Roman" w:eastAsia="宋体" w:cs="Times New Roman"/>
                <w:color w:val="auto"/>
                <w:sz w:val="24"/>
                <w:lang w:val="en-US" w:eastAsia="zh-CN"/>
              </w:rPr>
              <w:t>表2标准限值；</w:t>
            </w:r>
            <w:r>
              <w:rPr>
                <w:rFonts w:hint="eastAsia" w:eastAsia="宋体"/>
                <w:b w:val="0"/>
                <w:bCs w:val="0"/>
                <w:color w:val="auto"/>
                <w:sz w:val="24"/>
                <w:szCs w:val="24"/>
                <w:lang w:val="en-US" w:eastAsia="zh-CN"/>
              </w:rPr>
              <w:t>天然气燃烧产生的</w:t>
            </w:r>
            <w:r>
              <w:rPr>
                <w:rFonts w:hint="eastAsia" w:cs="Times New Roman"/>
                <w:b w:val="0"/>
                <w:bCs w:val="0"/>
                <w:color w:val="auto"/>
                <w:sz w:val="24"/>
                <w:szCs w:val="24"/>
              </w:rPr>
              <w:t>颗粒物、二氧化硫</w:t>
            </w:r>
            <w:r>
              <w:rPr>
                <w:rFonts w:hint="eastAsia" w:cs="Times New Roman"/>
                <w:b w:val="0"/>
                <w:bCs w:val="0"/>
                <w:color w:val="auto"/>
                <w:sz w:val="24"/>
                <w:szCs w:val="24"/>
                <w:lang w:val="en-US" w:eastAsia="zh-CN"/>
              </w:rPr>
              <w:t>排放浓度</w:t>
            </w:r>
            <w:r>
              <w:rPr>
                <w:rFonts w:hint="eastAsia" w:cs="Times New Roman"/>
                <w:b w:val="0"/>
                <w:bCs w:val="0"/>
                <w:color w:val="auto"/>
                <w:sz w:val="24"/>
                <w:szCs w:val="24"/>
              </w:rPr>
              <w:t>执行《关于印发&lt;工业炉窑大气污染综合治理方案&gt;的通知》（环大气[2019]56号）中要求</w:t>
            </w:r>
            <w:r>
              <w:rPr>
                <w:rFonts w:hint="eastAsia" w:cs="Times New Roman"/>
                <w:b w:val="0"/>
                <w:bCs w:val="0"/>
                <w:color w:val="auto"/>
                <w:sz w:val="24"/>
                <w:szCs w:val="24"/>
                <w:lang w:eastAsia="zh-CN"/>
              </w:rPr>
              <w:t>（</w:t>
            </w:r>
            <w:r>
              <w:rPr>
                <w:rFonts w:hint="eastAsia" w:cs="Times New Roman"/>
                <w:b w:val="0"/>
                <w:bCs w:val="0"/>
                <w:color w:val="auto"/>
                <w:sz w:val="24"/>
                <w:szCs w:val="24"/>
              </w:rPr>
              <w:t>颗粒物、二氧化硫排放限值分别不高于30、200毫克/立方米</w:t>
            </w:r>
            <w:r>
              <w:rPr>
                <w:rFonts w:hint="eastAsia" w:cs="Times New Roman"/>
                <w:b w:val="0"/>
                <w:bCs w:val="0"/>
                <w:color w:val="auto"/>
                <w:sz w:val="24"/>
                <w:szCs w:val="24"/>
                <w:lang w:eastAsia="zh-CN"/>
              </w:rPr>
              <w:t>），</w:t>
            </w:r>
            <w:r>
              <w:rPr>
                <w:rFonts w:hint="eastAsia" w:cs="Times New Roman"/>
                <w:b w:val="0"/>
                <w:bCs w:val="0"/>
                <w:color w:val="auto"/>
                <w:sz w:val="24"/>
                <w:szCs w:val="24"/>
                <w:lang w:val="en-US" w:eastAsia="zh-CN"/>
              </w:rPr>
              <w:t>氮氧化物排放浓度执行</w:t>
            </w:r>
            <w:r>
              <w:rPr>
                <w:rFonts w:hint="eastAsia" w:ascii="Times New Roman" w:hAnsi="Times New Roman"/>
                <w:b w:val="0"/>
                <w:bCs w:val="0"/>
                <w:color w:val="auto"/>
                <w:sz w:val="24"/>
                <w:szCs w:val="24"/>
              </w:rPr>
              <w:t>《关于印发&lt;淮南市</w:t>
            </w:r>
            <w:r>
              <w:rPr>
                <w:rFonts w:hint="eastAsia" w:ascii="宋体" w:hAnsi="宋体" w:eastAsia="宋体" w:cs="宋体"/>
                <w:b w:val="0"/>
                <w:bCs w:val="0"/>
                <w:color w:val="auto"/>
                <w:sz w:val="24"/>
                <w:szCs w:val="24"/>
                <w:lang w:val="en-US" w:eastAsia="zh-CN"/>
              </w:rPr>
              <w:t>“十四五”大气污染防治规划&gt;的通知</w:t>
            </w:r>
            <w:r>
              <w:rPr>
                <w:rFonts w:hint="eastAsia" w:ascii="Times New Roman" w:hAnsi="Times New Roman"/>
                <w:b w:val="0"/>
                <w:bCs w:val="0"/>
                <w:color w:val="auto"/>
                <w:sz w:val="24"/>
                <w:szCs w:val="24"/>
              </w:rPr>
              <w:t>》（淮环委办〔2022〕</w:t>
            </w:r>
            <w:r>
              <w:rPr>
                <w:rFonts w:hint="eastAsia" w:ascii="Times New Roman" w:hAnsi="Times New Roman"/>
                <w:b w:val="0"/>
                <w:bCs w:val="0"/>
                <w:color w:val="auto"/>
                <w:sz w:val="24"/>
                <w:szCs w:val="24"/>
                <w:lang w:val="en-US" w:eastAsia="zh-CN"/>
              </w:rPr>
              <w:t>4</w:t>
            </w:r>
            <w:r>
              <w:rPr>
                <w:rFonts w:hint="eastAsia" w:ascii="Times New Roman" w:hAnsi="Times New Roman"/>
                <w:b w:val="0"/>
                <w:bCs w:val="0"/>
                <w:color w:val="auto"/>
                <w:sz w:val="24"/>
                <w:szCs w:val="24"/>
              </w:rPr>
              <w:t>9号）</w:t>
            </w:r>
            <w:r>
              <w:rPr>
                <w:rFonts w:hint="eastAsia" w:cs="Times New Roman"/>
                <w:b w:val="0"/>
                <w:bCs w:val="0"/>
                <w:color w:val="auto"/>
                <w:sz w:val="24"/>
                <w:szCs w:val="24"/>
              </w:rPr>
              <w:t>中要求</w:t>
            </w:r>
            <w:r>
              <w:rPr>
                <w:rFonts w:hint="eastAsia" w:cs="Times New Roman"/>
                <w:b w:val="0"/>
                <w:bCs w:val="0"/>
                <w:color w:val="auto"/>
                <w:sz w:val="24"/>
                <w:szCs w:val="24"/>
                <w:lang w:eastAsia="zh-CN"/>
              </w:rPr>
              <w:t>（</w:t>
            </w:r>
            <w:r>
              <w:rPr>
                <w:rFonts w:hint="eastAsia" w:cs="Times New Roman"/>
                <w:b w:val="0"/>
                <w:bCs w:val="0"/>
                <w:color w:val="auto"/>
                <w:sz w:val="24"/>
                <w:szCs w:val="24"/>
              </w:rPr>
              <w:t>氮氧化物排放限值分别不高于</w:t>
            </w:r>
            <w:r>
              <w:rPr>
                <w:rFonts w:hint="eastAsia" w:cs="Times New Roman"/>
                <w:b w:val="0"/>
                <w:bCs w:val="0"/>
                <w:color w:val="auto"/>
                <w:sz w:val="24"/>
                <w:szCs w:val="24"/>
                <w:lang w:val="en-US" w:eastAsia="zh-CN"/>
              </w:rPr>
              <w:t>5</w:t>
            </w:r>
            <w:r>
              <w:rPr>
                <w:rFonts w:hint="eastAsia" w:cs="Times New Roman"/>
                <w:b w:val="0"/>
                <w:bCs w:val="0"/>
                <w:color w:val="auto"/>
                <w:sz w:val="24"/>
                <w:szCs w:val="24"/>
              </w:rPr>
              <w:t>0毫克/立方米</w:t>
            </w:r>
            <w:r>
              <w:rPr>
                <w:rFonts w:hint="eastAsia" w:cs="Times New Roman"/>
                <w:b w:val="0"/>
                <w:bCs w:val="0"/>
                <w:color w:val="auto"/>
                <w:sz w:val="24"/>
                <w:szCs w:val="24"/>
                <w:lang w:eastAsia="zh-CN"/>
              </w:rPr>
              <w:t>）。</w:t>
            </w:r>
          </w:p>
          <w:p w14:paraId="29EEC8DD">
            <w:pPr>
              <w:pStyle w:val="62"/>
              <w:keepNext w:val="0"/>
              <w:keepLines w:val="0"/>
              <w:suppressLineNumbers w:val="0"/>
              <w:bidi w:val="0"/>
              <w:spacing w:before="0" w:beforeAutospacing="0" w:after="0" w:afterAutospacing="0"/>
              <w:ind w:left="0" w:right="0"/>
              <w:rPr>
                <w:rFonts w:hint="default"/>
                <w:color w:val="0000FF"/>
              </w:rPr>
            </w:pPr>
            <w:r>
              <w:rPr>
                <w:rFonts w:hint="eastAsia"/>
                <w:color w:val="auto"/>
                <w:sz w:val="24"/>
              </w:rPr>
              <w:t>根据《大气污染物综合排放标准》（GB16297-1996）“7.1 排气筒高度除须遵守表列排放速率标准值外，还应高出周围200米半径范围的建筑5米以上，不能达到该要求的排气筒，应按其高度对应的表列排放速率标准值严格50%执行。”根据</w:t>
            </w:r>
            <w:r>
              <w:rPr>
                <w:rFonts w:hint="eastAsia"/>
                <w:color w:val="auto"/>
                <w:sz w:val="24"/>
                <w:lang w:val="en-US" w:eastAsia="zh-CN"/>
              </w:rPr>
              <w:t>现场踏勘</w:t>
            </w:r>
            <w:r>
              <w:rPr>
                <w:rFonts w:hint="eastAsia"/>
                <w:color w:val="auto"/>
                <w:sz w:val="24"/>
              </w:rPr>
              <w:t>，项目</w:t>
            </w:r>
            <w:r>
              <w:rPr>
                <w:rFonts w:hint="eastAsia"/>
                <w:color w:val="auto"/>
                <w:sz w:val="24"/>
                <w:lang w:val="en-US" w:eastAsia="zh-CN"/>
              </w:rPr>
              <w:t>西南侧110m处建筑（文化东郡）楼层高远大于20m</w:t>
            </w:r>
            <w:r>
              <w:rPr>
                <w:rFonts w:hint="eastAsia"/>
                <w:color w:val="auto"/>
                <w:sz w:val="24"/>
              </w:rPr>
              <w:t>，而本次排气筒高度设计为</w:t>
            </w:r>
            <w:r>
              <w:rPr>
                <w:rFonts w:hint="eastAsia"/>
                <w:color w:val="auto"/>
                <w:sz w:val="24"/>
                <w:lang w:val="en-US" w:eastAsia="zh-CN"/>
              </w:rPr>
              <w:t>15</w:t>
            </w:r>
            <w:r>
              <w:rPr>
                <w:rFonts w:hint="eastAsia"/>
                <w:color w:val="auto"/>
                <w:sz w:val="24"/>
              </w:rPr>
              <w:t>m，则排放速率标准值严格按50%执行。</w:t>
            </w:r>
          </w:p>
          <w:p w14:paraId="6ADECD87">
            <w:pPr>
              <w:pStyle w:val="62"/>
              <w:keepNext w:val="0"/>
              <w:keepLines w:val="0"/>
              <w:suppressLineNumbers w:val="0"/>
              <w:bidi w:val="0"/>
              <w:spacing w:before="0" w:beforeAutospacing="0" w:after="0" w:afterAutospacing="0"/>
              <w:ind w:left="0" w:right="0"/>
              <w:rPr>
                <w:rFonts w:hint="default"/>
                <w:color w:val="0000FF"/>
                <w:szCs w:val="24"/>
                <w:highlight w:val="none"/>
              </w:rPr>
            </w:pPr>
            <w:r>
              <w:rPr>
                <w:rFonts w:hint="eastAsia" w:ascii="Times New Roman" w:hAnsi="Times New Roman" w:cs="Times New Roman"/>
                <w:color w:val="auto"/>
                <w:sz w:val="24"/>
                <w:highlight w:val="none"/>
                <w:lang w:val="en-US" w:eastAsia="zh-CN"/>
              </w:rPr>
              <w:t>具体限值要求见下表</w:t>
            </w:r>
            <w:r>
              <w:rPr>
                <w:rFonts w:hint="default"/>
                <w:color w:val="auto"/>
              </w:rPr>
              <w:t>。</w:t>
            </w:r>
          </w:p>
          <w:p w14:paraId="74EF990B">
            <w:pPr>
              <w:keepNext w:val="0"/>
              <w:keepLines w:val="0"/>
              <w:pageBreakBefore w:val="0"/>
              <w:widowControl w:val="0"/>
              <w:suppressLineNumbers w:val="0"/>
              <w:tabs>
                <w:tab w:val="left" w:pos="4425"/>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Style w:val="66"/>
                <w:color w:val="0000FF"/>
                <w:lang w:val="zh-CN"/>
              </w:rPr>
            </w:pPr>
          </w:p>
          <w:p w14:paraId="6C4CDFCD">
            <w:pPr>
              <w:keepNext w:val="0"/>
              <w:keepLines w:val="0"/>
              <w:pageBreakBefore w:val="0"/>
              <w:widowControl w:val="0"/>
              <w:suppressLineNumbers w:val="0"/>
              <w:tabs>
                <w:tab w:val="left" w:pos="4425"/>
              </w:tabs>
              <w:kinsoku/>
              <w:wordWrap/>
              <w:overflowPunct/>
              <w:topLinePunct w:val="0"/>
              <w:autoSpaceDE/>
              <w:autoSpaceDN/>
              <w:bidi w:val="0"/>
              <w:adjustRightInd/>
              <w:snapToGrid/>
              <w:spacing w:before="0" w:beforeAutospacing="0" w:after="0" w:afterAutospacing="0" w:line="440" w:lineRule="exact"/>
              <w:ind w:left="0" w:right="0" w:firstLine="211" w:firstLineChars="100"/>
              <w:jc w:val="center"/>
              <w:textAlignment w:val="auto"/>
              <w:rPr>
                <w:rFonts w:hint="default" w:ascii="Times New Roman" w:hAnsi="Times New Roman" w:eastAsia="Times New Roman" w:cs="Times New Roman"/>
                <w:b/>
                <w:bCs/>
                <w:color w:val="auto"/>
                <w:highlight w:val="none"/>
              </w:rPr>
            </w:pPr>
            <w:r>
              <w:rPr>
                <w:rStyle w:val="66"/>
                <w:color w:val="auto"/>
                <w:lang w:val="zh-CN"/>
              </w:rPr>
              <w:t>表</w:t>
            </w:r>
            <w:r>
              <w:rPr>
                <w:rStyle w:val="66"/>
                <w:rFonts w:hint="default" w:ascii="Times New Roman" w:hAnsi="Times New Roman" w:cs="Times New Roman"/>
                <w:color w:val="auto"/>
              </w:rPr>
              <w:t>3-</w:t>
            </w:r>
            <w:r>
              <w:rPr>
                <w:rStyle w:val="66"/>
                <w:rFonts w:hint="eastAsia" w:ascii="Times New Roman" w:hAnsi="Times New Roman" w:cs="Times New Roman"/>
                <w:color w:val="auto"/>
                <w:lang w:val="en-US" w:eastAsia="zh-CN"/>
              </w:rPr>
              <w:t xml:space="preserve">6  </w:t>
            </w:r>
            <w:r>
              <w:rPr>
                <w:rStyle w:val="66"/>
                <w:rFonts w:hint="default" w:ascii="Times New Roman" w:hAnsi="Times New Roman" w:cs="Times New Roman"/>
                <w:color w:val="auto"/>
                <w:lang w:val="zh-CN"/>
              </w:rPr>
              <w:t>大气污染物</w:t>
            </w:r>
            <w:r>
              <w:rPr>
                <w:rStyle w:val="66"/>
                <w:rFonts w:hint="default" w:ascii="Times New Roman" w:hAnsi="Times New Roman" w:cs="Times New Roman"/>
                <w:color w:val="auto"/>
                <w:lang w:val="en-US" w:eastAsia="zh-CN"/>
              </w:rPr>
              <w:t>有</w:t>
            </w:r>
            <w:r>
              <w:rPr>
                <w:rFonts w:hint="default" w:ascii="Times New Roman" w:hAnsi="Times New Roman" w:eastAsia="Times New Roman" w:cs="Times New Roman"/>
                <w:b/>
                <w:bCs/>
                <w:color w:val="auto"/>
                <w:highlight w:val="none"/>
                <w:lang w:val="en-US" w:eastAsia="zh-CN"/>
              </w:rPr>
              <w:t>组织</w:t>
            </w:r>
            <w:r>
              <w:rPr>
                <w:rFonts w:hint="default" w:ascii="Times New Roman" w:hAnsi="Times New Roman" w:eastAsia="Times New Roman" w:cs="Times New Roman"/>
                <w:b/>
                <w:bCs/>
                <w:color w:val="auto"/>
                <w:highlight w:val="none"/>
                <w:lang w:val="zh-CN"/>
              </w:rPr>
              <w:t>排放标准</w:t>
            </w:r>
            <w:r>
              <w:rPr>
                <w:rFonts w:hint="default" w:ascii="Times New Roman" w:hAnsi="Times New Roman" w:eastAsia="Times New Roman" w:cs="Times New Roman"/>
                <w:b/>
                <w:bCs/>
                <w:color w:val="auto"/>
                <w:highlight w:val="none"/>
              </w:rPr>
              <w:t xml:space="preserve">  单位：mg/m³</w:t>
            </w:r>
          </w:p>
          <w:tbl>
            <w:tblPr>
              <w:tblStyle w:val="53"/>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
              <w:gridCol w:w="894"/>
              <w:gridCol w:w="1036"/>
              <w:gridCol w:w="1191"/>
              <w:gridCol w:w="773"/>
              <w:gridCol w:w="981"/>
              <w:gridCol w:w="1000"/>
              <w:gridCol w:w="2010"/>
            </w:tblGrid>
            <w:tr w14:paraId="70CFE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228" w:type="pct"/>
                  <w:noWrap w:val="0"/>
                  <w:vAlign w:val="center"/>
                </w:tcPr>
                <w:p w14:paraId="0DD4AC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42" w:leftChars="-20" w:right="-42" w:rightChars="-20"/>
                    <w:jc w:val="center"/>
                    <w:textAlignment w:val="auto"/>
                    <w:rPr>
                      <w:rFonts w:hint="default" w:ascii="Times New Roman" w:hAnsi="Times New Roman" w:cs="Times New Roman"/>
                      <w:color w:val="auto"/>
                      <w:sz w:val="21"/>
                      <w:szCs w:val="21"/>
                    </w:rPr>
                  </w:pPr>
                  <w:r>
                    <w:rPr>
                      <w:rFonts w:hint="default" w:ascii="Times New Roman" w:hAnsi="Times New Roman" w:cs="Times New Roman"/>
                      <w:b/>
                      <w:bCs/>
                      <w:color w:val="auto"/>
                      <w:sz w:val="21"/>
                      <w:szCs w:val="21"/>
                    </w:rPr>
                    <w:t>序号</w:t>
                  </w:r>
                </w:p>
              </w:tc>
              <w:tc>
                <w:tcPr>
                  <w:tcW w:w="540" w:type="pct"/>
                  <w:noWrap w:val="0"/>
                  <w:vAlign w:val="center"/>
                </w:tcPr>
                <w:p w14:paraId="1440CE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排气筒</w:t>
                  </w:r>
                </w:p>
              </w:tc>
              <w:tc>
                <w:tcPr>
                  <w:tcW w:w="626" w:type="pct"/>
                  <w:noWrap w:val="0"/>
                  <w:vAlign w:val="center"/>
                </w:tcPr>
                <w:p w14:paraId="61347C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cs="Times New Roman"/>
                      <w:b/>
                      <w:bCs/>
                      <w:color w:val="auto"/>
                      <w:sz w:val="21"/>
                      <w:szCs w:val="21"/>
                    </w:rPr>
                    <w:t>污染物</w:t>
                  </w:r>
                  <w:r>
                    <w:rPr>
                      <w:rFonts w:hint="default" w:ascii="Times New Roman" w:hAnsi="Times New Roman" w:cs="Times New Roman"/>
                      <w:b/>
                      <w:bCs/>
                      <w:color w:val="auto"/>
                      <w:sz w:val="21"/>
                      <w:szCs w:val="21"/>
                      <w:lang w:val="en-US" w:eastAsia="zh-CN"/>
                    </w:rPr>
                    <w:t>/产品</w:t>
                  </w:r>
                </w:p>
              </w:tc>
              <w:tc>
                <w:tcPr>
                  <w:tcW w:w="720" w:type="pct"/>
                  <w:noWrap w:val="0"/>
                  <w:vAlign w:val="center"/>
                </w:tcPr>
                <w:p w14:paraId="1C34BC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42" w:leftChars="-20" w:right="-42" w:rightChars="-20"/>
                    <w:jc w:val="center"/>
                    <w:textAlignment w:val="auto"/>
                    <w:rPr>
                      <w:rFonts w:hint="default" w:ascii="Times New Roman" w:hAnsi="Times New Roman" w:cs="Times New Roman"/>
                      <w:color w:val="auto"/>
                      <w:sz w:val="21"/>
                      <w:szCs w:val="21"/>
                    </w:rPr>
                  </w:pPr>
                  <w:r>
                    <w:rPr>
                      <w:rFonts w:hint="default" w:ascii="Times New Roman" w:hAnsi="Times New Roman" w:cs="Times New Roman"/>
                      <w:b/>
                      <w:bCs/>
                      <w:color w:val="auto"/>
                      <w:sz w:val="21"/>
                      <w:szCs w:val="21"/>
                    </w:rPr>
                    <w:t>排放限值（mg/m³）</w:t>
                  </w:r>
                </w:p>
              </w:tc>
              <w:tc>
                <w:tcPr>
                  <w:tcW w:w="467" w:type="pct"/>
                  <w:noWrap w:val="0"/>
                  <w:vAlign w:val="center"/>
                </w:tcPr>
                <w:p w14:paraId="45FE43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42" w:leftChars="-20" w:right="-42" w:rightChars="-2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排气筒高度（m）</w:t>
                  </w:r>
                </w:p>
              </w:tc>
              <w:tc>
                <w:tcPr>
                  <w:tcW w:w="593" w:type="pct"/>
                  <w:noWrap w:val="0"/>
                  <w:vAlign w:val="center"/>
                </w:tcPr>
                <w:p w14:paraId="081DD6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42" w:leftChars="-20" w:right="-42" w:rightChars="-20"/>
                    <w:jc w:val="center"/>
                    <w:textAlignment w:val="auto"/>
                    <w:rPr>
                      <w:rFonts w:hint="default" w:ascii="Times New Roman" w:hAnsi="Times New Roman" w:cs="Times New Roman"/>
                      <w:color w:val="auto"/>
                      <w:sz w:val="21"/>
                      <w:szCs w:val="21"/>
                    </w:rPr>
                  </w:pPr>
                  <w:r>
                    <w:rPr>
                      <w:rFonts w:hint="default" w:ascii="Times New Roman" w:hAnsi="Times New Roman" w:cs="Times New Roman"/>
                      <w:b/>
                      <w:bCs/>
                      <w:color w:val="auto"/>
                      <w:sz w:val="21"/>
                      <w:szCs w:val="21"/>
                      <w:lang w:val="en-US" w:eastAsia="zh-CN"/>
                    </w:rPr>
                    <w:t>排放速率</w:t>
                  </w:r>
                  <w:r>
                    <w:rPr>
                      <w:rFonts w:hint="default" w:ascii="Times New Roman" w:hAnsi="Times New Roman" w:cs="Times New Roman"/>
                      <w:b/>
                      <w:bCs/>
                      <w:color w:val="auto"/>
                      <w:sz w:val="21"/>
                      <w:szCs w:val="21"/>
                    </w:rPr>
                    <w:t>（kg/h）</w:t>
                  </w:r>
                </w:p>
              </w:tc>
              <w:tc>
                <w:tcPr>
                  <w:tcW w:w="605" w:type="pct"/>
                  <w:noWrap w:val="0"/>
                  <w:vAlign w:val="center"/>
                </w:tcPr>
                <w:p w14:paraId="26DD01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42" w:leftChars="-20" w:right="-42" w:rightChars="-20"/>
                    <w:jc w:val="center"/>
                    <w:textAlignment w:val="auto"/>
                    <w:rPr>
                      <w:rFonts w:hint="default" w:ascii="Times New Roman" w:hAnsi="Times New Roman" w:cs="Times New Roman"/>
                      <w:b/>
                      <w:bCs/>
                      <w:color w:val="auto"/>
                      <w:sz w:val="21"/>
                      <w:szCs w:val="21"/>
                    </w:rPr>
                  </w:pPr>
                  <w:r>
                    <w:rPr>
                      <w:rFonts w:hint="eastAsia" w:ascii="宋体" w:hAnsi="宋体" w:eastAsia="宋体" w:cs="宋体"/>
                      <w:b/>
                      <w:bCs/>
                      <w:color w:val="auto"/>
                      <w:kern w:val="2"/>
                      <w:sz w:val="21"/>
                      <w:szCs w:val="21"/>
                      <w:lang w:val="en-US" w:eastAsia="zh-CN" w:bidi="ar-SA"/>
                    </w:rPr>
                    <w:t>严格50%排放速率</w:t>
                  </w:r>
                  <w:r>
                    <w:rPr>
                      <w:rFonts w:hint="eastAsia" w:ascii="宋体" w:hAnsi="宋体" w:cs="宋体"/>
                      <w:b/>
                      <w:bCs/>
                      <w:color w:val="auto"/>
                      <w:szCs w:val="21"/>
                    </w:rPr>
                    <w:t>（kg/h）</w:t>
                  </w:r>
                </w:p>
              </w:tc>
              <w:tc>
                <w:tcPr>
                  <w:tcW w:w="1216" w:type="pct"/>
                  <w:noWrap w:val="0"/>
                  <w:vAlign w:val="center"/>
                </w:tcPr>
                <w:p w14:paraId="6BD07A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42" w:leftChars="-20" w:right="-42" w:rightChars="-2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标准来源</w:t>
                  </w:r>
                </w:p>
              </w:tc>
            </w:tr>
            <w:tr w14:paraId="16292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28" w:type="pct"/>
                  <w:vMerge w:val="restart"/>
                  <w:noWrap w:val="0"/>
                  <w:vAlign w:val="center"/>
                </w:tcPr>
                <w:p w14:paraId="64B4240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540" w:type="pct"/>
                  <w:vMerge w:val="restart"/>
                  <w:noWrap w:val="0"/>
                  <w:vAlign w:val="center"/>
                </w:tcPr>
                <w:p w14:paraId="1AA8124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DA00</w:t>
                  </w:r>
                  <w:r>
                    <w:rPr>
                      <w:rFonts w:hint="default" w:ascii="Times New Roman" w:hAnsi="Times New Roman" w:cs="Times New Roman"/>
                      <w:color w:val="auto"/>
                      <w:sz w:val="21"/>
                      <w:szCs w:val="21"/>
                      <w:lang w:val="en-US" w:eastAsia="zh-CN"/>
                    </w:rPr>
                    <w:t>1</w:t>
                  </w:r>
                </w:p>
              </w:tc>
              <w:tc>
                <w:tcPr>
                  <w:tcW w:w="626" w:type="pct"/>
                  <w:noWrap w:val="0"/>
                  <w:vAlign w:val="center"/>
                </w:tcPr>
                <w:p w14:paraId="2830E56B">
                  <w:pPr>
                    <w:keepNext w:val="0"/>
                    <w:keepLines w:val="0"/>
                    <w:suppressLineNumbers w:val="0"/>
                    <w:autoSpaceDN w:val="0"/>
                    <w:spacing w:before="0" w:beforeAutospacing="0" w:after="0" w:afterAutospacing="0" w:line="276" w:lineRule="auto"/>
                    <w:ind w:left="0" w:right="0"/>
                    <w:jc w:val="center"/>
                    <w:textAlignment w:val="center"/>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val="en-US" w:eastAsia="zh-CN"/>
                    </w:rPr>
                    <w:t>颗粒物</w:t>
                  </w:r>
                </w:p>
              </w:tc>
              <w:tc>
                <w:tcPr>
                  <w:tcW w:w="720" w:type="pct"/>
                  <w:noWrap w:val="0"/>
                  <w:vAlign w:val="center"/>
                </w:tcPr>
                <w:p w14:paraId="3FCE2359">
                  <w:pPr>
                    <w:keepNext w:val="0"/>
                    <w:keepLines w:val="0"/>
                    <w:suppressLineNumbers w:val="0"/>
                    <w:autoSpaceDN w:val="0"/>
                    <w:spacing w:before="0" w:beforeAutospacing="0" w:after="0" w:afterAutospacing="0" w:line="276" w:lineRule="auto"/>
                    <w:ind w:left="0" w:right="0"/>
                    <w:jc w:val="center"/>
                    <w:textAlignment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eastAsia="zh-CN"/>
                    </w:rPr>
                    <w:t>120</w:t>
                  </w:r>
                </w:p>
              </w:tc>
              <w:tc>
                <w:tcPr>
                  <w:tcW w:w="467" w:type="pct"/>
                  <w:vMerge w:val="restart"/>
                  <w:noWrap w:val="0"/>
                  <w:vAlign w:val="center"/>
                </w:tcPr>
                <w:p w14:paraId="74B9CD9B">
                  <w:pPr>
                    <w:keepNext w:val="0"/>
                    <w:keepLines w:val="0"/>
                    <w:suppressLineNumbers w:val="0"/>
                    <w:autoSpaceDN w:val="0"/>
                    <w:spacing w:before="0" w:beforeAutospacing="0" w:after="0" w:afterAutospacing="0" w:line="276" w:lineRule="auto"/>
                    <w:ind w:left="0" w:right="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w:t>
                  </w:r>
                </w:p>
              </w:tc>
              <w:tc>
                <w:tcPr>
                  <w:tcW w:w="593" w:type="pct"/>
                  <w:noWrap w:val="0"/>
                  <w:vAlign w:val="center"/>
                </w:tcPr>
                <w:p w14:paraId="3C4F17B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3.5</w:t>
                  </w:r>
                </w:p>
              </w:tc>
              <w:tc>
                <w:tcPr>
                  <w:tcW w:w="605" w:type="pct"/>
                  <w:noWrap w:val="0"/>
                  <w:vAlign w:val="center"/>
                </w:tcPr>
                <w:p w14:paraId="67AD6F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lang w:val="en-US"/>
                    </w:rPr>
                  </w:pPr>
                  <w:r>
                    <w:rPr>
                      <w:rFonts w:hint="default" w:ascii="Times New Roman" w:hAnsi="Times New Roman" w:cs="Times New Roman"/>
                      <w:color w:val="auto"/>
                      <w:szCs w:val="21"/>
                      <w:lang w:val="en-US" w:eastAsia="zh-CN"/>
                    </w:rPr>
                    <w:t>1.75</w:t>
                  </w:r>
                </w:p>
              </w:tc>
              <w:tc>
                <w:tcPr>
                  <w:tcW w:w="1216" w:type="pct"/>
                  <w:vMerge w:val="restart"/>
                  <w:noWrap w:val="0"/>
                  <w:vAlign w:val="center"/>
                </w:tcPr>
                <w:p w14:paraId="3DE9EBA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《大气污染物综合排放标准》（GB16297-1996）表2中相关要求</w:t>
                  </w:r>
                </w:p>
              </w:tc>
            </w:tr>
            <w:tr w14:paraId="00BE8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228" w:type="pct"/>
                  <w:vMerge w:val="continue"/>
                  <w:noWrap w:val="0"/>
                  <w:vAlign w:val="center"/>
                </w:tcPr>
                <w:p w14:paraId="6A4BCED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p>
              </w:tc>
              <w:tc>
                <w:tcPr>
                  <w:tcW w:w="540" w:type="pct"/>
                  <w:vMerge w:val="continue"/>
                  <w:noWrap w:val="0"/>
                  <w:vAlign w:val="center"/>
                </w:tcPr>
                <w:p w14:paraId="2BE7CDF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p>
              </w:tc>
              <w:tc>
                <w:tcPr>
                  <w:tcW w:w="626" w:type="pct"/>
                  <w:noWrap w:val="0"/>
                  <w:vAlign w:val="center"/>
                </w:tcPr>
                <w:p w14:paraId="5803121F">
                  <w:pPr>
                    <w:keepNext w:val="0"/>
                    <w:keepLines w:val="0"/>
                    <w:suppressLineNumbers w:val="0"/>
                    <w:autoSpaceDN w:val="0"/>
                    <w:spacing w:before="0" w:beforeAutospacing="0" w:after="0" w:afterAutospacing="0" w:line="276" w:lineRule="auto"/>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color w:val="auto"/>
                      <w:sz w:val="21"/>
                      <w:szCs w:val="21"/>
                    </w:rPr>
                    <w:t>非甲烷总烃</w:t>
                  </w:r>
                </w:p>
              </w:tc>
              <w:tc>
                <w:tcPr>
                  <w:tcW w:w="720" w:type="pct"/>
                  <w:noWrap w:val="0"/>
                  <w:vAlign w:val="center"/>
                </w:tcPr>
                <w:p w14:paraId="6DDA0260">
                  <w:pPr>
                    <w:keepNext w:val="0"/>
                    <w:keepLines w:val="0"/>
                    <w:suppressLineNumbers w:val="0"/>
                    <w:autoSpaceDN w:val="0"/>
                    <w:spacing w:before="0" w:beforeAutospacing="0" w:after="0" w:afterAutospacing="0" w:line="276" w:lineRule="auto"/>
                    <w:ind w:left="0" w:right="0"/>
                    <w:jc w:val="center"/>
                    <w:textAlignment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120</w:t>
                  </w:r>
                </w:p>
              </w:tc>
              <w:tc>
                <w:tcPr>
                  <w:tcW w:w="467" w:type="pct"/>
                  <w:vMerge w:val="continue"/>
                  <w:noWrap w:val="0"/>
                  <w:vAlign w:val="center"/>
                </w:tcPr>
                <w:p w14:paraId="2C5A48C7">
                  <w:pPr>
                    <w:keepNext w:val="0"/>
                    <w:keepLines w:val="0"/>
                    <w:suppressLineNumbers w:val="0"/>
                    <w:autoSpaceDN w:val="0"/>
                    <w:spacing w:before="0" w:beforeAutospacing="0" w:after="0" w:afterAutospacing="0" w:line="276" w:lineRule="auto"/>
                    <w:ind w:left="0" w:right="0"/>
                    <w:jc w:val="center"/>
                    <w:textAlignment w:val="center"/>
                    <w:rPr>
                      <w:rFonts w:hint="default" w:ascii="Times New Roman" w:hAnsi="Times New Roman" w:eastAsia="宋体" w:cs="Times New Roman"/>
                      <w:color w:val="auto"/>
                      <w:sz w:val="21"/>
                      <w:szCs w:val="21"/>
                      <w:lang w:val="en-US" w:eastAsia="zh-CN"/>
                    </w:rPr>
                  </w:pPr>
                </w:p>
              </w:tc>
              <w:tc>
                <w:tcPr>
                  <w:tcW w:w="593" w:type="pct"/>
                  <w:noWrap w:val="0"/>
                  <w:vAlign w:val="center"/>
                </w:tcPr>
                <w:p w14:paraId="1D8AC41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10</w:t>
                  </w:r>
                </w:p>
              </w:tc>
              <w:tc>
                <w:tcPr>
                  <w:tcW w:w="605" w:type="pct"/>
                  <w:noWrap w:val="0"/>
                  <w:vAlign w:val="center"/>
                </w:tcPr>
                <w:p w14:paraId="71FFF6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Cs w:val="21"/>
                      <w:lang w:val="en-US" w:eastAsia="zh-CN"/>
                    </w:rPr>
                    <w:t>5</w:t>
                  </w:r>
                </w:p>
              </w:tc>
              <w:tc>
                <w:tcPr>
                  <w:tcW w:w="1216" w:type="pct"/>
                  <w:vMerge w:val="continue"/>
                  <w:noWrap w:val="0"/>
                  <w:vAlign w:val="center"/>
                </w:tcPr>
                <w:p w14:paraId="1886234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p>
              </w:tc>
            </w:tr>
            <w:tr w14:paraId="476F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228" w:type="pct"/>
                  <w:vMerge w:val="restart"/>
                  <w:noWrap w:val="0"/>
                  <w:vAlign w:val="center"/>
                </w:tcPr>
                <w:p w14:paraId="2903CB4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w:t>
                  </w:r>
                </w:p>
              </w:tc>
              <w:tc>
                <w:tcPr>
                  <w:tcW w:w="540" w:type="pct"/>
                  <w:vMerge w:val="restart"/>
                  <w:noWrap w:val="0"/>
                  <w:vAlign w:val="center"/>
                </w:tcPr>
                <w:p w14:paraId="6AFBDD5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DA002</w:t>
                  </w:r>
                </w:p>
              </w:tc>
              <w:tc>
                <w:tcPr>
                  <w:tcW w:w="626" w:type="pct"/>
                  <w:noWrap w:val="0"/>
                  <w:vAlign w:val="center"/>
                </w:tcPr>
                <w:p w14:paraId="6B9FE3F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rPr>
                    <w:t>颗粒物</w:t>
                  </w:r>
                </w:p>
              </w:tc>
              <w:tc>
                <w:tcPr>
                  <w:tcW w:w="720" w:type="pct"/>
                  <w:noWrap w:val="0"/>
                  <w:vAlign w:val="center"/>
                </w:tcPr>
                <w:p w14:paraId="6DBEDA2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30</w:t>
                  </w:r>
                </w:p>
              </w:tc>
              <w:tc>
                <w:tcPr>
                  <w:tcW w:w="467" w:type="pct"/>
                  <w:vMerge w:val="restart"/>
                  <w:noWrap w:val="0"/>
                  <w:vAlign w:val="center"/>
                </w:tcPr>
                <w:p w14:paraId="2B17602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15</w:t>
                  </w:r>
                </w:p>
              </w:tc>
              <w:tc>
                <w:tcPr>
                  <w:tcW w:w="593" w:type="pct"/>
                  <w:noWrap w:val="0"/>
                  <w:vAlign w:val="center"/>
                </w:tcPr>
                <w:p w14:paraId="02EE1B4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605" w:type="pct"/>
                  <w:noWrap w:val="0"/>
                  <w:vAlign w:val="center"/>
                </w:tcPr>
                <w:p w14:paraId="40917939">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216" w:type="pct"/>
                  <w:vMerge w:val="restart"/>
                  <w:noWrap w:val="0"/>
                  <w:vAlign w:val="center"/>
                </w:tcPr>
                <w:p w14:paraId="4D90590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《关于印发&lt;工业炉窑大气污染综合治理方案&gt;的通知》（环大气[2019]56号）</w:t>
                  </w:r>
                </w:p>
              </w:tc>
            </w:tr>
            <w:tr w14:paraId="71E39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228" w:type="pct"/>
                  <w:vMerge w:val="continue"/>
                  <w:noWrap w:val="0"/>
                  <w:vAlign w:val="center"/>
                </w:tcPr>
                <w:p w14:paraId="5149508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p>
              </w:tc>
              <w:tc>
                <w:tcPr>
                  <w:tcW w:w="540" w:type="pct"/>
                  <w:vMerge w:val="continue"/>
                  <w:noWrap w:val="0"/>
                  <w:vAlign w:val="center"/>
                </w:tcPr>
                <w:p w14:paraId="1CDAFEF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p>
              </w:tc>
              <w:tc>
                <w:tcPr>
                  <w:tcW w:w="626" w:type="pct"/>
                  <w:noWrap w:val="0"/>
                  <w:vAlign w:val="center"/>
                </w:tcPr>
                <w:p w14:paraId="503081B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rPr>
                    <w:t>SO</w:t>
                  </w:r>
                  <w:r>
                    <w:rPr>
                      <w:rFonts w:hint="default" w:ascii="Times New Roman" w:hAnsi="Times New Roman" w:cs="Times New Roman"/>
                      <w:color w:val="auto"/>
                      <w:sz w:val="21"/>
                      <w:szCs w:val="21"/>
                      <w:vertAlign w:val="subscript"/>
                    </w:rPr>
                    <w:t>2</w:t>
                  </w:r>
                </w:p>
              </w:tc>
              <w:tc>
                <w:tcPr>
                  <w:tcW w:w="720" w:type="pct"/>
                  <w:noWrap w:val="0"/>
                  <w:vAlign w:val="center"/>
                </w:tcPr>
                <w:p w14:paraId="0C20DA2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200</w:t>
                  </w:r>
                </w:p>
              </w:tc>
              <w:tc>
                <w:tcPr>
                  <w:tcW w:w="467" w:type="pct"/>
                  <w:vMerge w:val="continue"/>
                  <w:noWrap w:val="0"/>
                  <w:vAlign w:val="center"/>
                </w:tcPr>
                <w:p w14:paraId="16A36F4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p>
              </w:tc>
              <w:tc>
                <w:tcPr>
                  <w:tcW w:w="593" w:type="pct"/>
                  <w:noWrap w:val="0"/>
                  <w:vAlign w:val="center"/>
                </w:tcPr>
                <w:p w14:paraId="6E48D91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605" w:type="pct"/>
                  <w:noWrap w:val="0"/>
                  <w:vAlign w:val="center"/>
                </w:tcPr>
                <w:p w14:paraId="204057C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216" w:type="pct"/>
                  <w:vMerge w:val="continue"/>
                  <w:noWrap w:val="0"/>
                  <w:vAlign w:val="center"/>
                </w:tcPr>
                <w:p w14:paraId="2EFDC20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p>
              </w:tc>
            </w:tr>
            <w:tr w14:paraId="4B24B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228" w:type="pct"/>
                  <w:vMerge w:val="continue"/>
                  <w:noWrap w:val="0"/>
                  <w:vAlign w:val="center"/>
                </w:tcPr>
                <w:p w14:paraId="33980CD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p>
              </w:tc>
              <w:tc>
                <w:tcPr>
                  <w:tcW w:w="540" w:type="pct"/>
                  <w:vMerge w:val="continue"/>
                  <w:noWrap w:val="0"/>
                  <w:vAlign w:val="center"/>
                </w:tcPr>
                <w:p w14:paraId="47B67EB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p>
              </w:tc>
              <w:tc>
                <w:tcPr>
                  <w:tcW w:w="626" w:type="pct"/>
                  <w:noWrap w:val="0"/>
                  <w:vAlign w:val="center"/>
                </w:tcPr>
                <w:p w14:paraId="1093D01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rPr>
                    <w:t>NOx</w:t>
                  </w:r>
                </w:p>
              </w:tc>
              <w:tc>
                <w:tcPr>
                  <w:tcW w:w="720" w:type="pct"/>
                  <w:noWrap w:val="0"/>
                  <w:vAlign w:val="center"/>
                </w:tcPr>
                <w:p w14:paraId="2DE48D4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50</w:t>
                  </w:r>
                </w:p>
              </w:tc>
              <w:tc>
                <w:tcPr>
                  <w:tcW w:w="467" w:type="pct"/>
                  <w:vMerge w:val="continue"/>
                  <w:noWrap w:val="0"/>
                  <w:vAlign w:val="center"/>
                </w:tcPr>
                <w:p w14:paraId="2E242DF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p>
              </w:tc>
              <w:tc>
                <w:tcPr>
                  <w:tcW w:w="593" w:type="pct"/>
                  <w:noWrap w:val="0"/>
                  <w:vAlign w:val="center"/>
                </w:tcPr>
                <w:p w14:paraId="74F1FC7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605" w:type="pct"/>
                  <w:noWrap w:val="0"/>
                  <w:vAlign w:val="center"/>
                </w:tcPr>
                <w:p w14:paraId="37322412">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w:t>
                  </w:r>
                </w:p>
              </w:tc>
              <w:tc>
                <w:tcPr>
                  <w:tcW w:w="1216" w:type="pct"/>
                  <w:noWrap w:val="0"/>
                  <w:vAlign w:val="center"/>
                </w:tcPr>
                <w:p w14:paraId="63F336C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r>
                    <w:rPr>
                      <w:rFonts w:hint="eastAsia" w:ascii="宋体" w:hAnsi="宋体" w:eastAsia="宋体" w:cs="宋体"/>
                      <w:b w:val="0"/>
                      <w:bCs w:val="0"/>
                      <w:color w:val="auto"/>
                      <w:sz w:val="21"/>
                      <w:szCs w:val="21"/>
                    </w:rPr>
                    <w:t>《关于印发&lt;淮南市</w:t>
                  </w:r>
                  <w:r>
                    <w:rPr>
                      <w:rFonts w:hint="eastAsia" w:ascii="宋体" w:hAnsi="宋体" w:eastAsia="宋体" w:cs="宋体"/>
                      <w:b w:val="0"/>
                      <w:bCs w:val="0"/>
                      <w:color w:val="auto"/>
                      <w:sz w:val="21"/>
                      <w:szCs w:val="21"/>
                      <w:lang w:val="en-US" w:eastAsia="zh-CN"/>
                    </w:rPr>
                    <w:t>“十四五”大气污染防治规划&gt;的通知</w:t>
                  </w:r>
                  <w:r>
                    <w:rPr>
                      <w:rFonts w:hint="eastAsia" w:ascii="宋体" w:hAnsi="宋体" w:eastAsia="宋体" w:cs="宋体"/>
                      <w:b w:val="0"/>
                      <w:bCs w:val="0"/>
                      <w:color w:val="auto"/>
                      <w:sz w:val="21"/>
                      <w:szCs w:val="21"/>
                    </w:rPr>
                    <w:t>》（淮环委办</w:t>
                  </w:r>
                  <w:r>
                    <w:rPr>
                      <w:rFonts w:hint="default" w:ascii="Times New Roman" w:hAnsi="Times New Roman" w:cs="Times New Roman"/>
                      <w:b w:val="0"/>
                      <w:bCs w:val="0"/>
                      <w:color w:val="auto"/>
                      <w:sz w:val="21"/>
                      <w:szCs w:val="21"/>
                    </w:rPr>
                    <w:t>〔2022〕</w:t>
                  </w:r>
                  <w:r>
                    <w:rPr>
                      <w:rFonts w:hint="default" w:ascii="Times New Roman" w:hAnsi="Times New Roman" w:cs="Times New Roman"/>
                      <w:b w:val="0"/>
                      <w:bCs w:val="0"/>
                      <w:color w:val="auto"/>
                      <w:sz w:val="21"/>
                      <w:szCs w:val="21"/>
                      <w:lang w:val="en-US" w:eastAsia="zh-CN"/>
                    </w:rPr>
                    <w:t>4</w:t>
                  </w:r>
                  <w:r>
                    <w:rPr>
                      <w:rFonts w:hint="default" w:ascii="Times New Roman" w:hAnsi="Times New Roman" w:cs="Times New Roman"/>
                      <w:b w:val="0"/>
                      <w:bCs w:val="0"/>
                      <w:color w:val="auto"/>
                      <w:sz w:val="21"/>
                      <w:szCs w:val="21"/>
                    </w:rPr>
                    <w:t>9号）</w:t>
                  </w:r>
                </w:p>
              </w:tc>
            </w:tr>
          </w:tbl>
          <w:p w14:paraId="5CBBE95C">
            <w:pPr>
              <w:pStyle w:val="62"/>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zh-CN"/>
              </w:rPr>
              <w:t>（</w:t>
            </w:r>
            <w:r>
              <w:rPr>
                <w:rFonts w:hint="eastAsia"/>
                <w:color w:val="auto"/>
                <w:lang w:val="en-US" w:eastAsia="zh-CN"/>
              </w:rPr>
              <w:t>2</w:t>
            </w:r>
            <w:r>
              <w:rPr>
                <w:rFonts w:hint="eastAsia"/>
                <w:color w:val="auto"/>
                <w:lang w:val="zh-CN"/>
              </w:rPr>
              <w:t>）</w:t>
            </w:r>
            <w:r>
              <w:rPr>
                <w:rFonts w:hint="eastAsia"/>
                <w:color w:val="auto"/>
                <w:lang w:val="en-US" w:eastAsia="zh-CN"/>
              </w:rPr>
              <w:t>无组织</w:t>
            </w:r>
          </w:p>
          <w:p w14:paraId="55FB11A5">
            <w:pPr>
              <w:pStyle w:val="62"/>
              <w:keepNext w:val="0"/>
              <w:keepLines w:val="0"/>
              <w:suppressLineNumbers w:val="0"/>
              <w:tabs>
                <w:tab w:val="left" w:pos="7350"/>
              </w:tabs>
              <w:bidi w:val="0"/>
              <w:spacing w:before="0" w:beforeAutospacing="0" w:after="0" w:afterAutospacing="0"/>
              <w:ind w:left="0" w:right="0"/>
              <w:rPr>
                <w:rFonts w:hint="default"/>
                <w:color w:val="auto"/>
                <w:lang w:val="en-US" w:eastAsia="zh-CN"/>
              </w:rPr>
            </w:pPr>
            <w:r>
              <w:rPr>
                <w:rFonts w:hint="eastAsia" w:cs="Times New Roman"/>
                <w:color w:val="auto"/>
                <w:sz w:val="24"/>
                <w:szCs w:val="24"/>
                <w:lang w:val="en-US" w:eastAsia="zh-CN"/>
              </w:rPr>
              <w:t>厂界颗粒物和</w:t>
            </w:r>
            <w:r>
              <w:rPr>
                <w:rFonts w:hint="eastAsia"/>
                <w:color w:val="auto"/>
                <w:sz w:val="24"/>
                <w:lang w:val="en-US" w:eastAsia="zh-CN"/>
              </w:rPr>
              <w:t>非甲烷总烃执行</w:t>
            </w:r>
            <w:r>
              <w:rPr>
                <w:rFonts w:hint="default"/>
                <w:color w:val="auto"/>
                <w:sz w:val="24"/>
                <w:szCs w:val="24"/>
              </w:rPr>
              <w:t>《大气污染物综合排放标准》（</w:t>
            </w:r>
            <w:r>
              <w:rPr>
                <w:rFonts w:hint="eastAsia"/>
                <w:color w:val="auto"/>
                <w:sz w:val="24"/>
                <w:szCs w:val="24"/>
              </w:rPr>
              <w:t>GB16297-1996</w:t>
            </w:r>
            <w:r>
              <w:rPr>
                <w:rFonts w:hint="default"/>
                <w:color w:val="auto"/>
                <w:sz w:val="24"/>
                <w:szCs w:val="24"/>
              </w:rPr>
              <w:t>）</w:t>
            </w:r>
            <w:r>
              <w:rPr>
                <w:rFonts w:hint="eastAsia"/>
                <w:color w:val="auto"/>
                <w:sz w:val="24"/>
                <w:szCs w:val="24"/>
              </w:rPr>
              <w:t>表2无组织排放限值</w:t>
            </w:r>
            <w:r>
              <w:rPr>
                <w:rFonts w:hint="eastAsia"/>
                <w:color w:val="auto"/>
                <w:sz w:val="24"/>
                <w:szCs w:val="24"/>
                <w:lang w:val="en-US" w:eastAsia="zh-CN"/>
              </w:rPr>
              <w:t>要求；</w:t>
            </w:r>
            <w:r>
              <w:rPr>
                <w:rFonts w:hint="eastAsia" w:ascii="Times New Roman" w:hAnsi="Times New Roman" w:eastAsia="宋体" w:cs="Times New Roman"/>
                <w:color w:val="auto"/>
                <w:sz w:val="24"/>
                <w:lang w:val="en-US" w:eastAsia="zh-CN"/>
              </w:rPr>
              <w:t>厂区内无组织非甲烷总烃执行</w:t>
            </w:r>
            <w:r>
              <w:rPr>
                <w:rFonts w:hint="default" w:ascii="Times New Roman" w:hAnsi="Times New Roman" w:eastAsia="宋体" w:cs="Times New Roman"/>
                <w:b w:val="0"/>
                <w:bCs/>
                <w:color w:val="auto"/>
                <w:kern w:val="2"/>
                <w:sz w:val="24"/>
                <w:szCs w:val="24"/>
                <w:highlight w:val="none"/>
                <w:lang w:val="en-US" w:eastAsia="zh-CN" w:bidi="ar-SA"/>
              </w:rPr>
              <w:t>《固定源挥发性有机物综合排放标准第6部分：其他行业》（DB34/4812.6-2024）表4中相关限值</w:t>
            </w:r>
            <w:r>
              <w:rPr>
                <w:rFonts w:hint="eastAsia" w:ascii="Times New Roman" w:hAnsi="Times New Roman" w:eastAsia="宋体" w:cs="Times New Roman"/>
                <w:b w:val="0"/>
                <w:bCs/>
                <w:color w:val="auto"/>
                <w:kern w:val="2"/>
                <w:sz w:val="24"/>
                <w:szCs w:val="24"/>
                <w:highlight w:val="none"/>
                <w:lang w:val="en-US" w:eastAsia="zh-CN" w:bidi="ar-SA"/>
              </w:rPr>
              <w:t>。</w:t>
            </w:r>
            <w:r>
              <w:rPr>
                <w:rFonts w:hint="eastAsia"/>
                <w:color w:val="auto"/>
                <w:lang w:val="en-US" w:eastAsia="zh-CN"/>
              </w:rPr>
              <w:t>具体限值要求见下表</w:t>
            </w:r>
            <w:r>
              <w:rPr>
                <w:rFonts w:hint="default"/>
                <w:color w:val="auto"/>
              </w:rPr>
              <w:t>。</w:t>
            </w:r>
          </w:p>
          <w:p w14:paraId="2A8F344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val="0"/>
                <w:color w:val="auto"/>
                <w:szCs w:val="21"/>
                <w:highlight w:val="none"/>
                <w:lang w:val="zh-CN"/>
              </w:rPr>
              <w:t>表3</w:t>
            </w:r>
            <w:r>
              <w:rPr>
                <w:rFonts w:hint="default" w:ascii="Times New Roman" w:hAnsi="Times New Roman" w:eastAsia="宋体" w:cs="Times New Roman"/>
                <w:b/>
                <w:bCs w:val="0"/>
                <w:color w:val="auto"/>
                <w:szCs w:val="21"/>
                <w:highlight w:val="none"/>
                <w:lang w:val="en-US" w:eastAsia="zh-CN"/>
              </w:rPr>
              <w:t>-</w:t>
            </w:r>
            <w:r>
              <w:rPr>
                <w:rFonts w:hint="eastAsia" w:ascii="Times New Roman" w:hAnsi="Times New Roman" w:cs="Times New Roman"/>
                <w:b/>
                <w:bCs w:val="0"/>
                <w:color w:val="auto"/>
                <w:szCs w:val="21"/>
                <w:highlight w:val="none"/>
                <w:lang w:val="en-US" w:eastAsia="zh-CN"/>
              </w:rPr>
              <w:t>7</w:t>
            </w:r>
            <w:r>
              <w:rPr>
                <w:rFonts w:hint="eastAsia" w:ascii="Times New Roman" w:hAnsi="Times New Roman" w:eastAsia="宋体" w:cs="Times New Roman"/>
                <w:b/>
                <w:bCs w:val="0"/>
                <w:color w:val="auto"/>
                <w:szCs w:val="21"/>
                <w:highlight w:val="none"/>
                <w:lang w:val="en-US" w:eastAsia="zh-CN"/>
              </w:rPr>
              <w:t xml:space="preserve">  </w:t>
            </w:r>
            <w:r>
              <w:rPr>
                <w:rFonts w:hint="eastAsia" w:ascii="宋体" w:hAnsi="宋体" w:cs="宋体"/>
                <w:b/>
                <w:bCs/>
                <w:color w:val="auto"/>
                <w:szCs w:val="21"/>
              </w:rPr>
              <w:t>本项目无组织排放执行标准</w:t>
            </w:r>
            <w:r>
              <w:rPr>
                <w:rFonts w:hint="default" w:ascii="Times New Roman" w:hAnsi="Times New Roman" w:eastAsia="宋体" w:cs="Times New Roman"/>
                <w:b/>
                <w:bCs w:val="0"/>
                <w:color w:val="auto"/>
                <w:szCs w:val="21"/>
                <w:highlight w:val="none"/>
                <w:lang w:val="en-US" w:eastAsia="zh-CN"/>
              </w:rPr>
              <w:t xml:space="preserve">  </w:t>
            </w:r>
            <w:r>
              <w:rPr>
                <w:rFonts w:hint="default" w:ascii="Times New Roman" w:hAnsi="Times New Roman" w:eastAsia="Times New Roman" w:cs="Times New Roman"/>
                <w:b/>
                <w:bCs/>
                <w:color w:val="auto"/>
                <w:highlight w:val="none"/>
              </w:rPr>
              <w:t>单位：mg/m³</w:t>
            </w:r>
          </w:p>
          <w:tbl>
            <w:tblPr>
              <w:tblStyle w:val="53"/>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2968"/>
              <w:gridCol w:w="1360"/>
              <w:gridCol w:w="2460"/>
              <w:gridCol w:w="839"/>
            </w:tblGrid>
            <w:tr w14:paraId="5BD2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81" w:type="pct"/>
                  <w:noWrap w:val="0"/>
                  <w:vAlign w:val="center"/>
                </w:tcPr>
                <w:p w14:paraId="4873F5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21" w:leftChars="-10" w:right="-21" w:rightChars="-1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序号</w:t>
                  </w:r>
                </w:p>
              </w:tc>
              <w:tc>
                <w:tcPr>
                  <w:tcW w:w="1797" w:type="pct"/>
                  <w:noWrap w:val="0"/>
                  <w:vAlign w:val="center"/>
                </w:tcPr>
                <w:p w14:paraId="08B7D6A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标准来源</w:t>
                  </w:r>
                </w:p>
              </w:tc>
              <w:tc>
                <w:tcPr>
                  <w:tcW w:w="823" w:type="pct"/>
                  <w:noWrap w:val="0"/>
                  <w:vAlign w:val="center"/>
                </w:tcPr>
                <w:p w14:paraId="55D62D5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污染物</w:t>
                  </w:r>
                </w:p>
              </w:tc>
              <w:tc>
                <w:tcPr>
                  <w:tcW w:w="1489" w:type="pct"/>
                  <w:noWrap w:val="0"/>
                  <w:vAlign w:val="center"/>
                </w:tcPr>
                <w:p w14:paraId="5BB4776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监控浓度限值</w:t>
                  </w:r>
                </w:p>
              </w:tc>
              <w:tc>
                <w:tcPr>
                  <w:tcW w:w="508" w:type="pct"/>
                  <w:noWrap w:val="0"/>
                  <w:vAlign w:val="center"/>
                </w:tcPr>
                <w:p w14:paraId="32CE301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备注</w:t>
                  </w:r>
                </w:p>
              </w:tc>
            </w:tr>
            <w:tr w14:paraId="3ADB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381" w:type="pct"/>
                  <w:vMerge w:val="restart"/>
                  <w:noWrap w:val="0"/>
                  <w:vAlign w:val="center"/>
                </w:tcPr>
                <w:p w14:paraId="02CBA77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auto"/>
                      <w:sz w:val="21"/>
                      <w:szCs w:val="21"/>
                    </w:rPr>
                  </w:pPr>
                  <w:r>
                    <w:rPr>
                      <w:rFonts w:hint="default" w:ascii="Times New Roman" w:hAnsi="Times New Roman" w:cs="Times New Roman"/>
                      <w:b w:val="0"/>
                      <w:bCs w:val="0"/>
                      <w:color w:val="auto"/>
                      <w:sz w:val="21"/>
                      <w:szCs w:val="21"/>
                    </w:rPr>
                    <w:t>1</w:t>
                  </w:r>
                </w:p>
              </w:tc>
              <w:tc>
                <w:tcPr>
                  <w:tcW w:w="1797" w:type="pct"/>
                  <w:vMerge w:val="restart"/>
                  <w:noWrap w:val="0"/>
                  <w:vAlign w:val="center"/>
                </w:tcPr>
                <w:p w14:paraId="7D74F20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《大气污染物综合排放标准》（GB16297-1996）表2无组织排放限值</w:t>
                  </w:r>
                </w:p>
              </w:tc>
              <w:tc>
                <w:tcPr>
                  <w:tcW w:w="823" w:type="pct"/>
                  <w:noWrap w:val="0"/>
                  <w:vAlign w:val="center"/>
                </w:tcPr>
                <w:p w14:paraId="1D7E33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bCs/>
                      <w:color w:val="auto"/>
                      <w:sz w:val="21"/>
                      <w:szCs w:val="21"/>
                    </w:rPr>
                  </w:pPr>
                  <w:r>
                    <w:rPr>
                      <w:rFonts w:hint="default" w:ascii="Times New Roman" w:hAnsi="Times New Roman" w:cs="Times New Roman"/>
                      <w:color w:val="auto"/>
                      <w:sz w:val="21"/>
                      <w:szCs w:val="21"/>
                      <w:lang w:bidi="ar"/>
                    </w:rPr>
                    <w:t>非甲烷总烃</w:t>
                  </w:r>
                </w:p>
              </w:tc>
              <w:tc>
                <w:tcPr>
                  <w:tcW w:w="1489" w:type="pct"/>
                  <w:noWrap w:val="0"/>
                  <w:vAlign w:val="center"/>
                </w:tcPr>
                <w:p w14:paraId="452C4E2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auto"/>
                      <w:sz w:val="21"/>
                      <w:szCs w:val="21"/>
                    </w:rPr>
                  </w:pPr>
                  <w:r>
                    <w:rPr>
                      <w:rFonts w:hint="default" w:ascii="Times New Roman" w:hAnsi="Times New Roman" w:cs="Times New Roman"/>
                      <w:color w:val="auto"/>
                      <w:sz w:val="21"/>
                      <w:szCs w:val="21"/>
                    </w:rPr>
                    <w:t>4.0</w:t>
                  </w:r>
                </w:p>
              </w:tc>
              <w:tc>
                <w:tcPr>
                  <w:tcW w:w="508" w:type="pct"/>
                  <w:vMerge w:val="restart"/>
                  <w:noWrap w:val="0"/>
                  <w:vAlign w:val="center"/>
                </w:tcPr>
                <w:p w14:paraId="722DC50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auto"/>
                      <w:sz w:val="21"/>
                      <w:szCs w:val="21"/>
                    </w:rPr>
                  </w:pPr>
                  <w:r>
                    <w:rPr>
                      <w:rFonts w:hint="default" w:ascii="Times New Roman" w:hAnsi="Times New Roman" w:cs="Times New Roman"/>
                      <w:color w:val="auto"/>
                      <w:sz w:val="21"/>
                      <w:szCs w:val="21"/>
                    </w:rPr>
                    <w:t>厂界</w:t>
                  </w:r>
                </w:p>
              </w:tc>
            </w:tr>
            <w:tr w14:paraId="2519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81" w:type="pct"/>
                  <w:vMerge w:val="continue"/>
                  <w:noWrap w:val="0"/>
                  <w:vAlign w:val="center"/>
                </w:tcPr>
                <w:p w14:paraId="64C8854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auto"/>
                      <w:sz w:val="21"/>
                      <w:szCs w:val="21"/>
                    </w:rPr>
                  </w:pPr>
                </w:p>
              </w:tc>
              <w:tc>
                <w:tcPr>
                  <w:tcW w:w="1797" w:type="pct"/>
                  <w:vMerge w:val="continue"/>
                  <w:noWrap w:val="0"/>
                  <w:vAlign w:val="center"/>
                </w:tcPr>
                <w:p w14:paraId="574B251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p>
              </w:tc>
              <w:tc>
                <w:tcPr>
                  <w:tcW w:w="823" w:type="pct"/>
                  <w:noWrap w:val="0"/>
                  <w:vAlign w:val="center"/>
                </w:tcPr>
                <w:p w14:paraId="029733E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颗粒物</w:t>
                  </w:r>
                </w:p>
              </w:tc>
              <w:tc>
                <w:tcPr>
                  <w:tcW w:w="1489" w:type="pct"/>
                  <w:noWrap w:val="0"/>
                  <w:vAlign w:val="center"/>
                </w:tcPr>
                <w:p w14:paraId="123EFE1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1.0</w:t>
                  </w:r>
                </w:p>
              </w:tc>
              <w:tc>
                <w:tcPr>
                  <w:tcW w:w="508" w:type="pct"/>
                  <w:vMerge w:val="continue"/>
                  <w:noWrap w:val="0"/>
                  <w:vAlign w:val="center"/>
                </w:tcPr>
                <w:p w14:paraId="3E09D31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p>
              </w:tc>
            </w:tr>
            <w:tr w14:paraId="71321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381" w:type="pct"/>
                  <w:vMerge w:val="restart"/>
                  <w:noWrap w:val="0"/>
                  <w:vAlign w:val="center"/>
                </w:tcPr>
                <w:p w14:paraId="3CC8527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1797" w:type="pct"/>
                  <w:vMerge w:val="restart"/>
                  <w:noWrap w:val="0"/>
                  <w:vAlign w:val="center"/>
                </w:tcPr>
                <w:p w14:paraId="7E13334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kern w:val="0"/>
                      <w:sz w:val="21"/>
                      <w:szCs w:val="21"/>
                      <w:highlight w:val="none"/>
                      <w:lang w:val="en-US" w:eastAsia="zh-CN" w:bidi="ar-SA"/>
                    </w:rPr>
                    <w:t>《固定源挥发性有机物综合排放标准 第6部分：其他行业》（DB34/4812.6-2024）</w:t>
                  </w:r>
                </w:p>
              </w:tc>
              <w:tc>
                <w:tcPr>
                  <w:tcW w:w="823" w:type="pct"/>
                  <w:vMerge w:val="restart"/>
                  <w:noWrap w:val="0"/>
                  <w:vAlign w:val="center"/>
                </w:tcPr>
                <w:p w14:paraId="11C5149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非甲烷总烃</w:t>
                  </w:r>
                </w:p>
              </w:tc>
              <w:tc>
                <w:tcPr>
                  <w:tcW w:w="1489" w:type="pct"/>
                  <w:noWrap w:val="0"/>
                  <w:vAlign w:val="center"/>
                </w:tcPr>
                <w:p w14:paraId="6ED5403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w:t>
                  </w:r>
                  <w:r>
                    <w:rPr>
                      <w:rFonts w:hint="default" w:ascii="Times New Roman" w:hAnsi="Times New Roman" w:cs="Times New Roman"/>
                      <w:color w:val="auto"/>
                      <w:kern w:val="0"/>
                      <w:sz w:val="21"/>
                      <w:szCs w:val="21"/>
                      <w:lang w:val="zh-CN"/>
                    </w:rPr>
                    <w:t>1h平均浓度值</w:t>
                  </w:r>
                  <w:r>
                    <w:rPr>
                      <w:rFonts w:hint="default" w:ascii="Times New Roman" w:hAnsi="Times New Roman" w:cs="Times New Roman"/>
                      <w:color w:val="auto"/>
                      <w:sz w:val="21"/>
                      <w:szCs w:val="21"/>
                    </w:rPr>
                    <w:t>）</w:t>
                  </w:r>
                </w:p>
              </w:tc>
              <w:tc>
                <w:tcPr>
                  <w:tcW w:w="508" w:type="pct"/>
                  <w:vMerge w:val="restart"/>
                  <w:noWrap w:val="0"/>
                  <w:vAlign w:val="center"/>
                </w:tcPr>
                <w:p w14:paraId="5139680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厂区内</w:t>
                  </w:r>
                </w:p>
              </w:tc>
            </w:tr>
            <w:tr w14:paraId="68424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81" w:type="pct"/>
                  <w:vMerge w:val="continue"/>
                  <w:noWrap w:val="0"/>
                  <w:vAlign w:val="center"/>
                </w:tcPr>
                <w:p w14:paraId="09C1C96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p>
              </w:tc>
              <w:tc>
                <w:tcPr>
                  <w:tcW w:w="1797" w:type="pct"/>
                  <w:vMerge w:val="continue"/>
                  <w:noWrap w:val="0"/>
                  <w:vAlign w:val="center"/>
                </w:tcPr>
                <w:p w14:paraId="57BEFC4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p>
              </w:tc>
              <w:tc>
                <w:tcPr>
                  <w:tcW w:w="823" w:type="pct"/>
                  <w:vMerge w:val="continue"/>
                  <w:noWrap w:val="0"/>
                  <w:vAlign w:val="center"/>
                </w:tcPr>
                <w:p w14:paraId="42871F5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p>
              </w:tc>
              <w:tc>
                <w:tcPr>
                  <w:tcW w:w="1489" w:type="pct"/>
                  <w:noWrap w:val="0"/>
                  <w:vAlign w:val="center"/>
                </w:tcPr>
                <w:p w14:paraId="29A6723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w:t>
                  </w:r>
                  <w:r>
                    <w:rPr>
                      <w:rFonts w:hint="default" w:ascii="Times New Roman" w:hAnsi="Times New Roman" w:cs="Times New Roman"/>
                      <w:color w:val="auto"/>
                      <w:kern w:val="0"/>
                      <w:sz w:val="21"/>
                      <w:szCs w:val="21"/>
                      <w:lang w:val="zh-CN"/>
                    </w:rPr>
                    <w:t>任意一次浓度值</w:t>
                  </w:r>
                  <w:r>
                    <w:rPr>
                      <w:rFonts w:hint="default" w:ascii="Times New Roman" w:hAnsi="Times New Roman" w:cs="Times New Roman"/>
                      <w:color w:val="auto"/>
                      <w:sz w:val="21"/>
                      <w:szCs w:val="21"/>
                    </w:rPr>
                    <w:t>）</w:t>
                  </w:r>
                </w:p>
              </w:tc>
              <w:tc>
                <w:tcPr>
                  <w:tcW w:w="508" w:type="pct"/>
                  <w:vMerge w:val="continue"/>
                  <w:noWrap w:val="0"/>
                  <w:vAlign w:val="center"/>
                </w:tcPr>
                <w:p w14:paraId="47B4170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p>
              </w:tc>
            </w:tr>
          </w:tbl>
          <w:p w14:paraId="2C5CFC56">
            <w:pPr>
              <w:keepNext w:val="0"/>
              <w:keepLines w:val="0"/>
              <w:suppressLineNumbers w:val="0"/>
              <w:spacing w:before="0" w:beforeAutospacing="0" w:after="0" w:afterAutospacing="0" w:line="440" w:lineRule="exact"/>
              <w:ind w:left="0" w:right="0" w:firstLine="482" w:firstLineChars="200"/>
              <w:rPr>
                <w:rFonts w:hint="default" w:ascii="Times New Roman" w:hAnsi="Times New Roman" w:eastAsia="宋体" w:cs="Times New Roman"/>
                <w:b/>
                <w:bCs/>
                <w:snapToGrid w:val="0"/>
                <w:color w:val="auto"/>
                <w:kern w:val="0"/>
                <w:sz w:val="24"/>
              </w:rPr>
            </w:pPr>
            <w:r>
              <w:rPr>
                <w:rFonts w:hint="default" w:ascii="Times New Roman" w:hAnsi="Times New Roman" w:eastAsia="宋体" w:cs="Times New Roman"/>
                <w:b/>
                <w:bCs/>
                <w:snapToGrid w:val="0"/>
                <w:color w:val="auto"/>
                <w:kern w:val="0"/>
                <w:sz w:val="24"/>
              </w:rPr>
              <w:t>2、废水</w:t>
            </w:r>
          </w:p>
          <w:p w14:paraId="2D61DBE3">
            <w:pPr>
              <w:pStyle w:val="62"/>
              <w:keepNext w:val="0"/>
              <w:keepLines w:val="0"/>
              <w:suppressLineNumbers w:val="0"/>
              <w:bidi w:val="0"/>
              <w:spacing w:before="0" w:beforeAutospacing="0" w:after="0" w:afterAutospacing="0"/>
              <w:ind w:left="0" w:right="0"/>
              <w:rPr>
                <w:rFonts w:hint="default"/>
                <w:color w:val="0000FF"/>
              </w:rPr>
            </w:pPr>
            <w:r>
              <w:rPr>
                <w:rFonts w:hint="default"/>
                <w:color w:val="auto"/>
              </w:rPr>
              <w:t>本项目生活污水经化粪池处理后，由市政</w:t>
            </w:r>
            <w:r>
              <w:rPr>
                <w:rFonts w:hint="default"/>
                <w:color w:val="auto"/>
                <w:sz w:val="24"/>
                <w:szCs w:val="24"/>
              </w:rPr>
              <w:t>污水管网排入</w:t>
            </w:r>
            <w:r>
              <w:rPr>
                <w:rFonts w:hint="default" w:ascii="Times New Roman" w:hAnsi="Times New Roman"/>
                <w:color w:val="auto"/>
                <w:sz w:val="24"/>
                <w:szCs w:val="24"/>
                <w:lang w:eastAsia="zh-CN"/>
              </w:rPr>
              <w:t>淮南经济技术开发区工业污水处理厂</w:t>
            </w:r>
            <w:r>
              <w:rPr>
                <w:rFonts w:hint="eastAsia"/>
                <w:color w:val="auto"/>
                <w:sz w:val="24"/>
                <w:szCs w:val="24"/>
                <w:lang w:val="en-US" w:eastAsia="zh-CN"/>
              </w:rPr>
              <w:t>处理</w:t>
            </w:r>
            <w:r>
              <w:rPr>
                <w:rFonts w:hint="eastAsia"/>
                <w:color w:val="auto"/>
                <w:sz w:val="24"/>
                <w:szCs w:val="24"/>
                <w:lang w:eastAsia="zh-CN"/>
              </w:rPr>
              <w:t>；</w:t>
            </w:r>
            <w:r>
              <w:rPr>
                <w:rFonts w:hint="default"/>
                <w:color w:val="auto"/>
              </w:rPr>
              <w:t>废水排放执行</w:t>
            </w:r>
            <w:r>
              <w:rPr>
                <w:rFonts w:hint="default"/>
                <w:color w:val="auto"/>
                <w:sz w:val="24"/>
                <w:szCs w:val="28"/>
              </w:rPr>
              <w:t>《污水综合排放标准》(GB8978-1996)中三级标准</w:t>
            </w:r>
            <w:r>
              <w:rPr>
                <w:rFonts w:hint="eastAsia"/>
                <w:color w:val="auto"/>
                <w:lang w:val="en-US" w:eastAsia="zh-CN"/>
              </w:rPr>
              <w:t>和</w:t>
            </w:r>
            <w:r>
              <w:rPr>
                <w:rFonts w:hint="default" w:ascii="Times New Roman" w:hAnsi="Times New Roman"/>
                <w:color w:val="auto"/>
                <w:sz w:val="24"/>
                <w:szCs w:val="24"/>
                <w:lang w:eastAsia="zh-CN"/>
              </w:rPr>
              <w:t>淮南经济技术开发区工业污水处理厂</w:t>
            </w:r>
            <w:r>
              <w:rPr>
                <w:rFonts w:hint="default"/>
                <w:color w:val="auto"/>
              </w:rPr>
              <w:t>接管标准；</w:t>
            </w:r>
            <w:r>
              <w:rPr>
                <w:rFonts w:hint="default" w:ascii="Times New Roman" w:hAnsi="Times New Roman"/>
                <w:color w:val="auto"/>
                <w:sz w:val="24"/>
                <w:szCs w:val="24"/>
                <w:lang w:eastAsia="zh-CN"/>
              </w:rPr>
              <w:t>淮南经济技术开发区工业污水处理厂</w:t>
            </w:r>
            <w:r>
              <w:rPr>
                <w:rFonts w:hint="default"/>
                <w:color w:val="auto"/>
              </w:rPr>
              <w:t>的尾水</w:t>
            </w:r>
            <w:r>
              <w:rPr>
                <w:rFonts w:hint="eastAsia"/>
                <w:color w:val="auto"/>
                <w:lang w:val="en-US" w:eastAsia="zh-CN"/>
              </w:rPr>
              <w:t>排放</w:t>
            </w:r>
            <w:r>
              <w:rPr>
                <w:rFonts w:hint="default"/>
                <w:color w:val="auto"/>
              </w:rPr>
              <w:t>执行《城镇污水处理厂污染物排放标准》(GB18918-2002)一级A标准要求，尾水排入</w:t>
            </w:r>
            <w:r>
              <w:rPr>
                <w:rFonts w:hint="eastAsia"/>
                <w:color w:val="auto"/>
                <w:lang w:val="en-US" w:eastAsia="zh-CN"/>
              </w:rPr>
              <w:t>淮</w:t>
            </w:r>
            <w:r>
              <w:rPr>
                <w:rFonts w:hint="eastAsia"/>
                <w:color w:val="auto"/>
              </w:rPr>
              <w:t>河</w:t>
            </w:r>
            <w:r>
              <w:rPr>
                <w:rFonts w:hint="default"/>
                <w:color w:val="auto"/>
              </w:rPr>
              <w:t>。</w:t>
            </w:r>
          </w:p>
          <w:p w14:paraId="42C30EC4">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具体详见下表。</w:t>
            </w:r>
          </w:p>
          <w:p w14:paraId="3ED706C5">
            <w:pPr>
              <w:pStyle w:val="63"/>
              <w:keepNext w:val="0"/>
              <w:keepLines w:val="0"/>
              <w:suppressLineNumbers w:val="0"/>
              <w:spacing w:before="0" w:beforeAutospacing="0" w:after="0" w:afterAutospacing="0"/>
              <w:ind w:left="0" w:right="0"/>
              <w:rPr>
                <w:rFonts w:hint="default" w:ascii="Times New Roman" w:hAnsi="Times New Roman" w:eastAsia="宋体" w:cs="Times New Roman"/>
                <w:color w:val="0000FF"/>
              </w:rPr>
            </w:pPr>
          </w:p>
          <w:p w14:paraId="7380805C">
            <w:pPr>
              <w:pStyle w:val="63"/>
              <w:keepNext w:val="0"/>
              <w:keepLines w:val="0"/>
              <w:suppressLineNumbers w:val="0"/>
              <w:spacing w:before="0" w:beforeAutospacing="0" w:after="0" w:afterAutospacing="0"/>
              <w:ind w:left="0" w:right="0"/>
              <w:rPr>
                <w:rFonts w:hint="default" w:ascii="Times New Roman" w:hAnsi="Times New Roman" w:eastAsia="宋体" w:cs="Times New Roman"/>
                <w:color w:val="0000FF"/>
              </w:rPr>
            </w:pPr>
          </w:p>
          <w:p w14:paraId="7B3CFC6A">
            <w:pPr>
              <w:pStyle w:val="63"/>
              <w:keepNext w:val="0"/>
              <w:keepLines w:val="0"/>
              <w:suppressLineNumbers w:val="0"/>
              <w:spacing w:before="0" w:beforeAutospacing="0" w:after="0" w:afterAutospacing="0"/>
              <w:ind w:left="0" w:right="0"/>
              <w:rPr>
                <w:rFonts w:hint="default" w:ascii="Times New Roman" w:hAnsi="Times New Roman" w:eastAsia="宋体" w:cs="Times New Roman"/>
                <w:color w:val="auto"/>
              </w:rPr>
            </w:pPr>
            <w:r>
              <w:rPr>
                <w:rFonts w:hint="default" w:ascii="Times New Roman" w:hAnsi="Times New Roman" w:eastAsia="宋体" w:cs="Times New Roman"/>
                <w:color w:val="auto"/>
              </w:rPr>
              <w:t>表3-</w:t>
            </w:r>
            <w:r>
              <w:rPr>
                <w:rFonts w:hint="eastAsia" w:cs="Times New Roman"/>
                <w:color w:val="auto"/>
                <w:lang w:val="en-US" w:eastAsia="zh-CN"/>
              </w:rPr>
              <w:t>8</w:t>
            </w:r>
            <w:r>
              <w:rPr>
                <w:rFonts w:hint="default" w:ascii="Times New Roman" w:hAnsi="Times New Roman" w:eastAsia="宋体" w:cs="Times New Roman"/>
                <w:color w:val="auto"/>
              </w:rPr>
              <w:t xml:space="preserve">  项目废水排放执行标准    单位：mg/L，pH无量纲</w:t>
            </w:r>
          </w:p>
          <w:tbl>
            <w:tblPr>
              <w:tblStyle w:val="52"/>
              <w:tblW w:w="49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43"/>
              <w:gridCol w:w="731"/>
              <w:gridCol w:w="731"/>
              <w:gridCol w:w="731"/>
              <w:gridCol w:w="732"/>
              <w:gridCol w:w="732"/>
              <w:gridCol w:w="732"/>
              <w:gridCol w:w="732"/>
            </w:tblGrid>
            <w:tr w14:paraId="72E6F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jc w:val="center"/>
              </w:trPr>
              <w:tc>
                <w:tcPr>
                  <w:tcW w:w="1901" w:type="pct"/>
                  <w:tcBorders>
                    <w:right w:val="single" w:color="auto" w:sz="4" w:space="0"/>
                  </w:tcBorders>
                  <w:noWrap w:val="0"/>
                  <w:vAlign w:val="center"/>
                </w:tcPr>
                <w:p w14:paraId="2DE6AE86">
                  <w:pPr>
                    <w:pStyle w:val="65"/>
                    <w:keepNext w:val="0"/>
                    <w:keepLines w:val="0"/>
                    <w:suppressLineNumbers w:val="0"/>
                    <w:spacing w:before="21" w:beforeAutospacing="0" w:after="0" w:afterAutospacing="0"/>
                    <w:ind w:left="192" w:right="193"/>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污染物</w:t>
                  </w:r>
                </w:p>
              </w:tc>
              <w:tc>
                <w:tcPr>
                  <w:tcW w:w="442" w:type="pct"/>
                  <w:tcBorders>
                    <w:left w:val="single" w:color="auto" w:sz="4" w:space="0"/>
                  </w:tcBorders>
                  <w:noWrap w:val="0"/>
                  <w:vAlign w:val="center"/>
                </w:tcPr>
                <w:p w14:paraId="4C88A7C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rPr>
                    <w:t>pH</w:t>
                  </w:r>
                </w:p>
              </w:tc>
              <w:tc>
                <w:tcPr>
                  <w:tcW w:w="442" w:type="pct"/>
                  <w:noWrap w:val="0"/>
                  <w:vAlign w:val="center"/>
                </w:tcPr>
                <w:p w14:paraId="42293A1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rPr>
                    <w:t>COD</w:t>
                  </w:r>
                  <w:r>
                    <w:rPr>
                      <w:rFonts w:hint="default" w:ascii="Times New Roman" w:hAnsi="Times New Roman" w:eastAsia="宋体" w:cs="Times New Roman"/>
                      <w:b/>
                      <w:bCs/>
                      <w:color w:val="auto"/>
                      <w:kern w:val="0"/>
                      <w:sz w:val="21"/>
                      <w:szCs w:val="21"/>
                      <w:vertAlign w:val="subscript"/>
                    </w:rPr>
                    <w:t>Cr</w:t>
                  </w:r>
                </w:p>
              </w:tc>
              <w:tc>
                <w:tcPr>
                  <w:tcW w:w="442" w:type="pct"/>
                  <w:noWrap w:val="0"/>
                  <w:vAlign w:val="center"/>
                </w:tcPr>
                <w:p w14:paraId="42DA7E7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rPr>
                    <w:t>BOD</w:t>
                  </w:r>
                  <w:r>
                    <w:rPr>
                      <w:rFonts w:hint="default" w:ascii="Times New Roman" w:hAnsi="Times New Roman" w:eastAsia="宋体" w:cs="Times New Roman"/>
                      <w:b/>
                      <w:bCs/>
                      <w:color w:val="auto"/>
                      <w:kern w:val="0"/>
                      <w:sz w:val="21"/>
                      <w:szCs w:val="21"/>
                      <w:vertAlign w:val="subscript"/>
                    </w:rPr>
                    <w:t>5</w:t>
                  </w:r>
                </w:p>
              </w:tc>
              <w:tc>
                <w:tcPr>
                  <w:tcW w:w="442" w:type="pct"/>
                  <w:noWrap w:val="0"/>
                  <w:vAlign w:val="center"/>
                </w:tcPr>
                <w:p w14:paraId="43C3076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rPr>
                    <w:t>SS</w:t>
                  </w:r>
                </w:p>
              </w:tc>
              <w:tc>
                <w:tcPr>
                  <w:tcW w:w="442" w:type="pct"/>
                  <w:noWrap w:val="0"/>
                  <w:vAlign w:val="center"/>
                </w:tcPr>
                <w:p w14:paraId="65A4EB2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rPr>
                    <w:t>NH</w:t>
                  </w:r>
                  <w:r>
                    <w:rPr>
                      <w:rFonts w:hint="default" w:ascii="Times New Roman" w:hAnsi="Times New Roman" w:eastAsia="宋体" w:cs="Times New Roman"/>
                      <w:b/>
                      <w:bCs/>
                      <w:color w:val="auto"/>
                      <w:kern w:val="0"/>
                      <w:sz w:val="21"/>
                      <w:szCs w:val="21"/>
                      <w:vertAlign w:val="subscript"/>
                    </w:rPr>
                    <w:t>3</w:t>
                  </w:r>
                  <w:r>
                    <w:rPr>
                      <w:rFonts w:hint="default" w:ascii="Times New Roman" w:hAnsi="Times New Roman" w:eastAsia="宋体" w:cs="Times New Roman"/>
                      <w:b/>
                      <w:bCs/>
                      <w:color w:val="auto"/>
                      <w:kern w:val="0"/>
                      <w:sz w:val="21"/>
                      <w:szCs w:val="21"/>
                    </w:rPr>
                    <w:t>-N</w:t>
                  </w:r>
                </w:p>
              </w:tc>
              <w:tc>
                <w:tcPr>
                  <w:tcW w:w="442" w:type="pct"/>
                  <w:noWrap w:val="0"/>
                  <w:vAlign w:val="center"/>
                </w:tcPr>
                <w:p w14:paraId="6F00232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TP</w:t>
                  </w:r>
                </w:p>
              </w:tc>
              <w:tc>
                <w:tcPr>
                  <w:tcW w:w="442" w:type="pct"/>
                  <w:noWrap w:val="0"/>
                  <w:vAlign w:val="center"/>
                </w:tcPr>
                <w:p w14:paraId="01B1FCD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TN</w:t>
                  </w:r>
                </w:p>
              </w:tc>
            </w:tr>
            <w:tr w14:paraId="24D0C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jc w:val="center"/>
              </w:trPr>
              <w:tc>
                <w:tcPr>
                  <w:tcW w:w="1901" w:type="pct"/>
                  <w:tcBorders>
                    <w:right w:val="single" w:color="auto" w:sz="4" w:space="0"/>
                  </w:tcBorders>
                  <w:noWrap w:val="0"/>
                  <w:vAlign w:val="center"/>
                </w:tcPr>
                <w:p w14:paraId="61CCD732">
                  <w:pPr>
                    <w:pStyle w:val="123"/>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eastAsia="zh-CN"/>
                    </w:rPr>
                    <w:t>淮南经济技术开发区工业污水处理厂</w:t>
                  </w:r>
                  <w:r>
                    <w:rPr>
                      <w:rFonts w:hint="default" w:ascii="Times New Roman" w:hAnsi="Times New Roman" w:eastAsia="宋体" w:cs="Times New Roman"/>
                      <w:color w:val="auto"/>
                      <w:sz w:val="21"/>
                      <w:szCs w:val="21"/>
                      <w:lang w:val="en-US" w:eastAsia="zh-CN"/>
                    </w:rPr>
                    <w:t>接管标准</w:t>
                  </w:r>
                </w:p>
              </w:tc>
              <w:tc>
                <w:tcPr>
                  <w:tcW w:w="442" w:type="pct"/>
                  <w:tcBorders>
                    <w:left w:val="single" w:color="auto" w:sz="4" w:space="0"/>
                  </w:tcBorders>
                  <w:noWrap w:val="0"/>
                  <w:vAlign w:val="center"/>
                </w:tcPr>
                <w:p w14:paraId="2F2E0BA6">
                  <w:pPr>
                    <w:pStyle w:val="123"/>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6~9</w:t>
                  </w:r>
                </w:p>
              </w:tc>
              <w:tc>
                <w:tcPr>
                  <w:tcW w:w="442" w:type="pct"/>
                  <w:noWrap w:val="0"/>
                  <w:vAlign w:val="center"/>
                </w:tcPr>
                <w:p w14:paraId="65FC21FB">
                  <w:pPr>
                    <w:pStyle w:val="123"/>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3</w:t>
                  </w:r>
                  <w:r>
                    <w:rPr>
                      <w:rFonts w:hint="eastAsia" w:ascii="Times New Roman" w:hAnsi="Times New Roman" w:cs="Times New Roman"/>
                      <w:color w:val="auto"/>
                      <w:sz w:val="21"/>
                      <w:szCs w:val="21"/>
                      <w:lang w:val="en-US" w:eastAsia="zh-CN"/>
                    </w:rPr>
                    <w:t>6</w:t>
                  </w:r>
                  <w:r>
                    <w:rPr>
                      <w:rFonts w:hint="default" w:ascii="Times New Roman" w:hAnsi="Times New Roman" w:eastAsia="宋体" w:cs="Times New Roman"/>
                      <w:color w:val="auto"/>
                      <w:sz w:val="21"/>
                      <w:szCs w:val="21"/>
                      <w:lang w:val="en-US" w:eastAsia="zh-CN"/>
                    </w:rPr>
                    <w:t>0</w:t>
                  </w:r>
                </w:p>
              </w:tc>
              <w:tc>
                <w:tcPr>
                  <w:tcW w:w="442" w:type="pct"/>
                  <w:noWrap w:val="0"/>
                  <w:vAlign w:val="center"/>
                </w:tcPr>
                <w:p w14:paraId="79F0FA40">
                  <w:pPr>
                    <w:pStyle w:val="123"/>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auto"/>
                      <w:sz w:val="21"/>
                      <w:szCs w:val="21"/>
                      <w:lang w:val="en-US"/>
                    </w:rPr>
                  </w:pPr>
                  <w:r>
                    <w:rPr>
                      <w:rFonts w:hint="eastAsia" w:ascii="Times New Roman" w:hAnsi="Times New Roman" w:cs="Times New Roman"/>
                      <w:color w:val="auto"/>
                      <w:sz w:val="21"/>
                      <w:szCs w:val="21"/>
                      <w:lang w:val="en-US" w:eastAsia="zh-CN"/>
                    </w:rPr>
                    <w:t>80</w:t>
                  </w:r>
                </w:p>
              </w:tc>
              <w:tc>
                <w:tcPr>
                  <w:tcW w:w="442" w:type="pct"/>
                  <w:noWrap w:val="0"/>
                  <w:vAlign w:val="center"/>
                </w:tcPr>
                <w:p w14:paraId="30CEA6A0">
                  <w:pPr>
                    <w:pStyle w:val="123"/>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2</w:t>
                  </w:r>
                  <w:r>
                    <w:rPr>
                      <w:rFonts w:hint="eastAsia" w:ascii="Times New Roman" w:hAnsi="Times New Roman" w:cs="Times New Roman"/>
                      <w:color w:val="auto"/>
                      <w:sz w:val="21"/>
                      <w:szCs w:val="21"/>
                      <w:lang w:val="en-US" w:eastAsia="zh-CN"/>
                    </w:rPr>
                    <w:t>0</w:t>
                  </w:r>
                  <w:r>
                    <w:rPr>
                      <w:rFonts w:hint="default" w:ascii="Times New Roman" w:hAnsi="Times New Roman" w:eastAsia="宋体" w:cs="Times New Roman"/>
                      <w:color w:val="auto"/>
                      <w:sz w:val="21"/>
                      <w:szCs w:val="21"/>
                      <w:lang w:val="en-US" w:eastAsia="zh-CN"/>
                    </w:rPr>
                    <w:t>0</w:t>
                  </w:r>
                </w:p>
              </w:tc>
              <w:tc>
                <w:tcPr>
                  <w:tcW w:w="442" w:type="pct"/>
                  <w:noWrap w:val="0"/>
                  <w:vAlign w:val="center"/>
                </w:tcPr>
                <w:p w14:paraId="77818364">
                  <w:pPr>
                    <w:pStyle w:val="123"/>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auto"/>
                      <w:sz w:val="21"/>
                      <w:szCs w:val="21"/>
                      <w:lang w:val="en-US"/>
                    </w:rPr>
                  </w:pPr>
                  <w:r>
                    <w:rPr>
                      <w:rFonts w:hint="eastAsia" w:ascii="Times New Roman" w:hAnsi="Times New Roman" w:eastAsia="宋体" w:cs="Times New Roman"/>
                      <w:color w:val="auto"/>
                      <w:sz w:val="21"/>
                      <w:szCs w:val="21"/>
                      <w:lang w:val="en-US" w:eastAsia="zh-CN"/>
                    </w:rPr>
                    <w:t>35</w:t>
                  </w:r>
                </w:p>
              </w:tc>
              <w:tc>
                <w:tcPr>
                  <w:tcW w:w="442" w:type="pct"/>
                  <w:noWrap w:val="0"/>
                  <w:vAlign w:val="center"/>
                </w:tcPr>
                <w:p w14:paraId="01840E9B">
                  <w:pPr>
                    <w:pStyle w:val="123"/>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4.5</w:t>
                  </w:r>
                </w:p>
              </w:tc>
              <w:tc>
                <w:tcPr>
                  <w:tcW w:w="442" w:type="pct"/>
                  <w:noWrap w:val="0"/>
                  <w:vAlign w:val="center"/>
                </w:tcPr>
                <w:p w14:paraId="3B3864CD">
                  <w:pPr>
                    <w:pStyle w:val="123"/>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50</w:t>
                  </w:r>
                </w:p>
              </w:tc>
            </w:tr>
            <w:tr w14:paraId="3E001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jc w:val="center"/>
              </w:trPr>
              <w:tc>
                <w:tcPr>
                  <w:tcW w:w="1901" w:type="pct"/>
                  <w:tcBorders>
                    <w:right w:val="single" w:color="auto" w:sz="4" w:space="0"/>
                  </w:tcBorders>
                  <w:noWrap w:val="0"/>
                  <w:vAlign w:val="center"/>
                </w:tcPr>
                <w:p w14:paraId="7784E63B">
                  <w:pPr>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FF"/>
                      <w:szCs w:val="21"/>
                    </w:rPr>
                  </w:pPr>
                  <w:r>
                    <w:rPr>
                      <w:rFonts w:hint="default" w:ascii="Times New Roman" w:hAnsi="Times New Roman" w:eastAsia="宋体" w:cs="Times New Roman"/>
                      <w:color w:val="auto"/>
                      <w:sz w:val="21"/>
                      <w:szCs w:val="21"/>
                    </w:rPr>
                    <w:t>《污水综合排放标准》（GB8978-1996）三级标准</w:t>
                  </w:r>
                </w:p>
              </w:tc>
              <w:tc>
                <w:tcPr>
                  <w:tcW w:w="442" w:type="pct"/>
                  <w:tcBorders>
                    <w:left w:val="single" w:color="auto" w:sz="4" w:space="0"/>
                  </w:tcBorders>
                  <w:noWrap w:val="0"/>
                  <w:vAlign w:val="center"/>
                </w:tcPr>
                <w:p w14:paraId="29D9035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rPr>
                    <w:t>6~9</w:t>
                  </w:r>
                </w:p>
              </w:tc>
              <w:tc>
                <w:tcPr>
                  <w:tcW w:w="442" w:type="pct"/>
                  <w:noWrap w:val="0"/>
                  <w:vAlign w:val="center"/>
                </w:tcPr>
                <w:p w14:paraId="068F10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default" w:ascii="Times New Roman" w:hAnsi="Times New Roman" w:cs="Times New Roman"/>
                      <w:color w:val="auto"/>
                      <w:kern w:val="0"/>
                      <w:szCs w:val="21"/>
                    </w:rPr>
                    <w:t>500</w:t>
                  </w:r>
                </w:p>
              </w:tc>
              <w:tc>
                <w:tcPr>
                  <w:tcW w:w="442" w:type="pct"/>
                  <w:noWrap w:val="0"/>
                  <w:vAlign w:val="center"/>
                </w:tcPr>
                <w:p w14:paraId="0546BD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default" w:ascii="Times New Roman" w:hAnsi="Times New Roman" w:cs="Times New Roman"/>
                      <w:color w:val="auto"/>
                      <w:kern w:val="0"/>
                      <w:szCs w:val="21"/>
                    </w:rPr>
                    <w:t>300</w:t>
                  </w:r>
                </w:p>
              </w:tc>
              <w:tc>
                <w:tcPr>
                  <w:tcW w:w="442" w:type="pct"/>
                  <w:noWrap w:val="0"/>
                  <w:vAlign w:val="center"/>
                </w:tcPr>
                <w:p w14:paraId="7A333EB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kern w:val="0"/>
                      <w:lang w:val="en-US" w:eastAsia="zh-CN"/>
                    </w:rPr>
                    <w:t>40</w:t>
                  </w:r>
                  <w:r>
                    <w:rPr>
                      <w:rFonts w:hint="default" w:ascii="Times New Roman" w:hAnsi="Times New Roman" w:eastAsia="宋体" w:cs="Times New Roman"/>
                      <w:color w:val="auto"/>
                      <w:kern w:val="0"/>
                      <w:lang w:val="en-US" w:eastAsia="zh-CN"/>
                    </w:rPr>
                    <w:t>0</w:t>
                  </w:r>
                </w:p>
              </w:tc>
              <w:tc>
                <w:tcPr>
                  <w:tcW w:w="442" w:type="pct"/>
                  <w:noWrap w:val="0"/>
                  <w:vAlign w:val="center"/>
                </w:tcPr>
                <w:p w14:paraId="55B1776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kern w:val="0"/>
                      <w:lang w:val="en-US" w:eastAsia="zh-CN"/>
                    </w:rPr>
                    <w:t>/</w:t>
                  </w:r>
                </w:p>
              </w:tc>
              <w:tc>
                <w:tcPr>
                  <w:tcW w:w="442" w:type="pct"/>
                  <w:noWrap w:val="0"/>
                  <w:vAlign w:val="center"/>
                </w:tcPr>
                <w:p w14:paraId="455D2F5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w:t>
                  </w:r>
                </w:p>
              </w:tc>
              <w:tc>
                <w:tcPr>
                  <w:tcW w:w="442" w:type="pct"/>
                  <w:noWrap w:val="0"/>
                  <w:vAlign w:val="center"/>
                </w:tcPr>
                <w:p w14:paraId="71FABE3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lang w:val="en-US" w:eastAsia="zh-CN"/>
                    </w:rPr>
                  </w:pPr>
                  <w:r>
                    <w:rPr>
                      <w:rFonts w:hint="default" w:ascii="Times New Roman" w:hAnsi="Times New Roman" w:cs="Times New Roman"/>
                      <w:color w:val="auto"/>
                      <w:kern w:val="0"/>
                      <w:lang w:val="en-US" w:eastAsia="zh-CN"/>
                    </w:rPr>
                    <w:t>/</w:t>
                  </w:r>
                </w:p>
              </w:tc>
            </w:tr>
            <w:tr w14:paraId="04E01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jc w:val="center"/>
              </w:trPr>
              <w:tc>
                <w:tcPr>
                  <w:tcW w:w="1901" w:type="pct"/>
                  <w:tcBorders>
                    <w:right w:val="single" w:color="auto" w:sz="4" w:space="0"/>
                  </w:tcBorders>
                  <w:noWrap w:val="0"/>
                  <w:vAlign w:val="center"/>
                </w:tcPr>
                <w:p w14:paraId="6887A43D">
                  <w:pPr>
                    <w:pStyle w:val="65"/>
                    <w:keepNext w:val="0"/>
                    <w:keepLines w:val="0"/>
                    <w:suppressLineNumbers w:val="0"/>
                    <w:spacing w:before="0" w:beforeAutospacing="0" w:after="0" w:afterAutospacing="0"/>
                    <w:ind w:left="192" w:right="193"/>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本项目执行标准</w:t>
                  </w:r>
                </w:p>
              </w:tc>
              <w:tc>
                <w:tcPr>
                  <w:tcW w:w="442" w:type="pct"/>
                  <w:tcBorders>
                    <w:left w:val="single" w:color="auto" w:sz="4" w:space="0"/>
                  </w:tcBorders>
                  <w:noWrap w:val="0"/>
                  <w:vAlign w:val="center"/>
                </w:tcPr>
                <w:p w14:paraId="335F346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rPr>
                    <w:t>6~9</w:t>
                  </w:r>
                </w:p>
              </w:tc>
              <w:tc>
                <w:tcPr>
                  <w:tcW w:w="442" w:type="pct"/>
                  <w:noWrap w:val="0"/>
                  <w:vAlign w:val="center"/>
                </w:tcPr>
                <w:p w14:paraId="55D8C95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lang w:val="en-US"/>
                    </w:rPr>
                  </w:pPr>
                  <w:r>
                    <w:rPr>
                      <w:rFonts w:hint="default" w:ascii="Times New Roman" w:hAnsi="Times New Roman" w:eastAsia="宋体" w:cs="Times New Roman"/>
                      <w:color w:val="auto"/>
                      <w:kern w:val="0"/>
                      <w:lang w:val="en-US" w:eastAsia="zh-CN"/>
                    </w:rPr>
                    <w:t>3</w:t>
                  </w:r>
                  <w:r>
                    <w:rPr>
                      <w:rFonts w:hint="eastAsia" w:ascii="Times New Roman" w:hAnsi="Times New Roman" w:cs="Times New Roman"/>
                      <w:color w:val="auto"/>
                      <w:kern w:val="0"/>
                      <w:lang w:val="en-US" w:eastAsia="zh-CN"/>
                    </w:rPr>
                    <w:t>60</w:t>
                  </w:r>
                </w:p>
              </w:tc>
              <w:tc>
                <w:tcPr>
                  <w:tcW w:w="442" w:type="pct"/>
                  <w:noWrap w:val="0"/>
                  <w:vAlign w:val="center"/>
                </w:tcPr>
                <w:p w14:paraId="57A710E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lang w:val="en-US" w:eastAsia="zh-CN"/>
                    </w:rPr>
                  </w:pPr>
                  <w:r>
                    <w:rPr>
                      <w:rFonts w:hint="default" w:ascii="Times New Roman" w:hAnsi="Times New Roman" w:eastAsia="宋体" w:cs="Times New Roman"/>
                      <w:color w:val="auto"/>
                      <w:kern w:val="0"/>
                      <w:lang w:val="en-US" w:eastAsia="zh-CN"/>
                    </w:rPr>
                    <w:t>80</w:t>
                  </w:r>
                </w:p>
              </w:tc>
              <w:tc>
                <w:tcPr>
                  <w:tcW w:w="442" w:type="pct"/>
                  <w:noWrap w:val="0"/>
                  <w:vAlign w:val="center"/>
                </w:tcPr>
                <w:p w14:paraId="0652962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w:t>
                  </w:r>
                  <w:r>
                    <w:rPr>
                      <w:rFonts w:hint="default" w:ascii="Times New Roman" w:hAnsi="Times New Roman" w:eastAsia="宋体" w:cs="Times New Roman"/>
                      <w:color w:val="auto"/>
                      <w:kern w:val="0"/>
                      <w:lang w:val="en-US" w:eastAsia="zh-CN"/>
                    </w:rPr>
                    <w:t>0</w:t>
                  </w:r>
                </w:p>
              </w:tc>
              <w:tc>
                <w:tcPr>
                  <w:tcW w:w="442" w:type="pct"/>
                  <w:noWrap w:val="0"/>
                  <w:vAlign w:val="center"/>
                </w:tcPr>
                <w:p w14:paraId="00307CA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lang w:val="en-US" w:eastAsia="zh-CN"/>
                    </w:rPr>
                  </w:pPr>
                  <w:r>
                    <w:rPr>
                      <w:rFonts w:hint="default" w:ascii="Times New Roman" w:hAnsi="Times New Roman" w:eastAsia="宋体" w:cs="Times New Roman"/>
                      <w:color w:val="auto"/>
                      <w:kern w:val="0"/>
                      <w:lang w:val="en-US" w:eastAsia="zh-CN"/>
                    </w:rPr>
                    <w:t>3</w:t>
                  </w:r>
                  <w:r>
                    <w:rPr>
                      <w:rFonts w:hint="eastAsia" w:ascii="Times New Roman" w:hAnsi="Times New Roman" w:cs="Times New Roman"/>
                      <w:color w:val="auto"/>
                      <w:kern w:val="0"/>
                      <w:lang w:val="en-US" w:eastAsia="zh-CN"/>
                    </w:rPr>
                    <w:t>5</w:t>
                  </w:r>
                </w:p>
              </w:tc>
              <w:tc>
                <w:tcPr>
                  <w:tcW w:w="442" w:type="pct"/>
                  <w:noWrap w:val="0"/>
                  <w:vAlign w:val="center"/>
                </w:tcPr>
                <w:p w14:paraId="418FCC3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4.5</w:t>
                  </w:r>
                </w:p>
              </w:tc>
              <w:tc>
                <w:tcPr>
                  <w:tcW w:w="442" w:type="pct"/>
                  <w:noWrap w:val="0"/>
                  <w:vAlign w:val="center"/>
                </w:tcPr>
                <w:p w14:paraId="171E01A0">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w:t>
                  </w:r>
                  <w:r>
                    <w:rPr>
                      <w:rFonts w:hint="default" w:ascii="Times New Roman" w:hAnsi="Times New Roman" w:eastAsia="宋体" w:cs="Times New Roman"/>
                      <w:color w:val="auto"/>
                      <w:kern w:val="0"/>
                      <w:lang w:val="en-US" w:eastAsia="zh-CN"/>
                    </w:rPr>
                    <w:t>0</w:t>
                  </w:r>
                </w:p>
              </w:tc>
            </w:tr>
            <w:tr w14:paraId="4A6BB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jc w:val="center"/>
              </w:trPr>
              <w:tc>
                <w:tcPr>
                  <w:tcW w:w="1901" w:type="pct"/>
                  <w:tcBorders>
                    <w:right w:val="single" w:color="auto" w:sz="4" w:space="0"/>
                  </w:tcBorders>
                  <w:noWrap w:val="0"/>
                  <w:vAlign w:val="center"/>
                </w:tcPr>
                <w:p w14:paraId="09059C06">
                  <w:pPr>
                    <w:pStyle w:val="65"/>
                    <w:keepNext w:val="0"/>
                    <w:keepLines w:val="0"/>
                    <w:suppressLineNumbers w:val="0"/>
                    <w:spacing w:before="21" w:beforeAutospacing="0" w:after="0" w:afterAutospacing="0"/>
                    <w:ind w:left="192" w:right="193"/>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《城镇污水处理厂污染物排放标准》（GB18918-2002）一级A标准</w:t>
                  </w:r>
                </w:p>
              </w:tc>
              <w:tc>
                <w:tcPr>
                  <w:tcW w:w="442" w:type="pct"/>
                  <w:tcBorders>
                    <w:left w:val="single" w:color="auto" w:sz="4" w:space="0"/>
                  </w:tcBorders>
                  <w:noWrap w:val="0"/>
                  <w:vAlign w:val="center"/>
                </w:tcPr>
                <w:p w14:paraId="16391AE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rPr>
                    <w:t>6~9</w:t>
                  </w:r>
                </w:p>
              </w:tc>
              <w:tc>
                <w:tcPr>
                  <w:tcW w:w="442" w:type="pct"/>
                  <w:noWrap w:val="0"/>
                  <w:vAlign w:val="center"/>
                </w:tcPr>
                <w:p w14:paraId="1A9F7FB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bCs/>
                      <w:color w:val="auto"/>
                    </w:rPr>
                    <w:t>50</w:t>
                  </w:r>
                </w:p>
              </w:tc>
              <w:tc>
                <w:tcPr>
                  <w:tcW w:w="442" w:type="pct"/>
                  <w:noWrap w:val="0"/>
                  <w:vAlign w:val="center"/>
                </w:tcPr>
                <w:p w14:paraId="4D93C87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bCs/>
                      <w:color w:val="auto"/>
                    </w:rPr>
                    <w:t>10</w:t>
                  </w:r>
                </w:p>
              </w:tc>
              <w:tc>
                <w:tcPr>
                  <w:tcW w:w="442" w:type="pct"/>
                  <w:noWrap w:val="0"/>
                  <w:vAlign w:val="center"/>
                </w:tcPr>
                <w:p w14:paraId="56D702D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bCs/>
                      <w:color w:val="auto"/>
                    </w:rPr>
                    <w:t>10</w:t>
                  </w:r>
                </w:p>
              </w:tc>
              <w:tc>
                <w:tcPr>
                  <w:tcW w:w="442" w:type="pct"/>
                  <w:noWrap w:val="0"/>
                  <w:vAlign w:val="center"/>
                </w:tcPr>
                <w:p w14:paraId="1177675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bCs/>
                      <w:color w:val="auto"/>
                    </w:rPr>
                    <w:t>5（8）</w:t>
                  </w:r>
                </w:p>
              </w:tc>
              <w:tc>
                <w:tcPr>
                  <w:tcW w:w="442" w:type="pct"/>
                  <w:noWrap w:val="0"/>
                  <w:vAlign w:val="center"/>
                </w:tcPr>
                <w:p w14:paraId="2690D8D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0.5</w:t>
                  </w:r>
                </w:p>
              </w:tc>
              <w:tc>
                <w:tcPr>
                  <w:tcW w:w="442" w:type="pct"/>
                  <w:noWrap w:val="0"/>
                  <w:vAlign w:val="center"/>
                </w:tcPr>
                <w:p w14:paraId="435800D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15</w:t>
                  </w:r>
                </w:p>
              </w:tc>
            </w:tr>
          </w:tbl>
          <w:p w14:paraId="5869E121">
            <w:pPr>
              <w:keepNext w:val="0"/>
              <w:keepLines w:val="0"/>
              <w:suppressLineNumbers w:val="0"/>
              <w:spacing w:before="0" w:beforeAutospacing="0" w:after="0" w:afterAutospacing="0" w:line="440" w:lineRule="exact"/>
              <w:ind w:left="0" w:right="0" w:firstLine="482" w:firstLineChars="200"/>
              <w:rPr>
                <w:rFonts w:hint="default" w:ascii="Times New Roman" w:hAnsi="Times New Roman" w:eastAsia="宋体" w:cs="Times New Roman"/>
                <w:b/>
                <w:bCs/>
                <w:snapToGrid w:val="0"/>
                <w:color w:val="auto"/>
                <w:kern w:val="0"/>
                <w:sz w:val="24"/>
              </w:rPr>
            </w:pPr>
            <w:r>
              <w:rPr>
                <w:rFonts w:hint="default" w:ascii="Times New Roman" w:hAnsi="Times New Roman" w:eastAsia="宋体" w:cs="Times New Roman"/>
                <w:b/>
                <w:bCs/>
                <w:snapToGrid w:val="0"/>
                <w:color w:val="auto"/>
                <w:kern w:val="0"/>
                <w:sz w:val="24"/>
              </w:rPr>
              <w:t>3、噪声</w:t>
            </w:r>
          </w:p>
          <w:p w14:paraId="1AE4048C">
            <w:pPr>
              <w:keepNext w:val="0"/>
              <w:keepLines w:val="0"/>
              <w:suppressLineNumbers w:val="0"/>
              <w:spacing w:before="0" w:beforeAutospacing="0" w:after="0" w:afterAutospacing="0" w:line="440" w:lineRule="exact"/>
              <w:ind w:left="0" w:right="0" w:firstLine="480" w:firstLineChars="200"/>
              <w:rPr>
                <w:rFonts w:hint="default" w:ascii="Times New Roman" w:hAnsi="Times New Roman" w:eastAsia="宋体" w:cs="Times New Roman"/>
                <w:b/>
                <w:color w:val="auto"/>
              </w:rPr>
            </w:pPr>
            <w:r>
              <w:rPr>
                <w:rStyle w:val="67"/>
                <w:rFonts w:hint="default" w:ascii="Times New Roman" w:hAnsi="Times New Roman" w:eastAsia="宋体" w:cs="Times New Roman"/>
                <w:color w:val="auto"/>
              </w:rPr>
              <w:t>运营期厂界噪声执行《工业企业厂界环境噪声排放标准》（GB12348-2008）中</w:t>
            </w:r>
            <w:r>
              <w:rPr>
                <w:rStyle w:val="67"/>
                <w:rFonts w:hint="eastAsia" w:ascii="Times New Roman" w:hAnsi="Times New Roman" w:eastAsia="宋体" w:cs="Times New Roman"/>
                <w:color w:val="auto"/>
                <w:lang w:val="en-US" w:eastAsia="zh-CN"/>
              </w:rPr>
              <w:t>3</w:t>
            </w:r>
            <w:r>
              <w:rPr>
                <w:rStyle w:val="67"/>
                <w:rFonts w:hint="default" w:ascii="Times New Roman" w:hAnsi="Times New Roman" w:eastAsia="宋体" w:cs="Times New Roman"/>
                <w:color w:val="auto"/>
              </w:rPr>
              <w:t>类标准</w:t>
            </w:r>
            <w:r>
              <w:rPr>
                <w:rStyle w:val="67"/>
                <w:rFonts w:hint="eastAsia" w:ascii="Times New Roman" w:hAnsi="Times New Roman" w:eastAsia="宋体" w:cs="Times New Roman"/>
                <w:color w:val="auto"/>
                <w:lang w:eastAsia="zh-CN"/>
              </w:rPr>
              <w:t>。</w:t>
            </w:r>
            <w:r>
              <w:rPr>
                <w:rFonts w:hint="default" w:ascii="Times New Roman" w:hAnsi="Times New Roman" w:eastAsia="宋体" w:cs="Times New Roman"/>
                <w:color w:val="auto"/>
                <w:sz w:val="24"/>
              </w:rPr>
              <w:t>具体如下</w:t>
            </w:r>
            <w:r>
              <w:rPr>
                <w:rFonts w:hint="default" w:ascii="Times New Roman" w:hAnsi="Times New Roman" w:eastAsia="宋体" w:cs="Times New Roman"/>
                <w:color w:val="auto"/>
                <w:sz w:val="24"/>
                <w:lang w:eastAsia="zh-CN"/>
              </w:rPr>
              <w:t>：</w:t>
            </w:r>
          </w:p>
          <w:p w14:paraId="2D598846">
            <w:pPr>
              <w:keepNext w:val="0"/>
              <w:keepLines w:val="0"/>
              <w:suppressLineNumbers w:val="0"/>
              <w:spacing w:before="0" w:beforeAutospacing="0" w:after="0" w:afterAutospacing="0" w:line="44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表3-</w:t>
            </w:r>
            <w:r>
              <w:rPr>
                <w:rFonts w:hint="eastAsia" w:ascii="Times New Roman" w:hAnsi="Times New Roman" w:eastAsia="宋体" w:cs="Times New Roman"/>
                <w:b/>
                <w:color w:val="auto"/>
                <w:lang w:val="en-US" w:eastAsia="zh-CN"/>
              </w:rPr>
              <w:t>9</w:t>
            </w:r>
            <w:r>
              <w:rPr>
                <w:rFonts w:hint="default" w:ascii="Times New Roman" w:hAnsi="Times New Roman" w:eastAsia="宋体" w:cs="Times New Roman"/>
                <w:b/>
                <w:color w:val="auto"/>
              </w:rPr>
              <w:t xml:space="preserve">  工业企业厂界环境噪声排放标准限值   单位：dB（A）</w:t>
            </w:r>
          </w:p>
          <w:tbl>
            <w:tblPr>
              <w:tblStyle w:val="52"/>
              <w:tblW w:w="8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2"/>
              <w:gridCol w:w="1073"/>
              <w:gridCol w:w="955"/>
            </w:tblGrid>
            <w:tr w14:paraId="7414F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392" w:type="dxa"/>
                  <w:noWrap w:val="0"/>
                  <w:vAlign w:val="center"/>
                </w:tcPr>
                <w:p w14:paraId="21D09D3A">
                  <w:pPr>
                    <w:pStyle w:val="214"/>
                    <w:keepNext w:val="0"/>
                    <w:keepLines w:val="0"/>
                    <w:widowControl/>
                    <w:suppressLineNumbers w:val="0"/>
                    <w:adjustRightInd w:val="0"/>
                    <w:snapToGrid w:val="0"/>
                    <w:spacing w:before="0" w:beforeAutospacing="0" w:after="0" w:afterAutospacing="0" w:line="240" w:lineRule="auto"/>
                    <w:ind w:left="0" w:right="0"/>
                    <w:jc w:val="center"/>
                    <w:textAlignment w:val="center"/>
                    <w:rPr>
                      <w:rFonts w:hint="default" w:ascii="Times New Roman"/>
                      <w:b/>
                      <w:bCs/>
                      <w:color w:val="auto"/>
                      <w:szCs w:val="21"/>
                    </w:rPr>
                  </w:pPr>
                  <w:r>
                    <w:rPr>
                      <w:rFonts w:hint="default" w:ascii="Times New Roman"/>
                      <w:b/>
                      <w:bCs/>
                      <w:color w:val="auto"/>
                      <w:szCs w:val="21"/>
                    </w:rPr>
                    <w:t>标 准 名 称</w:t>
                  </w:r>
                </w:p>
              </w:tc>
              <w:tc>
                <w:tcPr>
                  <w:tcW w:w="1073" w:type="dxa"/>
                  <w:noWrap w:val="0"/>
                  <w:vAlign w:val="center"/>
                </w:tcPr>
                <w:p w14:paraId="51516BAE">
                  <w:pPr>
                    <w:pStyle w:val="214"/>
                    <w:keepNext w:val="0"/>
                    <w:keepLines w:val="0"/>
                    <w:widowControl/>
                    <w:suppressLineNumbers w:val="0"/>
                    <w:adjustRightInd w:val="0"/>
                    <w:snapToGrid w:val="0"/>
                    <w:spacing w:before="0" w:beforeAutospacing="0" w:after="0" w:afterAutospacing="0" w:line="240" w:lineRule="auto"/>
                    <w:ind w:left="0" w:right="0"/>
                    <w:jc w:val="center"/>
                    <w:textAlignment w:val="center"/>
                    <w:rPr>
                      <w:rFonts w:hint="default" w:ascii="Times New Roman"/>
                      <w:b/>
                      <w:bCs/>
                      <w:color w:val="auto"/>
                      <w:szCs w:val="21"/>
                    </w:rPr>
                  </w:pPr>
                  <w:r>
                    <w:rPr>
                      <w:rFonts w:hint="default" w:ascii="Times New Roman"/>
                      <w:b/>
                      <w:bCs/>
                      <w:color w:val="auto"/>
                      <w:szCs w:val="21"/>
                    </w:rPr>
                    <w:t>昼 间</w:t>
                  </w:r>
                </w:p>
              </w:tc>
              <w:tc>
                <w:tcPr>
                  <w:tcW w:w="955" w:type="dxa"/>
                  <w:noWrap w:val="0"/>
                  <w:vAlign w:val="center"/>
                </w:tcPr>
                <w:p w14:paraId="09022906">
                  <w:pPr>
                    <w:pStyle w:val="214"/>
                    <w:keepNext w:val="0"/>
                    <w:keepLines w:val="0"/>
                    <w:widowControl/>
                    <w:suppressLineNumbers w:val="0"/>
                    <w:adjustRightInd w:val="0"/>
                    <w:snapToGrid w:val="0"/>
                    <w:spacing w:before="0" w:beforeAutospacing="0" w:after="0" w:afterAutospacing="0" w:line="240" w:lineRule="auto"/>
                    <w:ind w:left="0" w:right="0"/>
                    <w:jc w:val="center"/>
                    <w:textAlignment w:val="center"/>
                    <w:rPr>
                      <w:rFonts w:hint="default" w:ascii="Times New Roman"/>
                      <w:b/>
                      <w:bCs/>
                      <w:color w:val="auto"/>
                      <w:szCs w:val="21"/>
                    </w:rPr>
                  </w:pPr>
                  <w:r>
                    <w:rPr>
                      <w:rFonts w:hint="default" w:ascii="Times New Roman"/>
                      <w:b/>
                      <w:bCs/>
                      <w:color w:val="auto"/>
                      <w:szCs w:val="21"/>
                    </w:rPr>
                    <w:t>夜 间</w:t>
                  </w:r>
                </w:p>
              </w:tc>
            </w:tr>
            <w:tr w14:paraId="5CF36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392" w:type="dxa"/>
                  <w:noWrap w:val="0"/>
                  <w:vAlign w:val="center"/>
                </w:tcPr>
                <w:p w14:paraId="47B99A5C">
                  <w:pPr>
                    <w:pStyle w:val="214"/>
                    <w:keepNext w:val="0"/>
                    <w:keepLines w:val="0"/>
                    <w:widowControl/>
                    <w:suppressLineNumbers w:val="0"/>
                    <w:adjustRightInd w:val="0"/>
                    <w:snapToGrid w:val="0"/>
                    <w:spacing w:before="0" w:beforeAutospacing="0" w:after="0" w:afterAutospacing="0" w:line="240" w:lineRule="auto"/>
                    <w:ind w:left="0" w:right="0"/>
                    <w:jc w:val="center"/>
                    <w:textAlignment w:val="center"/>
                    <w:rPr>
                      <w:rFonts w:hint="default" w:ascii="Times New Roman"/>
                      <w:color w:val="auto"/>
                      <w:szCs w:val="21"/>
                    </w:rPr>
                  </w:pPr>
                  <w:r>
                    <w:rPr>
                      <w:rFonts w:hint="default" w:ascii="Times New Roman"/>
                      <w:color w:val="auto"/>
                      <w:szCs w:val="21"/>
                    </w:rPr>
                    <w:t>《工业企业厂界环境噪声排放标准》（GB1234-2008）</w:t>
                  </w:r>
                  <w:r>
                    <w:rPr>
                      <w:rFonts w:hint="eastAsia" w:ascii="Times New Roman"/>
                      <w:color w:val="auto"/>
                      <w:szCs w:val="21"/>
                    </w:rPr>
                    <w:t>3</w:t>
                  </w:r>
                  <w:r>
                    <w:rPr>
                      <w:rFonts w:hint="default" w:ascii="Times New Roman"/>
                      <w:color w:val="auto"/>
                      <w:szCs w:val="21"/>
                    </w:rPr>
                    <w:t>类</w:t>
                  </w:r>
                  <w:r>
                    <w:rPr>
                      <w:rFonts w:hint="eastAsia" w:ascii="Times New Roman"/>
                      <w:color w:val="auto"/>
                      <w:szCs w:val="21"/>
                    </w:rPr>
                    <w:t>标准</w:t>
                  </w:r>
                </w:p>
              </w:tc>
              <w:tc>
                <w:tcPr>
                  <w:tcW w:w="1073" w:type="dxa"/>
                  <w:noWrap w:val="0"/>
                  <w:vAlign w:val="center"/>
                </w:tcPr>
                <w:p w14:paraId="47F80106">
                  <w:pPr>
                    <w:pStyle w:val="214"/>
                    <w:keepNext w:val="0"/>
                    <w:keepLines w:val="0"/>
                    <w:widowControl/>
                    <w:suppressLineNumbers w:val="0"/>
                    <w:adjustRightInd w:val="0"/>
                    <w:snapToGrid w:val="0"/>
                    <w:spacing w:before="0" w:beforeAutospacing="0" w:after="0" w:afterAutospacing="0" w:line="240" w:lineRule="auto"/>
                    <w:ind w:left="0" w:right="0"/>
                    <w:jc w:val="center"/>
                    <w:textAlignment w:val="center"/>
                    <w:rPr>
                      <w:rFonts w:hint="default" w:ascii="Times New Roman"/>
                      <w:color w:val="auto"/>
                      <w:szCs w:val="21"/>
                    </w:rPr>
                  </w:pPr>
                  <w:r>
                    <w:rPr>
                      <w:rFonts w:hint="default" w:ascii="Times New Roman"/>
                      <w:color w:val="auto"/>
                      <w:szCs w:val="21"/>
                    </w:rPr>
                    <w:t>6</w:t>
                  </w:r>
                  <w:r>
                    <w:rPr>
                      <w:rFonts w:hint="eastAsia" w:ascii="Times New Roman"/>
                      <w:color w:val="auto"/>
                      <w:szCs w:val="21"/>
                    </w:rPr>
                    <w:t>5</w:t>
                  </w:r>
                </w:p>
              </w:tc>
              <w:tc>
                <w:tcPr>
                  <w:tcW w:w="955" w:type="dxa"/>
                  <w:noWrap w:val="0"/>
                  <w:vAlign w:val="center"/>
                </w:tcPr>
                <w:p w14:paraId="558B68D3">
                  <w:pPr>
                    <w:pStyle w:val="214"/>
                    <w:keepNext w:val="0"/>
                    <w:keepLines w:val="0"/>
                    <w:widowControl/>
                    <w:suppressLineNumbers w:val="0"/>
                    <w:adjustRightInd w:val="0"/>
                    <w:snapToGrid w:val="0"/>
                    <w:spacing w:before="0" w:beforeAutospacing="0" w:after="0" w:afterAutospacing="0" w:line="240" w:lineRule="auto"/>
                    <w:ind w:left="0" w:right="0"/>
                    <w:jc w:val="center"/>
                    <w:textAlignment w:val="center"/>
                    <w:rPr>
                      <w:rFonts w:hint="eastAsia" w:ascii="Times New Roman"/>
                      <w:color w:val="auto"/>
                      <w:szCs w:val="21"/>
                    </w:rPr>
                  </w:pPr>
                  <w:r>
                    <w:rPr>
                      <w:rFonts w:hint="default" w:ascii="Times New Roman"/>
                      <w:color w:val="auto"/>
                      <w:szCs w:val="21"/>
                    </w:rPr>
                    <w:t>5</w:t>
                  </w:r>
                  <w:r>
                    <w:rPr>
                      <w:rFonts w:hint="eastAsia" w:ascii="Times New Roman"/>
                      <w:color w:val="auto"/>
                      <w:szCs w:val="21"/>
                    </w:rPr>
                    <w:t>5</w:t>
                  </w:r>
                </w:p>
              </w:tc>
            </w:tr>
          </w:tbl>
          <w:p w14:paraId="5098EFB0">
            <w:pPr>
              <w:keepNext w:val="0"/>
              <w:keepLines w:val="0"/>
              <w:suppressLineNumbers w:val="0"/>
              <w:spacing w:before="0" w:beforeAutospacing="0" w:after="0" w:afterAutospacing="0" w:line="420" w:lineRule="exact"/>
              <w:ind w:left="0" w:right="0" w:firstLine="482" w:firstLineChars="200"/>
              <w:rPr>
                <w:rFonts w:hint="default" w:ascii="Times New Roman" w:hAnsi="Times New Roman" w:eastAsia="宋体" w:cs="Times New Roman"/>
                <w:b/>
                <w:bCs/>
                <w:snapToGrid w:val="0"/>
                <w:color w:val="auto"/>
                <w:kern w:val="0"/>
                <w:sz w:val="24"/>
              </w:rPr>
            </w:pPr>
            <w:r>
              <w:rPr>
                <w:rFonts w:hint="default" w:ascii="Times New Roman" w:hAnsi="Times New Roman" w:eastAsia="宋体" w:cs="Times New Roman"/>
                <w:b/>
                <w:bCs/>
                <w:snapToGrid w:val="0"/>
                <w:color w:val="auto"/>
                <w:kern w:val="0"/>
                <w:sz w:val="24"/>
              </w:rPr>
              <w:t>4、固体废物</w:t>
            </w:r>
          </w:p>
          <w:p w14:paraId="2DF5D026">
            <w:pPr>
              <w:keepNext w:val="0"/>
              <w:keepLines w:val="0"/>
              <w:suppressLineNumbers w:val="0"/>
              <w:adjustRightInd w:val="0"/>
              <w:spacing w:before="0" w:beforeAutospacing="0" w:after="0" w:afterAutospacing="0" w:line="420" w:lineRule="exact"/>
              <w:ind w:left="0" w:right="0" w:firstLine="480" w:firstLineChars="200"/>
              <w:rPr>
                <w:rFonts w:hint="default" w:ascii="Times New Roman" w:hAnsi="Times New Roman" w:eastAsia="宋体" w:cs="Times New Roman"/>
                <w:color w:val="0000FF"/>
                <w:kern w:val="0"/>
                <w:sz w:val="24"/>
                <w:lang w:eastAsia="zh-CN"/>
              </w:rPr>
            </w:pPr>
            <w:r>
              <w:rPr>
                <w:rFonts w:hint="default" w:ascii="Times New Roman" w:hAnsi="Times New Roman" w:eastAsia="宋体" w:cs="Times New Roman"/>
                <w:color w:val="auto"/>
                <w:sz w:val="24"/>
              </w:rPr>
              <w:t>一般工业固体废物暂存及污染控制参照按《一般工业固体废物贮存和填埋污染控制标准》（GB18599-2020）进行暂存、控制</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危险废物贮存执行《危险废物贮存污染控制标准》（GB18597-2023）中相关要求</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szCs w:val="24"/>
                <w:lang w:val="en-US" w:eastAsia="zh-CN"/>
              </w:rPr>
              <w:t>生活垃圾管理执行中华人民共和国建设部令第157号《城市生活垃圾管理办法》（2015年修正）。</w:t>
            </w:r>
          </w:p>
        </w:tc>
      </w:tr>
      <w:tr w14:paraId="4154D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8" w:hRule="atLeast"/>
          <w:jc w:val="center"/>
        </w:trPr>
        <w:tc>
          <w:tcPr>
            <w:tcW w:w="744" w:type="dxa"/>
            <w:noWrap w:val="0"/>
            <w:vAlign w:val="center"/>
          </w:tcPr>
          <w:p w14:paraId="15B0372B">
            <w:pPr>
              <w:keepNext w:val="0"/>
              <w:keepLines w:val="0"/>
              <w:suppressLineNumbers w:val="0"/>
              <w:adjustRightInd w:val="0"/>
              <w:spacing w:before="0" w:beforeAutospacing="0" w:after="0" w:afterAutospacing="0" w:line="440" w:lineRule="exact"/>
              <w:ind w:left="0" w:right="0"/>
              <w:rPr>
                <w:rFonts w:hint="default" w:ascii="Times New Roman" w:hAnsi="Times New Roman" w:eastAsia="宋体" w:cs="Times New Roman"/>
                <w:color w:val="auto"/>
                <w:kern w:val="0"/>
                <w:sz w:val="24"/>
              </w:rPr>
            </w:pPr>
          </w:p>
          <w:p w14:paraId="29B928B2">
            <w:pPr>
              <w:keepNext w:val="0"/>
              <w:keepLines w:val="0"/>
              <w:suppressLineNumbers w:val="0"/>
              <w:adjustRightInd w:val="0"/>
              <w:spacing w:before="0" w:beforeAutospacing="0" w:after="0" w:afterAutospacing="0" w:line="440" w:lineRule="exact"/>
              <w:ind w:left="0" w:right="0"/>
              <w:rPr>
                <w:rFonts w:hint="default" w:ascii="Times New Roman" w:hAnsi="Times New Roman" w:eastAsia="宋体" w:cs="Times New Roman"/>
                <w:color w:val="auto"/>
                <w:kern w:val="0"/>
                <w:sz w:val="24"/>
              </w:rPr>
            </w:pPr>
          </w:p>
          <w:p w14:paraId="34FF1C7D">
            <w:pPr>
              <w:keepNext w:val="0"/>
              <w:keepLines w:val="0"/>
              <w:suppressLineNumbers w:val="0"/>
              <w:adjustRightInd w:val="0"/>
              <w:spacing w:before="0" w:beforeAutospacing="0" w:after="0" w:afterAutospacing="0" w:line="440" w:lineRule="exact"/>
              <w:ind w:left="0" w:right="0"/>
              <w:rPr>
                <w:rFonts w:hint="default" w:ascii="Times New Roman" w:hAnsi="Times New Roman" w:eastAsia="宋体" w:cs="Times New Roman"/>
                <w:color w:val="auto"/>
                <w:kern w:val="0"/>
                <w:sz w:val="24"/>
              </w:rPr>
            </w:pPr>
          </w:p>
          <w:p w14:paraId="01F7918A">
            <w:pPr>
              <w:keepNext w:val="0"/>
              <w:keepLines w:val="0"/>
              <w:suppressLineNumbers w:val="0"/>
              <w:adjustRightInd w:val="0"/>
              <w:spacing w:before="0" w:beforeAutospacing="0" w:after="0" w:afterAutospacing="0" w:line="440" w:lineRule="exact"/>
              <w:ind w:left="0" w:right="0"/>
              <w:rPr>
                <w:rFonts w:hint="default" w:ascii="Times New Roman" w:hAnsi="Times New Roman" w:eastAsia="宋体" w:cs="Times New Roman"/>
                <w:color w:val="auto"/>
                <w:kern w:val="0"/>
                <w:sz w:val="24"/>
              </w:rPr>
            </w:pPr>
          </w:p>
          <w:p w14:paraId="30111AFD">
            <w:pPr>
              <w:keepNext w:val="0"/>
              <w:keepLines w:val="0"/>
              <w:suppressLineNumbers w:val="0"/>
              <w:adjustRightInd w:val="0"/>
              <w:spacing w:before="0" w:beforeAutospacing="0" w:after="0" w:afterAutospacing="0" w:line="440" w:lineRule="exact"/>
              <w:ind w:left="0" w:right="0"/>
              <w:rPr>
                <w:rFonts w:hint="default" w:ascii="Times New Roman" w:hAnsi="Times New Roman" w:eastAsia="宋体" w:cs="Times New Roman"/>
                <w:color w:val="auto"/>
                <w:kern w:val="0"/>
                <w:sz w:val="24"/>
              </w:rPr>
            </w:pPr>
          </w:p>
          <w:p w14:paraId="25870481">
            <w:pPr>
              <w:keepNext w:val="0"/>
              <w:keepLines w:val="0"/>
              <w:suppressLineNumbers w:val="0"/>
              <w:adjustRightInd w:val="0"/>
              <w:spacing w:before="0" w:beforeAutospacing="0" w:after="0" w:afterAutospacing="0" w:line="440" w:lineRule="exact"/>
              <w:ind w:left="0" w:right="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总量</w:t>
            </w:r>
          </w:p>
          <w:p w14:paraId="327877DD">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控制</w:t>
            </w:r>
          </w:p>
          <w:p w14:paraId="66E5AC75">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指标</w:t>
            </w:r>
          </w:p>
          <w:p w14:paraId="73F6E648">
            <w:pPr>
              <w:pStyle w:val="2"/>
              <w:keepNext w:val="0"/>
              <w:keepLines w:val="0"/>
              <w:suppressLineNumbers w:val="0"/>
              <w:spacing w:beforeAutospacing="0" w:afterAutospacing="0"/>
              <w:ind w:left="0"/>
              <w:rPr>
                <w:rFonts w:hint="default" w:ascii="Times New Roman" w:hAnsi="Times New Roman" w:eastAsia="宋体" w:cs="Times New Roman"/>
                <w:color w:val="auto"/>
                <w:sz w:val="24"/>
              </w:rPr>
            </w:pPr>
          </w:p>
          <w:p w14:paraId="0F90ECCF">
            <w:pPr>
              <w:pStyle w:val="2"/>
              <w:keepNext w:val="0"/>
              <w:keepLines w:val="0"/>
              <w:suppressLineNumbers w:val="0"/>
              <w:spacing w:beforeAutospacing="0" w:afterAutospacing="0"/>
              <w:ind w:left="0"/>
              <w:rPr>
                <w:rFonts w:hint="eastAsia" w:ascii="Times New Roman" w:hAnsi="Times New Roman" w:eastAsia="宋体" w:cs="Times New Roman"/>
                <w:color w:val="auto"/>
                <w:sz w:val="24"/>
                <w:lang w:eastAsia="zh-CN"/>
              </w:rPr>
            </w:pPr>
          </w:p>
          <w:p w14:paraId="2A756C91">
            <w:pPr>
              <w:pStyle w:val="2"/>
              <w:keepNext w:val="0"/>
              <w:keepLines w:val="0"/>
              <w:suppressLineNumbers w:val="0"/>
              <w:spacing w:beforeAutospacing="0" w:afterAutospacing="0"/>
              <w:ind w:left="0"/>
              <w:rPr>
                <w:rFonts w:hint="eastAsia" w:ascii="Times New Roman" w:hAnsi="Times New Roman" w:eastAsia="宋体" w:cs="Times New Roman"/>
                <w:color w:val="auto"/>
                <w:sz w:val="24"/>
                <w:lang w:eastAsia="zh-CN"/>
              </w:rPr>
            </w:pPr>
          </w:p>
          <w:p w14:paraId="3D0FDD48">
            <w:pPr>
              <w:pStyle w:val="2"/>
              <w:keepNext w:val="0"/>
              <w:keepLines w:val="0"/>
              <w:suppressLineNumbers w:val="0"/>
              <w:spacing w:beforeAutospacing="0" w:afterAutospacing="0"/>
              <w:ind w:left="0"/>
              <w:rPr>
                <w:rFonts w:hint="eastAsia" w:ascii="Times New Roman" w:hAnsi="Times New Roman" w:eastAsia="宋体" w:cs="Times New Roman"/>
                <w:color w:val="auto"/>
                <w:sz w:val="24"/>
                <w:lang w:eastAsia="zh-CN"/>
              </w:rPr>
            </w:pPr>
          </w:p>
          <w:p w14:paraId="385C8482">
            <w:pPr>
              <w:pStyle w:val="2"/>
              <w:keepNext w:val="0"/>
              <w:keepLines w:val="0"/>
              <w:suppressLineNumbers w:val="0"/>
              <w:spacing w:beforeAutospacing="0" w:afterAutospacing="0"/>
              <w:ind w:left="0"/>
              <w:rPr>
                <w:rFonts w:hint="eastAsia" w:ascii="Times New Roman" w:hAnsi="Times New Roman" w:eastAsia="宋体" w:cs="Times New Roman"/>
                <w:color w:val="auto"/>
                <w:sz w:val="24"/>
                <w:lang w:eastAsia="zh-CN"/>
              </w:rPr>
            </w:pPr>
          </w:p>
          <w:p w14:paraId="6C02F548">
            <w:pPr>
              <w:pStyle w:val="2"/>
              <w:keepNext w:val="0"/>
              <w:keepLines w:val="0"/>
              <w:suppressLineNumbers w:val="0"/>
              <w:spacing w:beforeAutospacing="0" w:afterAutospacing="0"/>
              <w:ind w:left="0"/>
              <w:rPr>
                <w:rFonts w:hint="eastAsia" w:ascii="Times New Roman" w:hAnsi="Times New Roman" w:eastAsia="宋体" w:cs="Times New Roman"/>
                <w:color w:val="auto"/>
                <w:sz w:val="24"/>
                <w:lang w:val="en-US" w:eastAsia="zh-CN"/>
              </w:rPr>
            </w:pPr>
          </w:p>
          <w:p w14:paraId="47D8D20A">
            <w:pPr>
              <w:pStyle w:val="2"/>
              <w:keepNext w:val="0"/>
              <w:keepLines w:val="0"/>
              <w:suppressLineNumbers w:val="0"/>
              <w:spacing w:beforeAutospacing="0" w:afterAutospacing="0"/>
              <w:ind w:left="0"/>
              <w:rPr>
                <w:rFonts w:hint="eastAsia" w:ascii="Times New Roman" w:hAnsi="Times New Roman" w:eastAsia="宋体" w:cs="Times New Roman"/>
                <w:color w:val="auto"/>
                <w:sz w:val="24"/>
                <w:lang w:val="en-US" w:eastAsia="zh-CN"/>
              </w:rPr>
            </w:pPr>
          </w:p>
          <w:p w14:paraId="321B9BE4">
            <w:pPr>
              <w:keepNext w:val="0"/>
              <w:keepLines w:val="0"/>
              <w:suppressLineNumbers w:val="0"/>
              <w:adjustRightInd w:val="0"/>
              <w:spacing w:before="0" w:beforeAutospacing="0" w:after="0" w:afterAutospacing="0" w:line="440" w:lineRule="exact"/>
              <w:ind w:left="0" w:right="0"/>
              <w:rPr>
                <w:rFonts w:hint="default" w:ascii="Times New Roman" w:hAnsi="Times New Roman" w:eastAsia="宋体" w:cs="Times New Roman"/>
                <w:color w:val="auto"/>
                <w:kern w:val="0"/>
                <w:sz w:val="24"/>
              </w:rPr>
            </w:pPr>
          </w:p>
          <w:p w14:paraId="3752D3CA">
            <w:pPr>
              <w:keepNext w:val="0"/>
              <w:keepLines w:val="0"/>
              <w:suppressLineNumbers w:val="0"/>
              <w:adjustRightInd w:val="0"/>
              <w:spacing w:before="0" w:beforeAutospacing="0" w:after="0" w:afterAutospacing="0" w:line="440" w:lineRule="exact"/>
              <w:ind w:left="0" w:right="0"/>
              <w:rPr>
                <w:rFonts w:hint="default" w:ascii="Times New Roman" w:hAnsi="Times New Roman" w:eastAsia="宋体" w:cs="Times New Roman"/>
                <w:color w:val="auto"/>
                <w:kern w:val="0"/>
                <w:sz w:val="24"/>
              </w:rPr>
            </w:pPr>
          </w:p>
          <w:p w14:paraId="5A95FD71">
            <w:pPr>
              <w:keepNext w:val="0"/>
              <w:keepLines w:val="0"/>
              <w:suppressLineNumbers w:val="0"/>
              <w:adjustRightInd w:val="0"/>
              <w:spacing w:before="0" w:beforeAutospacing="0" w:after="0" w:afterAutospacing="0" w:line="440" w:lineRule="exact"/>
              <w:ind w:left="0" w:right="0"/>
              <w:rPr>
                <w:rFonts w:hint="default" w:ascii="Times New Roman" w:hAnsi="Times New Roman" w:eastAsia="宋体" w:cs="Times New Roman"/>
                <w:color w:val="auto"/>
                <w:kern w:val="0"/>
                <w:sz w:val="24"/>
              </w:rPr>
            </w:pPr>
          </w:p>
          <w:p w14:paraId="09A97C09">
            <w:pPr>
              <w:keepNext w:val="0"/>
              <w:keepLines w:val="0"/>
              <w:suppressLineNumbers w:val="0"/>
              <w:adjustRightInd w:val="0"/>
              <w:spacing w:before="0" w:beforeAutospacing="0" w:after="0" w:afterAutospacing="0" w:line="440" w:lineRule="exact"/>
              <w:ind w:left="0" w:right="0"/>
              <w:rPr>
                <w:rFonts w:hint="default" w:ascii="Times New Roman" w:hAnsi="Times New Roman" w:eastAsia="宋体" w:cs="Times New Roman"/>
                <w:color w:val="auto"/>
                <w:kern w:val="0"/>
                <w:sz w:val="24"/>
              </w:rPr>
            </w:pPr>
          </w:p>
          <w:p w14:paraId="6C225380">
            <w:pPr>
              <w:keepNext w:val="0"/>
              <w:keepLines w:val="0"/>
              <w:suppressLineNumbers w:val="0"/>
              <w:adjustRightInd w:val="0"/>
              <w:spacing w:before="0" w:beforeAutospacing="0" w:after="0" w:afterAutospacing="0" w:line="440" w:lineRule="exact"/>
              <w:ind w:left="0" w:right="0"/>
              <w:rPr>
                <w:rFonts w:hint="default" w:ascii="Times New Roman" w:hAnsi="Times New Roman" w:eastAsia="宋体" w:cs="Times New Roman"/>
                <w:color w:val="auto"/>
                <w:kern w:val="0"/>
                <w:sz w:val="24"/>
              </w:rPr>
            </w:pPr>
          </w:p>
          <w:p w14:paraId="584503FD">
            <w:pPr>
              <w:keepNext w:val="0"/>
              <w:keepLines w:val="0"/>
              <w:suppressLineNumbers w:val="0"/>
              <w:adjustRightInd w:val="0"/>
              <w:spacing w:before="0" w:beforeAutospacing="0" w:after="0" w:afterAutospacing="0" w:line="440" w:lineRule="exact"/>
              <w:ind w:left="0" w:right="0"/>
              <w:rPr>
                <w:rFonts w:hint="default" w:ascii="Times New Roman" w:hAnsi="Times New Roman" w:eastAsia="宋体" w:cs="Times New Roman"/>
                <w:color w:val="auto"/>
                <w:kern w:val="0"/>
                <w:sz w:val="24"/>
              </w:rPr>
            </w:pPr>
          </w:p>
          <w:p w14:paraId="0A07F0BD">
            <w:pPr>
              <w:keepNext w:val="0"/>
              <w:keepLines w:val="0"/>
              <w:suppressLineNumbers w:val="0"/>
              <w:adjustRightInd w:val="0"/>
              <w:spacing w:before="0" w:beforeAutospacing="0" w:after="0" w:afterAutospacing="0" w:line="440" w:lineRule="exact"/>
              <w:ind w:left="0" w:right="0"/>
              <w:rPr>
                <w:rFonts w:hint="default" w:ascii="Times New Roman" w:hAnsi="Times New Roman" w:eastAsia="宋体" w:cs="Times New Roman"/>
                <w:color w:val="auto"/>
                <w:kern w:val="0"/>
                <w:sz w:val="24"/>
              </w:rPr>
            </w:pPr>
          </w:p>
          <w:p w14:paraId="3E6E30D9">
            <w:pPr>
              <w:keepNext w:val="0"/>
              <w:keepLines w:val="0"/>
              <w:suppressLineNumbers w:val="0"/>
              <w:adjustRightInd w:val="0"/>
              <w:spacing w:before="0" w:beforeAutospacing="0" w:after="0" w:afterAutospacing="0" w:line="440" w:lineRule="exact"/>
              <w:ind w:left="0" w:right="0"/>
              <w:rPr>
                <w:rFonts w:hint="default" w:ascii="Times New Roman" w:hAnsi="Times New Roman" w:eastAsia="宋体" w:cs="Times New Roman"/>
                <w:color w:val="auto"/>
                <w:kern w:val="0"/>
                <w:sz w:val="24"/>
              </w:rPr>
            </w:pPr>
          </w:p>
          <w:p w14:paraId="769941C8">
            <w:pPr>
              <w:keepNext w:val="0"/>
              <w:keepLines w:val="0"/>
              <w:suppressLineNumbers w:val="0"/>
              <w:adjustRightInd w:val="0"/>
              <w:spacing w:before="0" w:beforeAutospacing="0" w:after="0" w:afterAutospacing="0" w:line="440" w:lineRule="exact"/>
              <w:ind w:left="0" w:right="0"/>
              <w:rPr>
                <w:rFonts w:hint="default" w:ascii="Times New Roman" w:hAnsi="Times New Roman" w:eastAsia="宋体" w:cs="Times New Roman"/>
                <w:color w:val="auto"/>
                <w:kern w:val="0"/>
                <w:sz w:val="24"/>
              </w:rPr>
            </w:pPr>
          </w:p>
          <w:p w14:paraId="6FDB8FC8">
            <w:pPr>
              <w:keepNext w:val="0"/>
              <w:keepLines w:val="0"/>
              <w:suppressLineNumbers w:val="0"/>
              <w:adjustRightInd w:val="0"/>
              <w:spacing w:before="0" w:beforeAutospacing="0" w:after="0" w:afterAutospacing="0" w:line="440" w:lineRule="exact"/>
              <w:ind w:left="0" w:right="0"/>
              <w:rPr>
                <w:rFonts w:hint="default" w:ascii="Times New Roman" w:hAnsi="Times New Roman" w:eastAsia="宋体" w:cs="Times New Roman"/>
                <w:color w:val="auto"/>
                <w:kern w:val="0"/>
                <w:sz w:val="24"/>
              </w:rPr>
            </w:pPr>
          </w:p>
          <w:p w14:paraId="2B9D5C06">
            <w:pPr>
              <w:keepNext w:val="0"/>
              <w:keepLines w:val="0"/>
              <w:suppressLineNumbers w:val="0"/>
              <w:adjustRightInd w:val="0"/>
              <w:spacing w:before="0" w:beforeAutospacing="0" w:after="0" w:afterAutospacing="0" w:line="440" w:lineRule="exact"/>
              <w:ind w:left="0" w:right="0"/>
              <w:rPr>
                <w:rFonts w:hint="default" w:ascii="Times New Roman" w:hAnsi="Times New Roman" w:eastAsia="宋体" w:cs="Times New Roman"/>
                <w:color w:val="auto"/>
                <w:kern w:val="0"/>
                <w:sz w:val="24"/>
              </w:rPr>
            </w:pPr>
          </w:p>
          <w:p w14:paraId="5E8C4E08">
            <w:pPr>
              <w:keepNext w:val="0"/>
              <w:keepLines w:val="0"/>
              <w:suppressLineNumbers w:val="0"/>
              <w:adjustRightInd w:val="0"/>
              <w:spacing w:before="0" w:beforeAutospacing="0" w:after="0" w:afterAutospacing="0" w:line="440" w:lineRule="exact"/>
              <w:ind w:left="0" w:right="0"/>
              <w:rPr>
                <w:rFonts w:hint="default" w:ascii="Times New Roman" w:hAnsi="Times New Roman" w:eastAsia="宋体" w:cs="Times New Roman"/>
                <w:color w:val="auto"/>
                <w:kern w:val="0"/>
                <w:sz w:val="24"/>
              </w:rPr>
            </w:pPr>
          </w:p>
          <w:p w14:paraId="423C56A7">
            <w:pPr>
              <w:keepNext w:val="0"/>
              <w:keepLines w:val="0"/>
              <w:suppressLineNumbers w:val="0"/>
              <w:adjustRightInd w:val="0"/>
              <w:spacing w:before="0" w:beforeAutospacing="0" w:after="0" w:afterAutospacing="0" w:line="440" w:lineRule="exact"/>
              <w:ind w:left="0" w:right="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总量</w:t>
            </w:r>
          </w:p>
          <w:p w14:paraId="0A517BB7">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控制</w:t>
            </w:r>
          </w:p>
          <w:p w14:paraId="78D72FD9">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指标</w:t>
            </w:r>
          </w:p>
          <w:p w14:paraId="058E95C4">
            <w:pPr>
              <w:pStyle w:val="2"/>
              <w:keepNext w:val="0"/>
              <w:keepLines w:val="0"/>
              <w:suppressLineNumbers w:val="0"/>
              <w:spacing w:beforeAutospacing="0" w:afterAutospacing="0"/>
              <w:ind w:left="0"/>
              <w:rPr>
                <w:rFonts w:hint="default" w:ascii="Times New Roman" w:hAnsi="Times New Roman" w:eastAsia="宋体" w:cs="Times New Roman"/>
                <w:color w:val="auto"/>
                <w:sz w:val="24"/>
              </w:rPr>
            </w:pPr>
          </w:p>
          <w:p w14:paraId="2BD1175A">
            <w:pPr>
              <w:pStyle w:val="2"/>
              <w:keepNext w:val="0"/>
              <w:keepLines w:val="0"/>
              <w:suppressLineNumbers w:val="0"/>
              <w:spacing w:beforeAutospacing="0" w:afterAutospacing="0"/>
              <w:ind w:left="0"/>
              <w:rPr>
                <w:rFonts w:hint="eastAsia" w:ascii="Times New Roman" w:hAnsi="Times New Roman" w:eastAsia="宋体" w:cs="Times New Roman"/>
                <w:color w:val="auto"/>
                <w:sz w:val="24"/>
                <w:lang w:eastAsia="zh-CN"/>
              </w:rPr>
            </w:pPr>
          </w:p>
          <w:p w14:paraId="5276CFC7">
            <w:pPr>
              <w:pStyle w:val="2"/>
              <w:keepNext w:val="0"/>
              <w:keepLines w:val="0"/>
              <w:suppressLineNumbers w:val="0"/>
              <w:spacing w:beforeAutospacing="0" w:afterAutospacing="0"/>
              <w:ind w:left="0"/>
              <w:rPr>
                <w:rFonts w:hint="eastAsia" w:ascii="Times New Roman" w:hAnsi="Times New Roman" w:eastAsia="宋体" w:cs="Times New Roman"/>
                <w:color w:val="auto"/>
                <w:sz w:val="24"/>
                <w:lang w:eastAsia="zh-CN"/>
              </w:rPr>
            </w:pPr>
          </w:p>
          <w:p w14:paraId="26F6858E">
            <w:pPr>
              <w:pStyle w:val="2"/>
              <w:keepNext w:val="0"/>
              <w:keepLines w:val="0"/>
              <w:suppressLineNumbers w:val="0"/>
              <w:spacing w:beforeAutospacing="0" w:afterAutospacing="0"/>
              <w:ind w:left="0"/>
              <w:rPr>
                <w:rFonts w:hint="eastAsia" w:ascii="Times New Roman" w:hAnsi="Times New Roman" w:eastAsia="宋体" w:cs="Times New Roman"/>
                <w:color w:val="auto"/>
                <w:sz w:val="24"/>
                <w:lang w:eastAsia="zh-CN"/>
              </w:rPr>
            </w:pPr>
          </w:p>
          <w:p w14:paraId="502A60FE">
            <w:pPr>
              <w:pStyle w:val="2"/>
              <w:keepNext w:val="0"/>
              <w:keepLines w:val="0"/>
              <w:suppressLineNumbers w:val="0"/>
              <w:spacing w:beforeAutospacing="0" w:afterAutospacing="0"/>
              <w:ind w:left="0"/>
              <w:rPr>
                <w:rFonts w:hint="eastAsia" w:ascii="Times New Roman" w:hAnsi="Times New Roman" w:eastAsia="宋体" w:cs="Times New Roman"/>
                <w:color w:val="auto"/>
                <w:sz w:val="24"/>
                <w:lang w:eastAsia="zh-CN"/>
              </w:rPr>
            </w:pPr>
          </w:p>
          <w:p w14:paraId="656B3BCE">
            <w:pPr>
              <w:pStyle w:val="2"/>
              <w:keepNext w:val="0"/>
              <w:keepLines w:val="0"/>
              <w:suppressLineNumbers w:val="0"/>
              <w:spacing w:beforeAutospacing="0" w:afterAutospacing="0"/>
              <w:ind w:left="0"/>
              <w:rPr>
                <w:rFonts w:hint="eastAsia" w:ascii="Times New Roman" w:hAnsi="Times New Roman" w:eastAsia="宋体" w:cs="Times New Roman"/>
                <w:color w:val="auto"/>
                <w:sz w:val="24"/>
                <w:lang w:val="en-US" w:eastAsia="zh-CN"/>
              </w:rPr>
            </w:pPr>
          </w:p>
          <w:p w14:paraId="2F197FDB">
            <w:pPr>
              <w:pStyle w:val="2"/>
              <w:keepNext w:val="0"/>
              <w:keepLines w:val="0"/>
              <w:suppressLineNumbers w:val="0"/>
              <w:spacing w:beforeAutospacing="0" w:afterAutospacing="0"/>
              <w:ind w:left="0"/>
              <w:rPr>
                <w:rFonts w:hint="eastAsia" w:ascii="Times New Roman" w:hAnsi="Times New Roman" w:eastAsia="宋体" w:cs="Times New Roman"/>
                <w:color w:val="auto"/>
                <w:sz w:val="24"/>
                <w:lang w:val="en-US" w:eastAsia="zh-CN"/>
              </w:rPr>
            </w:pPr>
          </w:p>
          <w:p w14:paraId="15B07D78">
            <w:pPr>
              <w:pStyle w:val="2"/>
              <w:keepNext w:val="0"/>
              <w:keepLines w:val="0"/>
              <w:suppressLineNumbers w:val="0"/>
              <w:spacing w:beforeAutospacing="0" w:afterAutospacing="0"/>
              <w:ind w:left="0"/>
              <w:rPr>
                <w:rFonts w:hint="eastAsia" w:ascii="Times New Roman" w:hAnsi="Times New Roman" w:eastAsia="宋体" w:cs="Times New Roman"/>
                <w:color w:val="auto"/>
                <w:sz w:val="24"/>
                <w:lang w:val="en-US" w:eastAsia="zh-CN"/>
              </w:rPr>
            </w:pPr>
          </w:p>
          <w:p w14:paraId="6136E546">
            <w:pPr>
              <w:pStyle w:val="2"/>
              <w:keepNext w:val="0"/>
              <w:keepLines w:val="0"/>
              <w:suppressLineNumbers w:val="0"/>
              <w:spacing w:beforeAutospacing="0" w:afterAutospacing="0"/>
              <w:ind w:left="0"/>
              <w:rPr>
                <w:rFonts w:hint="eastAsia" w:ascii="Times New Roman" w:hAnsi="Times New Roman" w:eastAsia="宋体" w:cs="Times New Roman"/>
                <w:color w:val="auto"/>
                <w:sz w:val="24"/>
                <w:lang w:val="en-US" w:eastAsia="zh-CN"/>
              </w:rPr>
            </w:pPr>
          </w:p>
          <w:p w14:paraId="0C1F75F6">
            <w:pPr>
              <w:pStyle w:val="2"/>
              <w:keepNext w:val="0"/>
              <w:keepLines w:val="0"/>
              <w:suppressLineNumbers w:val="0"/>
              <w:spacing w:beforeAutospacing="0" w:afterAutospacing="0"/>
              <w:ind w:left="0"/>
              <w:rPr>
                <w:rFonts w:hint="eastAsia" w:ascii="Times New Roman" w:hAnsi="Times New Roman" w:eastAsia="宋体" w:cs="Times New Roman"/>
                <w:color w:val="auto"/>
                <w:sz w:val="24"/>
                <w:lang w:val="en-US" w:eastAsia="zh-CN"/>
              </w:rPr>
            </w:pPr>
          </w:p>
          <w:p w14:paraId="29C2487E">
            <w:pPr>
              <w:pStyle w:val="2"/>
              <w:keepNext w:val="0"/>
              <w:keepLines w:val="0"/>
              <w:suppressLineNumbers w:val="0"/>
              <w:spacing w:beforeAutospacing="0" w:afterAutospacing="0"/>
              <w:ind w:left="0"/>
              <w:rPr>
                <w:rFonts w:hint="eastAsia" w:ascii="Times New Roman" w:hAnsi="Times New Roman" w:eastAsia="宋体" w:cs="Times New Roman"/>
                <w:color w:val="auto"/>
                <w:sz w:val="24"/>
                <w:lang w:val="en-US" w:eastAsia="zh-CN"/>
              </w:rPr>
            </w:pPr>
          </w:p>
          <w:p w14:paraId="6114BD99">
            <w:pPr>
              <w:pStyle w:val="2"/>
              <w:keepNext w:val="0"/>
              <w:keepLines w:val="0"/>
              <w:suppressLineNumbers w:val="0"/>
              <w:spacing w:beforeAutospacing="0" w:afterAutospacing="0"/>
              <w:ind w:left="0"/>
              <w:rPr>
                <w:rFonts w:hint="default" w:ascii="Times New Roman" w:hAnsi="Times New Roman" w:eastAsia="宋体" w:cs="Times New Roman"/>
                <w:color w:val="auto"/>
                <w:sz w:val="24"/>
                <w:lang w:val="en-US" w:eastAsia="zh-CN"/>
              </w:rPr>
            </w:pPr>
          </w:p>
          <w:p w14:paraId="29A25482">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4"/>
                <w:lang w:val="en-US" w:eastAsia="zh-CN"/>
              </w:rPr>
            </w:pPr>
          </w:p>
          <w:p w14:paraId="2A4648FB">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4"/>
                <w:lang w:val="en-US" w:eastAsia="zh-CN"/>
              </w:rPr>
            </w:pPr>
          </w:p>
          <w:p w14:paraId="6FF710EC">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4"/>
                <w:lang w:val="en-US" w:eastAsia="zh-CN"/>
              </w:rPr>
            </w:pPr>
          </w:p>
          <w:p w14:paraId="0621C51E">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4"/>
                <w:lang w:val="en-US" w:eastAsia="zh-CN"/>
              </w:rPr>
            </w:pPr>
          </w:p>
        </w:tc>
        <w:tc>
          <w:tcPr>
            <w:tcW w:w="8496" w:type="dxa"/>
            <w:noWrap w:val="0"/>
            <w:vAlign w:val="top"/>
          </w:tcPr>
          <w:p w14:paraId="36FBC7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80" w:firstLineChars="200"/>
              <w:jc w:val="both"/>
              <w:textAlignment w:val="auto"/>
              <w:rPr>
                <w:rFonts w:hint="eastAsia" w:ascii="Times New Roman" w:hAnsi="Times New Roman" w:eastAsia="宋体" w:cs="Times New Roman"/>
                <w:b/>
                <w:color w:val="auto"/>
                <w:sz w:val="24"/>
                <w:szCs w:val="24"/>
                <w:lang w:eastAsia="zh-CN"/>
              </w:rPr>
            </w:pPr>
            <w:r>
              <w:rPr>
                <w:rFonts w:hint="default" w:ascii="Times New Roman" w:hAnsi="Times New Roman" w:eastAsia="Times New Roman" w:cs="Times New Roman"/>
                <w:b/>
                <w:color w:val="auto"/>
                <w:sz w:val="24"/>
                <w:szCs w:val="24"/>
              </w:rPr>
              <w:t>1</w:t>
            </w:r>
            <w:r>
              <w:rPr>
                <w:rFonts w:hint="eastAsia" w:ascii="Times New Roman" w:hAnsi="Times New Roman" w:eastAsia="Times New Roman" w:cs="Times New Roman"/>
                <w:b/>
                <w:color w:val="auto"/>
                <w:sz w:val="24"/>
                <w:szCs w:val="24"/>
                <w:lang w:eastAsia="zh-CN"/>
              </w:rPr>
              <w:t>、</w:t>
            </w:r>
            <w:r>
              <w:rPr>
                <w:rFonts w:hint="default" w:ascii="Times New Roman" w:hAnsi="Times New Roman" w:eastAsia="Times New Roman" w:cs="Times New Roman"/>
                <w:b/>
                <w:color w:val="auto"/>
                <w:sz w:val="24"/>
                <w:szCs w:val="24"/>
              </w:rPr>
              <w:t>总量控制</w:t>
            </w:r>
            <w:r>
              <w:rPr>
                <w:rFonts w:hint="eastAsia" w:ascii="Times New Roman" w:hAnsi="Times New Roman" w:eastAsia="Times New Roman" w:cs="Times New Roman"/>
                <w:b/>
                <w:color w:val="auto"/>
                <w:sz w:val="24"/>
                <w:szCs w:val="24"/>
                <w:lang w:val="en-US" w:eastAsia="zh-CN"/>
              </w:rPr>
              <w:t>因子</w:t>
            </w:r>
          </w:p>
          <w:p w14:paraId="6A213453">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440" w:lineRule="exact"/>
              <w:ind w:left="0" w:right="0" w:firstLine="480"/>
              <w:textAlignment w:val="auto"/>
              <w:rPr>
                <w:rFonts w:hint="default" w:ascii="Times New Roman" w:hAnsi="Times New Roman" w:eastAsia="Times New Roman" w:cs="Times New Roman"/>
                <w:color w:val="auto"/>
                <w:kern w:val="0"/>
                <w:sz w:val="24"/>
                <w:szCs w:val="24"/>
                <w:highlight w:val="none"/>
              </w:rPr>
            </w:pPr>
            <w:r>
              <w:rPr>
                <w:rFonts w:hint="default" w:ascii="Times New Roman" w:hAnsi="Times New Roman" w:eastAsia="Times New Roman" w:cs="Times New Roman"/>
                <w:color w:val="auto"/>
                <w:kern w:val="0"/>
                <w:sz w:val="24"/>
                <w:szCs w:val="24"/>
                <w:highlight w:val="none"/>
              </w:rPr>
              <w:t>根据《安徽省环保厅关于进一步加强建设项目新增大气主要污染物总量指标管理工作的通知》（皖环发〔2017〕19号）</w:t>
            </w:r>
            <w:r>
              <w:rPr>
                <w:rFonts w:hint="default" w:ascii="Times New Roman" w:hAnsi="Times New Roman" w:eastAsia="宋体" w:cs="Times New Roman"/>
                <w:color w:val="auto"/>
                <w:kern w:val="0"/>
                <w:sz w:val="24"/>
                <w:szCs w:val="24"/>
                <w:highlight w:val="none"/>
                <w:lang w:val="en-US" w:eastAsia="zh-CN"/>
              </w:rPr>
              <w:t>要求</w:t>
            </w:r>
            <w:r>
              <w:rPr>
                <w:rFonts w:hint="default" w:ascii="Times New Roman" w:hAnsi="Times New Roman" w:cs="Times New Roman"/>
                <w:color w:val="auto"/>
                <w:sz w:val="24"/>
              </w:rPr>
              <w:t>：大气主要污染物总量控制因子为SO</w:t>
            </w:r>
            <w:r>
              <w:rPr>
                <w:rFonts w:hint="default" w:ascii="Times New Roman" w:hAnsi="Times New Roman" w:cs="Times New Roman"/>
                <w:color w:val="auto"/>
                <w:sz w:val="24"/>
                <w:vertAlign w:val="subscript"/>
              </w:rPr>
              <w:t>2</w:t>
            </w:r>
            <w:r>
              <w:rPr>
                <w:rFonts w:hint="default" w:ascii="Times New Roman" w:hAnsi="Times New Roman" w:cs="Times New Roman"/>
                <w:color w:val="auto"/>
                <w:sz w:val="24"/>
              </w:rPr>
              <w:t>、NOx、烟（粉）尘和挥发性有机物（VOCs）</w:t>
            </w:r>
            <w:r>
              <w:rPr>
                <w:rFonts w:hint="default" w:ascii="Times New Roman" w:hAnsi="Times New Roman" w:eastAsia="Times New Roman" w:cs="Times New Roman"/>
                <w:color w:val="auto"/>
                <w:kern w:val="0"/>
                <w:sz w:val="24"/>
                <w:szCs w:val="24"/>
                <w:highlight w:val="none"/>
              </w:rPr>
              <w:t>。</w:t>
            </w:r>
          </w:p>
          <w:p w14:paraId="5DFF9225">
            <w:pPr>
              <w:keepNext w:val="0"/>
              <w:keepLines w:val="0"/>
              <w:pageBreakBefore w:val="0"/>
              <w:suppressLineNumbers w:val="0"/>
              <w:kinsoku/>
              <w:wordWrap/>
              <w:overflowPunct/>
              <w:topLinePunct w:val="0"/>
              <w:bidi w:val="0"/>
              <w:spacing w:before="0" w:beforeAutospacing="0" w:after="0" w:afterAutospacing="0" w:line="440" w:lineRule="exact"/>
              <w:ind w:left="0" w:right="0" w:firstLine="480" w:firstLineChars="200"/>
              <w:textAlignment w:val="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highlight w:val="none"/>
              </w:rPr>
              <w:t>结合上述总量控制要求及本项目工程分析可知，本项目</w:t>
            </w:r>
            <w:r>
              <w:rPr>
                <w:rFonts w:hint="default" w:ascii="Times New Roman" w:hAnsi="Times New Roman" w:eastAsia="宋体" w:cs="Times New Roman"/>
                <w:color w:val="auto"/>
                <w:sz w:val="24"/>
                <w:szCs w:val="24"/>
                <w:highlight w:val="none"/>
                <w:lang w:val="en-US" w:eastAsia="zh-CN"/>
              </w:rPr>
              <w:t>大气</w:t>
            </w:r>
            <w:r>
              <w:rPr>
                <w:rFonts w:hint="default" w:ascii="Times New Roman" w:hAnsi="Times New Roman" w:eastAsia="Times New Roman" w:cs="Times New Roman"/>
                <w:color w:val="auto"/>
                <w:sz w:val="24"/>
                <w:szCs w:val="24"/>
                <w:highlight w:val="none"/>
              </w:rPr>
              <w:t>排放的污染因子中纳入总量控制的指标为废气中</w:t>
            </w:r>
            <w:r>
              <w:rPr>
                <w:rFonts w:hint="default" w:ascii="Times New Roman" w:hAnsi="Times New Roman" w:eastAsia="Times New Roman" w:cs="Times New Roman"/>
                <w:color w:val="auto"/>
                <w:kern w:val="0"/>
                <w:sz w:val="24"/>
                <w:szCs w:val="24"/>
                <w:highlight w:val="none"/>
              </w:rPr>
              <w:t>颗粒物、</w:t>
            </w:r>
            <w:r>
              <w:rPr>
                <w:rFonts w:hint="default" w:ascii="Times New Roman" w:hAnsi="Times New Roman" w:eastAsia="Times New Roman" w:cs="Times New Roman"/>
                <w:color w:val="auto"/>
                <w:sz w:val="24"/>
                <w:szCs w:val="24"/>
                <w:highlight w:val="none"/>
              </w:rPr>
              <w:t>VOCs；废水中COD、氨氮。</w:t>
            </w:r>
          </w:p>
          <w:p w14:paraId="268792E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40" w:lineRule="atLeast"/>
              <w:ind w:left="0" w:right="0" w:firstLine="480" w:firstLineChars="200"/>
              <w:jc w:val="both"/>
              <w:textAlignment w:val="auto"/>
              <w:rPr>
                <w:rFonts w:hint="default" w:ascii="Times New Roman" w:hAnsi="Times New Roman" w:eastAsia="Times New Roman" w:cs="Times New Roman"/>
                <w:b/>
                <w:color w:val="auto"/>
                <w:sz w:val="24"/>
                <w:szCs w:val="24"/>
              </w:rPr>
            </w:pPr>
            <w:r>
              <w:rPr>
                <w:rFonts w:hint="default" w:ascii="Times New Roman" w:hAnsi="Times New Roman" w:eastAsia="Times New Roman" w:cs="Times New Roman"/>
                <w:b/>
                <w:color w:val="auto"/>
                <w:sz w:val="24"/>
                <w:szCs w:val="24"/>
              </w:rPr>
              <w:t>2</w:t>
            </w:r>
            <w:r>
              <w:rPr>
                <w:rFonts w:hint="eastAsia" w:ascii="Times New Roman" w:hAnsi="Times New Roman" w:eastAsia="Times New Roman" w:cs="Times New Roman"/>
                <w:b/>
                <w:color w:val="auto"/>
                <w:sz w:val="24"/>
                <w:szCs w:val="24"/>
                <w:lang w:eastAsia="zh-CN"/>
              </w:rPr>
              <w:t>、</w:t>
            </w:r>
            <w:r>
              <w:rPr>
                <w:rFonts w:hint="default" w:ascii="Times New Roman" w:hAnsi="Times New Roman" w:eastAsia="Times New Roman" w:cs="Times New Roman"/>
                <w:b/>
                <w:color w:val="auto"/>
                <w:sz w:val="24"/>
                <w:szCs w:val="24"/>
              </w:rPr>
              <w:t>总量控制建议</w:t>
            </w:r>
          </w:p>
          <w:p w14:paraId="1838C3BD">
            <w:pPr>
              <w:pStyle w:val="62"/>
              <w:keepNext w:val="0"/>
              <w:keepLines w:val="0"/>
              <w:suppressLineNumbers w:val="0"/>
              <w:bidi w:val="0"/>
              <w:spacing w:before="0" w:beforeAutospacing="0" w:after="0" w:afterAutospacing="0"/>
              <w:ind w:left="0" w:right="0"/>
              <w:rPr>
                <w:rFonts w:hint="default"/>
                <w:color w:val="auto"/>
              </w:rPr>
            </w:pPr>
            <w:bookmarkStart w:id="8" w:name="OLE_LINK9"/>
            <w:r>
              <w:rPr>
                <w:rFonts w:hint="default"/>
                <w:color w:val="auto"/>
              </w:rPr>
              <w:t>（1）废水</w:t>
            </w:r>
          </w:p>
          <w:p w14:paraId="7FF46688">
            <w:pPr>
              <w:pStyle w:val="62"/>
              <w:keepNext w:val="0"/>
              <w:keepLines w:val="0"/>
              <w:suppressLineNumbers w:val="0"/>
              <w:bidi w:val="0"/>
              <w:spacing w:before="0" w:beforeAutospacing="0" w:after="0" w:afterAutospacing="0"/>
              <w:ind w:left="0" w:right="0"/>
              <w:rPr>
                <w:rFonts w:hint="default"/>
                <w:color w:val="0000FF"/>
              </w:rPr>
            </w:pPr>
            <w:r>
              <w:rPr>
                <w:rFonts w:hint="default"/>
                <w:color w:val="auto"/>
              </w:rPr>
              <w:t>本项目</w:t>
            </w:r>
            <w:r>
              <w:rPr>
                <w:rFonts w:hint="eastAsia"/>
                <w:color w:val="auto"/>
              </w:rPr>
              <w:t>水</w:t>
            </w:r>
            <w:r>
              <w:rPr>
                <w:rFonts w:hint="default"/>
                <w:color w:val="auto"/>
              </w:rPr>
              <w:t>污染物</w:t>
            </w:r>
            <w:r>
              <w:rPr>
                <w:rFonts w:hint="eastAsia"/>
                <w:color w:val="auto"/>
                <w:sz w:val="24"/>
              </w:rPr>
              <w:t>总量控制指标</w:t>
            </w:r>
            <w:r>
              <w:rPr>
                <w:rFonts w:hint="default"/>
                <w:color w:val="auto"/>
              </w:rPr>
              <w:t>主要</w:t>
            </w:r>
            <w:r>
              <w:rPr>
                <w:rFonts w:hint="eastAsia"/>
                <w:color w:val="auto"/>
              </w:rPr>
              <w:t>为化学需氧量和氨氮</w:t>
            </w:r>
            <w:r>
              <w:rPr>
                <w:rFonts w:hint="default"/>
                <w:color w:val="auto"/>
              </w:rPr>
              <w:t>，排放总量控制建议值具体见下表。</w:t>
            </w:r>
          </w:p>
          <w:p w14:paraId="7012A4FC">
            <w:pPr>
              <w:pStyle w:val="63"/>
              <w:keepNext w:val="0"/>
              <w:keepLines w:val="0"/>
              <w:suppressLineNumbers w:val="0"/>
              <w:bidi w:val="0"/>
              <w:spacing w:before="0" w:beforeAutospacing="0" w:after="0" w:afterAutospacing="0"/>
              <w:ind w:left="0" w:right="0"/>
              <w:rPr>
                <w:color w:val="auto"/>
              </w:rPr>
            </w:pPr>
            <w:r>
              <w:rPr>
                <w:color w:val="auto"/>
              </w:rPr>
              <w:t>表3-</w:t>
            </w:r>
            <w:r>
              <w:rPr>
                <w:rFonts w:hint="eastAsia"/>
                <w:color w:val="auto"/>
                <w:lang w:val="en-US" w:eastAsia="zh-CN"/>
              </w:rPr>
              <w:t>10</w:t>
            </w:r>
            <w:r>
              <w:rPr>
                <w:color w:val="auto"/>
              </w:rPr>
              <w:t xml:space="preserve">  </w:t>
            </w:r>
            <w:r>
              <w:rPr>
                <w:rFonts w:hint="eastAsia"/>
                <w:color w:val="auto"/>
              </w:rPr>
              <w:t>水</w:t>
            </w:r>
            <w:r>
              <w:rPr>
                <w:color w:val="auto"/>
              </w:rPr>
              <w:t>污染物总量控制</w:t>
            </w:r>
            <w:r>
              <w:rPr>
                <w:rFonts w:hint="eastAsia"/>
                <w:color w:val="auto"/>
                <w:lang w:val="en-US" w:eastAsia="zh-CN"/>
              </w:rPr>
              <w:t>汇总表</w:t>
            </w:r>
            <w:r>
              <w:rPr>
                <w:rFonts w:hint="eastAsia"/>
                <w:color w:val="auto"/>
              </w:rPr>
              <w:t xml:space="preserve">  （单位</w:t>
            </w:r>
            <w:r>
              <w:rPr>
                <w:color w:val="auto"/>
              </w:rPr>
              <w:t>：t/a）</w:t>
            </w:r>
          </w:p>
          <w:tbl>
            <w:tblPr>
              <w:tblStyle w:val="5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5"/>
              <w:gridCol w:w="2221"/>
              <w:gridCol w:w="2423"/>
              <w:gridCol w:w="2506"/>
            </w:tblGrid>
            <w:tr w14:paraId="674D4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75" w:type="pct"/>
                  <w:gridSpan w:val="2"/>
                  <w:noWrap w:val="0"/>
                  <w:vAlign w:val="center"/>
                </w:tcPr>
                <w:p w14:paraId="64DEEB9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Times New Roman" w:cs="Times New Roman"/>
                      <w:b/>
                      <w:bCs/>
                      <w:color w:val="auto"/>
                      <w:sz w:val="21"/>
                      <w:szCs w:val="21"/>
                      <w:lang w:val="en-US" w:eastAsia="zh-CN"/>
                    </w:rPr>
                    <w:t>种类</w:t>
                  </w:r>
                </w:p>
              </w:tc>
              <w:tc>
                <w:tcPr>
                  <w:tcW w:w="1343" w:type="pct"/>
                  <w:noWrap w:val="0"/>
                  <w:vAlign w:val="center"/>
                </w:tcPr>
                <w:p w14:paraId="3ED77F8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Times New Roman" w:cs="Times New Roman"/>
                      <w:b/>
                      <w:bCs/>
                      <w:color w:val="auto"/>
                      <w:sz w:val="21"/>
                      <w:szCs w:val="21"/>
                      <w:lang w:val="en-US" w:eastAsia="zh-CN"/>
                    </w:rPr>
                    <w:t>污染物名称</w:t>
                  </w:r>
                </w:p>
              </w:tc>
              <w:tc>
                <w:tcPr>
                  <w:tcW w:w="1465" w:type="pct"/>
                  <w:noWrap w:val="0"/>
                  <w:vAlign w:val="center"/>
                </w:tcPr>
                <w:p w14:paraId="5CB17109">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color w:val="auto"/>
                      <w:kern w:val="0"/>
                      <w:sz w:val="21"/>
                      <w:szCs w:val="21"/>
                      <w:highlight w:val="none"/>
                    </w:rPr>
                    <w:t>接管量控制指标</w:t>
                  </w:r>
                </w:p>
              </w:tc>
              <w:tc>
                <w:tcPr>
                  <w:tcW w:w="1515" w:type="pct"/>
                  <w:noWrap w:val="0"/>
                  <w:vAlign w:val="center"/>
                </w:tcPr>
                <w:p w14:paraId="65FA6B4C">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color w:val="auto"/>
                      <w:kern w:val="0"/>
                      <w:sz w:val="21"/>
                      <w:szCs w:val="21"/>
                      <w:highlight w:val="none"/>
                    </w:rPr>
                    <w:t>排入</w:t>
                  </w:r>
                  <w:r>
                    <w:rPr>
                      <w:rFonts w:hint="default" w:ascii="Times New Roman" w:hAnsi="Times New Roman" w:eastAsia="宋体" w:cs="Times New Roman"/>
                      <w:b/>
                      <w:color w:val="auto"/>
                      <w:kern w:val="0"/>
                      <w:sz w:val="21"/>
                      <w:szCs w:val="21"/>
                      <w:highlight w:val="none"/>
                      <w:lang w:val="en-US" w:eastAsia="zh-CN"/>
                    </w:rPr>
                    <w:t>外</w:t>
                  </w:r>
                  <w:r>
                    <w:rPr>
                      <w:rFonts w:hint="default" w:ascii="Times New Roman" w:hAnsi="Times New Roman" w:eastAsia="Times New Roman" w:cs="Times New Roman"/>
                      <w:b/>
                      <w:color w:val="auto"/>
                      <w:kern w:val="0"/>
                      <w:sz w:val="21"/>
                      <w:szCs w:val="21"/>
                      <w:highlight w:val="none"/>
                    </w:rPr>
                    <w:t>环境控制指标</w:t>
                  </w:r>
                </w:p>
              </w:tc>
            </w:tr>
            <w:tr w14:paraId="3E3C5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72" w:type="pct"/>
                  <w:vMerge w:val="restart"/>
                  <w:noWrap w:val="0"/>
                  <w:vAlign w:val="center"/>
                </w:tcPr>
                <w:p w14:paraId="08240709">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废水</w:t>
                  </w:r>
                </w:p>
              </w:tc>
              <w:tc>
                <w:tcPr>
                  <w:tcW w:w="1346" w:type="pct"/>
                  <w:gridSpan w:val="2"/>
                  <w:noWrap w:val="0"/>
                  <w:vAlign w:val="center"/>
                </w:tcPr>
                <w:p w14:paraId="612E4D11">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化学需氧量</w:t>
                  </w:r>
                </w:p>
              </w:tc>
              <w:tc>
                <w:tcPr>
                  <w:tcW w:w="2437" w:type="dxa"/>
                  <w:noWrap w:val="0"/>
                  <w:vAlign w:val="center"/>
                </w:tcPr>
                <w:p w14:paraId="355A5E2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lang w:val="en-US"/>
                    </w:rPr>
                  </w:pPr>
                  <w:r>
                    <w:rPr>
                      <w:rFonts w:hint="default" w:ascii="Times New Roman" w:hAnsi="Times New Roman" w:eastAsia="宋体" w:cs="Times New Roman"/>
                      <w:i w:val="0"/>
                      <w:iCs w:val="0"/>
                      <w:color w:val="auto"/>
                      <w:kern w:val="0"/>
                      <w:sz w:val="21"/>
                      <w:szCs w:val="21"/>
                      <w:u w:val="none"/>
                      <w:lang w:val="en-US" w:eastAsia="zh-CN" w:bidi="ar"/>
                    </w:rPr>
                    <w:t>0.</w:t>
                  </w:r>
                  <w:r>
                    <w:rPr>
                      <w:rFonts w:hint="default" w:ascii="Times New Roman" w:hAnsi="Times New Roman" w:cs="Times New Roman"/>
                      <w:i w:val="0"/>
                      <w:iCs w:val="0"/>
                      <w:color w:val="auto"/>
                      <w:kern w:val="0"/>
                      <w:sz w:val="21"/>
                      <w:szCs w:val="21"/>
                      <w:u w:val="none"/>
                      <w:lang w:val="en-US" w:eastAsia="zh-CN" w:bidi="ar"/>
                    </w:rPr>
                    <w:t>069</w:t>
                  </w:r>
                </w:p>
              </w:tc>
              <w:tc>
                <w:tcPr>
                  <w:tcW w:w="2520" w:type="dxa"/>
                  <w:noWrap w:val="0"/>
                  <w:vAlign w:val="center"/>
                </w:tcPr>
                <w:p w14:paraId="1474F1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lang w:val="en-US"/>
                    </w:rPr>
                  </w:pPr>
                  <w:r>
                    <w:rPr>
                      <w:rFonts w:hint="default" w:ascii="Times New Roman" w:hAnsi="Times New Roman" w:eastAsia="宋体" w:cs="Times New Roman"/>
                      <w:i w:val="0"/>
                      <w:iCs w:val="0"/>
                      <w:color w:val="auto"/>
                      <w:kern w:val="0"/>
                      <w:sz w:val="21"/>
                      <w:szCs w:val="21"/>
                      <w:u w:val="none"/>
                      <w:lang w:val="en-US" w:eastAsia="zh-CN" w:bidi="ar"/>
                    </w:rPr>
                    <w:t>0.</w:t>
                  </w:r>
                  <w:r>
                    <w:rPr>
                      <w:rFonts w:hint="default" w:ascii="Times New Roman" w:hAnsi="Times New Roman" w:cs="Times New Roman"/>
                      <w:i w:val="0"/>
                      <w:iCs w:val="0"/>
                      <w:color w:val="auto"/>
                      <w:kern w:val="0"/>
                      <w:sz w:val="21"/>
                      <w:szCs w:val="21"/>
                      <w:u w:val="none"/>
                      <w:lang w:val="en-US" w:eastAsia="zh-CN" w:bidi="ar"/>
                    </w:rPr>
                    <w:t>0120</w:t>
                  </w:r>
                </w:p>
              </w:tc>
            </w:tr>
            <w:tr w14:paraId="2C595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72" w:type="pct"/>
                  <w:vMerge w:val="continue"/>
                  <w:noWrap w:val="0"/>
                  <w:vAlign w:val="center"/>
                </w:tcPr>
                <w:p w14:paraId="23BC0CA0">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sz w:val="21"/>
                      <w:szCs w:val="21"/>
                    </w:rPr>
                  </w:pPr>
                </w:p>
              </w:tc>
              <w:tc>
                <w:tcPr>
                  <w:tcW w:w="1346" w:type="pct"/>
                  <w:gridSpan w:val="2"/>
                  <w:noWrap w:val="0"/>
                  <w:vAlign w:val="center"/>
                </w:tcPr>
                <w:p w14:paraId="5719E355">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氨氮</w:t>
                  </w:r>
                </w:p>
              </w:tc>
              <w:tc>
                <w:tcPr>
                  <w:tcW w:w="2437" w:type="dxa"/>
                  <w:noWrap w:val="0"/>
                  <w:vAlign w:val="center"/>
                </w:tcPr>
                <w:p w14:paraId="4AF432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lang w:val="en-US"/>
                    </w:rPr>
                  </w:pPr>
                  <w:r>
                    <w:rPr>
                      <w:rFonts w:hint="default" w:ascii="Times New Roman" w:hAnsi="Times New Roman" w:eastAsia="宋体" w:cs="Times New Roman"/>
                      <w:i w:val="0"/>
                      <w:iCs w:val="0"/>
                      <w:color w:val="auto"/>
                      <w:kern w:val="0"/>
                      <w:sz w:val="21"/>
                      <w:szCs w:val="21"/>
                      <w:u w:val="none"/>
                      <w:lang w:val="en-US" w:eastAsia="zh-CN" w:bidi="ar"/>
                    </w:rPr>
                    <w:t>0.0</w:t>
                  </w:r>
                  <w:r>
                    <w:rPr>
                      <w:rFonts w:hint="eastAsia" w:ascii="Times New Roman" w:hAnsi="Times New Roman" w:cs="Times New Roman"/>
                      <w:i w:val="0"/>
                      <w:iCs w:val="0"/>
                      <w:color w:val="auto"/>
                      <w:kern w:val="0"/>
                      <w:sz w:val="21"/>
                      <w:szCs w:val="21"/>
                      <w:u w:val="none"/>
                      <w:lang w:val="en-US" w:eastAsia="zh-CN" w:bidi="ar"/>
                    </w:rPr>
                    <w:t>08</w:t>
                  </w:r>
                </w:p>
              </w:tc>
              <w:tc>
                <w:tcPr>
                  <w:tcW w:w="2520" w:type="dxa"/>
                  <w:noWrap w:val="0"/>
                  <w:vAlign w:val="center"/>
                </w:tcPr>
                <w:p w14:paraId="275F47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lang w:val="en-US"/>
                    </w:rPr>
                  </w:pPr>
                  <w:r>
                    <w:rPr>
                      <w:rFonts w:hint="default" w:ascii="Times New Roman" w:hAnsi="Times New Roman" w:eastAsia="宋体" w:cs="Times New Roman"/>
                      <w:i w:val="0"/>
                      <w:iCs w:val="0"/>
                      <w:color w:val="auto"/>
                      <w:kern w:val="0"/>
                      <w:sz w:val="21"/>
                      <w:szCs w:val="21"/>
                      <w:u w:val="none"/>
                      <w:lang w:val="en-US" w:eastAsia="zh-CN" w:bidi="ar"/>
                    </w:rPr>
                    <w:t>0.0</w:t>
                  </w:r>
                  <w:r>
                    <w:rPr>
                      <w:rFonts w:hint="default" w:ascii="Times New Roman" w:hAnsi="Times New Roman" w:cs="Times New Roman"/>
                      <w:i w:val="0"/>
                      <w:iCs w:val="0"/>
                      <w:color w:val="auto"/>
                      <w:kern w:val="0"/>
                      <w:sz w:val="21"/>
                      <w:szCs w:val="21"/>
                      <w:u w:val="none"/>
                      <w:lang w:val="en-US" w:eastAsia="zh-CN" w:bidi="ar"/>
                    </w:rPr>
                    <w:t>0</w:t>
                  </w:r>
                  <w:r>
                    <w:rPr>
                      <w:rFonts w:hint="eastAsia" w:ascii="Times New Roman" w:hAnsi="Times New Roman" w:cs="Times New Roman"/>
                      <w:i w:val="0"/>
                      <w:iCs w:val="0"/>
                      <w:color w:val="auto"/>
                      <w:kern w:val="0"/>
                      <w:sz w:val="21"/>
                      <w:szCs w:val="21"/>
                      <w:u w:val="none"/>
                      <w:lang w:val="en-US" w:eastAsia="zh-CN" w:bidi="ar"/>
                    </w:rPr>
                    <w:t>12</w:t>
                  </w:r>
                </w:p>
              </w:tc>
            </w:tr>
          </w:tbl>
          <w:p w14:paraId="7587B4E9">
            <w:pPr>
              <w:pStyle w:val="62"/>
              <w:keepNext w:val="0"/>
              <w:keepLines w:val="0"/>
              <w:suppressLineNumbers w:val="0"/>
              <w:bidi w:val="0"/>
              <w:spacing w:before="0" w:beforeAutospacing="0" w:after="0" w:afterAutospacing="0"/>
              <w:ind w:left="0" w:right="0"/>
              <w:rPr>
                <w:rFonts w:hint="default"/>
                <w:color w:val="auto"/>
              </w:rPr>
            </w:pPr>
            <w:r>
              <w:rPr>
                <w:rFonts w:hint="eastAsia"/>
                <w:color w:val="auto"/>
              </w:rPr>
              <w:t>建议总量指标COD：0.</w:t>
            </w:r>
            <w:r>
              <w:rPr>
                <w:rFonts w:hint="eastAsia"/>
                <w:color w:val="auto"/>
                <w:lang w:val="en-US" w:eastAsia="zh-CN"/>
              </w:rPr>
              <w:t>012</w:t>
            </w:r>
            <w:r>
              <w:rPr>
                <w:rFonts w:hint="eastAsia"/>
                <w:color w:val="auto"/>
              </w:rPr>
              <w:t>t/a、氨氮：0.0</w:t>
            </w:r>
            <w:r>
              <w:rPr>
                <w:rFonts w:hint="eastAsia"/>
                <w:color w:val="auto"/>
                <w:lang w:val="en-US" w:eastAsia="zh-CN"/>
              </w:rPr>
              <w:t>012</w:t>
            </w:r>
            <w:r>
              <w:rPr>
                <w:rFonts w:hint="eastAsia"/>
                <w:color w:val="auto"/>
              </w:rPr>
              <w:t>t/a。项目废水总量中的COD和氨氮均纳入</w:t>
            </w:r>
            <w:r>
              <w:rPr>
                <w:rFonts w:hint="default" w:ascii="Times New Roman" w:hAnsi="Times New Roman"/>
                <w:color w:val="auto"/>
                <w:sz w:val="24"/>
                <w:szCs w:val="24"/>
                <w:lang w:eastAsia="zh-CN"/>
              </w:rPr>
              <w:t>淮南经济技术开发区工业污水处理厂</w:t>
            </w:r>
            <w:r>
              <w:rPr>
                <w:rFonts w:hint="eastAsia"/>
                <w:color w:val="auto"/>
                <w:sz w:val="24"/>
                <w:szCs w:val="24"/>
              </w:rPr>
              <w:t>。</w:t>
            </w:r>
          </w:p>
          <w:p w14:paraId="1E4A3AB3">
            <w:pPr>
              <w:pStyle w:val="62"/>
              <w:keepNext w:val="0"/>
              <w:keepLines w:val="0"/>
              <w:suppressLineNumbers w:val="0"/>
              <w:bidi w:val="0"/>
              <w:spacing w:before="0" w:beforeAutospacing="0" w:after="0" w:afterAutospacing="0"/>
              <w:ind w:left="0" w:right="0"/>
              <w:rPr>
                <w:rFonts w:hint="default"/>
                <w:color w:val="auto"/>
              </w:rPr>
            </w:pPr>
            <w:r>
              <w:rPr>
                <w:rFonts w:hint="default"/>
                <w:color w:val="auto"/>
              </w:rPr>
              <w:t>（2）废气</w:t>
            </w:r>
          </w:p>
          <w:p w14:paraId="2E59DE3D">
            <w:pPr>
              <w:pStyle w:val="62"/>
              <w:keepNext w:val="0"/>
              <w:keepLines w:val="0"/>
              <w:suppressLineNumbers w:val="0"/>
              <w:bidi w:val="0"/>
              <w:spacing w:before="0" w:beforeAutospacing="0" w:after="0" w:afterAutospacing="0"/>
              <w:ind w:left="0" w:right="0"/>
              <w:rPr>
                <w:rFonts w:hint="default"/>
                <w:color w:val="auto"/>
              </w:rPr>
            </w:pPr>
            <w:r>
              <w:rPr>
                <w:rFonts w:hint="eastAsia"/>
                <w:color w:val="auto"/>
              </w:rPr>
              <w:t>根据工程分析核算，项目运营期大气污染物排放量见下表：</w:t>
            </w:r>
          </w:p>
          <w:p w14:paraId="22F243D6">
            <w:pPr>
              <w:keepNext w:val="0"/>
              <w:keepLines w:val="0"/>
              <w:suppressLineNumbers w:val="0"/>
              <w:spacing w:before="0" w:beforeAutospacing="0" w:after="0" w:afterAutospacing="0" w:line="440" w:lineRule="exact"/>
              <w:ind w:left="0" w:right="0"/>
              <w:jc w:val="center"/>
              <w:rPr>
                <w:rFonts w:hint="default" w:ascii="Times New Roman" w:hAnsi="Times New Roman" w:eastAsia="Times New Roman" w:cs="Times New Roman"/>
                <w:b/>
                <w:bCs/>
                <w:color w:val="auto"/>
                <w:szCs w:val="21"/>
              </w:rPr>
            </w:pPr>
            <w:r>
              <w:rPr>
                <w:rFonts w:hint="default" w:ascii="Times New Roman" w:hAnsi="宋体" w:eastAsia="Times New Roman" w:cs="Times New Roman"/>
                <w:b/>
                <w:bCs/>
                <w:color w:val="auto"/>
                <w:szCs w:val="21"/>
              </w:rPr>
              <w:t>表</w:t>
            </w:r>
            <w:r>
              <w:rPr>
                <w:rFonts w:hint="default" w:ascii="Times New Roman" w:hAnsi="Times New Roman" w:eastAsia="Times New Roman" w:cs="Times New Roman"/>
                <w:b/>
                <w:bCs/>
                <w:color w:val="auto"/>
                <w:szCs w:val="21"/>
              </w:rPr>
              <w:t>3-</w:t>
            </w:r>
            <w:r>
              <w:rPr>
                <w:rFonts w:hint="eastAsia" w:cs="Times New Roman"/>
                <w:b/>
                <w:bCs/>
                <w:color w:val="auto"/>
                <w:szCs w:val="21"/>
                <w:lang w:val="en-US" w:eastAsia="zh-CN"/>
              </w:rPr>
              <w:t>11</w:t>
            </w:r>
            <w:r>
              <w:rPr>
                <w:rFonts w:hint="default" w:ascii="Times New Roman" w:hAnsi="Times New Roman" w:eastAsia="Times New Roman" w:cs="Times New Roman"/>
                <w:b/>
                <w:bCs/>
                <w:color w:val="auto"/>
                <w:szCs w:val="21"/>
              </w:rPr>
              <w:t xml:space="preserve"> </w:t>
            </w:r>
            <w:r>
              <w:rPr>
                <w:rFonts w:hint="eastAsia" w:ascii="Times New Roman" w:hAnsi="Times New Roman" w:eastAsia="Times New Roman" w:cs="Times New Roman"/>
                <w:b/>
                <w:bCs/>
                <w:color w:val="auto"/>
                <w:szCs w:val="21"/>
                <w:lang w:val="en-US" w:eastAsia="zh-CN"/>
              </w:rPr>
              <w:t xml:space="preserve"> </w:t>
            </w:r>
            <w:r>
              <w:rPr>
                <w:rFonts w:hint="default" w:ascii="Times New Roman" w:hAnsi="宋体" w:eastAsia="Times New Roman" w:cs="Times New Roman"/>
                <w:b/>
                <w:bCs/>
                <w:color w:val="auto"/>
                <w:szCs w:val="21"/>
              </w:rPr>
              <w:t>项目建成后大气污染物排放汇总表</w:t>
            </w:r>
            <w:r>
              <w:rPr>
                <w:rFonts w:hint="default" w:ascii="Times New Roman" w:hAnsi="Times New Roman" w:eastAsia="Times New Roman" w:cs="Times New Roman"/>
                <w:b/>
                <w:bCs/>
                <w:color w:val="auto"/>
                <w:szCs w:val="21"/>
              </w:rPr>
              <w:t xml:space="preserve">  </w:t>
            </w:r>
            <w:r>
              <w:rPr>
                <w:rFonts w:hint="default" w:ascii="Times New Roman" w:hAnsi="宋体" w:eastAsia="Times New Roman" w:cs="Times New Roman"/>
                <w:b/>
                <w:bCs/>
                <w:color w:val="auto"/>
                <w:szCs w:val="21"/>
              </w:rPr>
              <w:t>单位：</w:t>
            </w:r>
            <w:r>
              <w:rPr>
                <w:rFonts w:hint="default" w:ascii="Times New Roman" w:hAnsi="Times New Roman" w:eastAsia="Times New Roman" w:cs="Times New Roman"/>
                <w:b/>
                <w:bCs/>
                <w:color w:val="auto"/>
                <w:szCs w:val="21"/>
              </w:rPr>
              <w:t>t/a</w:t>
            </w:r>
          </w:p>
          <w:tbl>
            <w:tblPr>
              <w:tblStyle w:val="5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1583"/>
              <w:gridCol w:w="1970"/>
              <w:gridCol w:w="1962"/>
              <w:gridCol w:w="1626"/>
            </w:tblGrid>
            <w:tr w14:paraId="6399B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26" w:type="dxa"/>
                  <w:noWrap w:val="0"/>
                  <w:vAlign w:val="center"/>
                </w:tcPr>
                <w:p w14:paraId="7AF6DEF4">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b/>
                      <w:color w:val="auto"/>
                      <w:sz w:val="21"/>
                      <w:szCs w:val="21"/>
                    </w:rPr>
                  </w:pPr>
                  <w:r>
                    <w:rPr>
                      <w:rFonts w:hint="eastAsia" w:ascii="Times New Roman" w:hAnsi="Times New Roman" w:eastAsia="Times New Roman" w:cs="Times New Roman"/>
                      <w:b/>
                      <w:bCs/>
                      <w:color w:val="auto"/>
                      <w:sz w:val="21"/>
                      <w:szCs w:val="21"/>
                      <w:lang w:val="en-US" w:eastAsia="zh-CN"/>
                    </w:rPr>
                    <w:t>种类</w:t>
                  </w:r>
                </w:p>
              </w:tc>
              <w:tc>
                <w:tcPr>
                  <w:tcW w:w="1583" w:type="dxa"/>
                  <w:noWrap w:val="0"/>
                  <w:vAlign w:val="center"/>
                </w:tcPr>
                <w:p w14:paraId="13D57559">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b/>
                      <w:color w:val="auto"/>
                      <w:sz w:val="21"/>
                      <w:szCs w:val="21"/>
                    </w:rPr>
                  </w:pPr>
                  <w:r>
                    <w:rPr>
                      <w:rFonts w:hint="default" w:ascii="Times New Roman" w:hAnsi="Times New Roman" w:eastAsia="Times New Roman" w:cs="Times New Roman"/>
                      <w:b/>
                      <w:color w:val="auto"/>
                      <w:sz w:val="21"/>
                      <w:szCs w:val="21"/>
                    </w:rPr>
                    <w:t>污染物</w:t>
                  </w:r>
                </w:p>
              </w:tc>
              <w:tc>
                <w:tcPr>
                  <w:tcW w:w="1970" w:type="dxa"/>
                  <w:noWrap w:val="0"/>
                  <w:vAlign w:val="center"/>
                </w:tcPr>
                <w:p w14:paraId="63DDEFF2">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b/>
                      <w:color w:val="auto"/>
                      <w:sz w:val="21"/>
                      <w:szCs w:val="21"/>
                    </w:rPr>
                  </w:pPr>
                  <w:r>
                    <w:rPr>
                      <w:rFonts w:hint="eastAsia" w:ascii="Times New Roman" w:hAnsi="Times New Roman" w:eastAsia="Times New Roman" w:cs="Times New Roman"/>
                      <w:b/>
                      <w:color w:val="auto"/>
                      <w:sz w:val="21"/>
                      <w:szCs w:val="21"/>
                    </w:rPr>
                    <w:t>有组织</w:t>
                  </w:r>
                </w:p>
              </w:tc>
              <w:tc>
                <w:tcPr>
                  <w:tcW w:w="1962" w:type="dxa"/>
                  <w:noWrap w:val="0"/>
                  <w:vAlign w:val="center"/>
                </w:tcPr>
                <w:p w14:paraId="2F507F09">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b/>
                      <w:color w:val="auto"/>
                      <w:sz w:val="21"/>
                      <w:szCs w:val="21"/>
                    </w:rPr>
                  </w:pPr>
                  <w:r>
                    <w:rPr>
                      <w:rFonts w:hint="eastAsia" w:ascii="Times New Roman" w:hAnsi="Times New Roman" w:eastAsia="Times New Roman" w:cs="Times New Roman"/>
                      <w:b/>
                      <w:color w:val="auto"/>
                      <w:sz w:val="21"/>
                      <w:szCs w:val="21"/>
                    </w:rPr>
                    <w:t>无组织</w:t>
                  </w:r>
                </w:p>
              </w:tc>
              <w:tc>
                <w:tcPr>
                  <w:tcW w:w="1626" w:type="dxa"/>
                  <w:noWrap w:val="0"/>
                  <w:vAlign w:val="center"/>
                </w:tcPr>
                <w:p w14:paraId="5FCF83C8">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b/>
                      <w:color w:val="auto"/>
                      <w:sz w:val="21"/>
                      <w:szCs w:val="21"/>
                    </w:rPr>
                  </w:pPr>
                  <w:r>
                    <w:rPr>
                      <w:rFonts w:hint="eastAsia" w:ascii="Times New Roman" w:hAnsi="Times New Roman" w:eastAsia="Times New Roman" w:cs="Times New Roman"/>
                      <w:b/>
                      <w:color w:val="auto"/>
                      <w:sz w:val="21"/>
                      <w:szCs w:val="21"/>
                    </w:rPr>
                    <w:t>小计</w:t>
                  </w:r>
                </w:p>
              </w:tc>
            </w:tr>
            <w:tr w14:paraId="700F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26" w:type="dxa"/>
                  <w:vMerge w:val="restart"/>
                  <w:noWrap w:val="0"/>
                  <w:vAlign w:val="center"/>
                </w:tcPr>
                <w:p w14:paraId="59D9C6E6">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rPr>
                  </w:pPr>
                  <w:r>
                    <w:rPr>
                      <w:rFonts w:hint="default" w:ascii="Times New Roman" w:hAnsi="Times New Roman" w:eastAsia="Times New Roman" w:cs="Times New Roman"/>
                      <w:color w:val="auto"/>
                      <w:sz w:val="21"/>
                      <w:szCs w:val="21"/>
                    </w:rPr>
                    <w:t>废</w:t>
                  </w:r>
                  <w:r>
                    <w:rPr>
                      <w:rFonts w:hint="eastAsia" w:ascii="Times New Roman" w:hAnsi="Times New Roman" w:eastAsia="Times New Roman" w:cs="Times New Roman"/>
                      <w:color w:val="auto"/>
                      <w:sz w:val="21"/>
                      <w:szCs w:val="21"/>
                      <w:lang w:val="en-US" w:eastAsia="zh-CN"/>
                    </w:rPr>
                    <w:t>气</w:t>
                  </w:r>
                </w:p>
              </w:tc>
              <w:tc>
                <w:tcPr>
                  <w:tcW w:w="1583" w:type="dxa"/>
                  <w:noWrap w:val="0"/>
                  <w:vAlign w:val="center"/>
                </w:tcPr>
                <w:p w14:paraId="5671AD64">
                  <w:pPr>
                    <w:keepNext w:val="0"/>
                    <w:keepLines w:val="0"/>
                    <w:widowControl/>
                    <w:suppressLineNumbers w:val="0"/>
                    <w:spacing w:before="0" w:beforeAutospacing="0" w:after="0" w:afterAutospacing="0" w:line="240" w:lineRule="auto"/>
                    <w:ind w:left="0" w:leftChars="0" w:right="0" w:rightChars="0"/>
                    <w:jc w:val="center"/>
                    <w:rPr>
                      <w:rFonts w:hint="eastAsia" w:ascii="Times New Roman" w:hAnsi="Times New Roman" w:eastAsia="Times New Roman" w:cs="Times New Roman"/>
                      <w:color w:val="auto"/>
                      <w:sz w:val="21"/>
                      <w:szCs w:val="21"/>
                    </w:rPr>
                  </w:pPr>
                  <w:r>
                    <w:rPr>
                      <w:rFonts w:hint="eastAsia" w:ascii="Times New Roman" w:hAnsi="Times New Roman" w:eastAsia="Times New Roman" w:cs="Times New Roman"/>
                      <w:color w:val="auto"/>
                    </w:rPr>
                    <w:t>VOCs</w:t>
                  </w:r>
                </w:p>
              </w:tc>
              <w:tc>
                <w:tcPr>
                  <w:tcW w:w="1970" w:type="dxa"/>
                  <w:noWrap w:val="0"/>
                  <w:vAlign w:val="center"/>
                </w:tcPr>
                <w:p w14:paraId="2C25DBA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0.003</w:t>
                  </w:r>
                </w:p>
              </w:tc>
              <w:tc>
                <w:tcPr>
                  <w:tcW w:w="1962" w:type="dxa"/>
                  <w:noWrap w:val="0"/>
                  <w:vAlign w:val="center"/>
                </w:tcPr>
                <w:p w14:paraId="28DD8D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w:t>
                  </w:r>
                  <w:r>
                    <w:rPr>
                      <w:rFonts w:hint="eastAsia" w:ascii="Times New Roman" w:hAnsi="Times New Roman" w:cs="Times New Roman"/>
                      <w:i w:val="0"/>
                      <w:iCs w:val="0"/>
                      <w:color w:val="auto"/>
                      <w:kern w:val="0"/>
                      <w:sz w:val="21"/>
                      <w:szCs w:val="21"/>
                      <w:u w:val="none"/>
                      <w:lang w:val="en-US" w:eastAsia="zh-CN" w:bidi="ar"/>
                    </w:rPr>
                    <w:t>04</w:t>
                  </w:r>
                </w:p>
              </w:tc>
              <w:tc>
                <w:tcPr>
                  <w:tcW w:w="1626" w:type="dxa"/>
                  <w:noWrap w:val="0"/>
                  <w:vAlign w:val="center"/>
                </w:tcPr>
                <w:p w14:paraId="78DC02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0.</w:t>
                  </w:r>
                  <w:r>
                    <w:rPr>
                      <w:rFonts w:hint="eastAsia" w:ascii="Times New Roman" w:hAnsi="Times New Roman" w:cs="Times New Roman"/>
                      <w:i w:val="0"/>
                      <w:iCs w:val="0"/>
                      <w:color w:val="auto"/>
                      <w:kern w:val="0"/>
                      <w:sz w:val="21"/>
                      <w:szCs w:val="21"/>
                      <w:u w:val="none"/>
                      <w:lang w:val="en-US" w:eastAsia="zh-CN" w:bidi="ar"/>
                    </w:rPr>
                    <w:t>007</w:t>
                  </w:r>
                </w:p>
              </w:tc>
            </w:tr>
            <w:tr w14:paraId="68EFD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26" w:type="dxa"/>
                  <w:vMerge w:val="continue"/>
                  <w:noWrap w:val="0"/>
                  <w:vAlign w:val="center"/>
                </w:tcPr>
                <w:p w14:paraId="54CEB1B8">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sz w:val="21"/>
                      <w:szCs w:val="21"/>
                    </w:rPr>
                  </w:pPr>
                </w:p>
              </w:tc>
              <w:tc>
                <w:tcPr>
                  <w:tcW w:w="1583" w:type="dxa"/>
                  <w:noWrap w:val="0"/>
                  <w:vAlign w:val="center"/>
                </w:tcPr>
                <w:p w14:paraId="3A386F86">
                  <w:pPr>
                    <w:keepNext w:val="0"/>
                    <w:keepLines w:val="0"/>
                    <w:widowControl/>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颗粒物</w:t>
                  </w:r>
                </w:p>
              </w:tc>
              <w:tc>
                <w:tcPr>
                  <w:tcW w:w="1970" w:type="dxa"/>
                  <w:noWrap w:val="0"/>
                  <w:vAlign w:val="center"/>
                </w:tcPr>
                <w:p w14:paraId="5980D0E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0.047</w:t>
                  </w:r>
                </w:p>
              </w:tc>
              <w:tc>
                <w:tcPr>
                  <w:tcW w:w="1962" w:type="dxa"/>
                  <w:noWrap w:val="0"/>
                  <w:vAlign w:val="center"/>
                </w:tcPr>
                <w:p w14:paraId="415A11F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0.24</w:t>
                  </w:r>
                </w:p>
              </w:tc>
              <w:tc>
                <w:tcPr>
                  <w:tcW w:w="1626" w:type="dxa"/>
                  <w:noWrap w:val="0"/>
                  <w:vAlign w:val="center"/>
                </w:tcPr>
                <w:p w14:paraId="5E3D360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0.287</w:t>
                  </w:r>
                </w:p>
              </w:tc>
            </w:tr>
            <w:tr w14:paraId="73D20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26" w:type="dxa"/>
                  <w:vMerge w:val="continue"/>
                  <w:noWrap w:val="0"/>
                  <w:vAlign w:val="center"/>
                </w:tcPr>
                <w:p w14:paraId="141EFB58">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0000FF"/>
                      <w:sz w:val="21"/>
                      <w:szCs w:val="21"/>
                    </w:rPr>
                  </w:pPr>
                </w:p>
              </w:tc>
              <w:tc>
                <w:tcPr>
                  <w:tcW w:w="1583" w:type="dxa"/>
                  <w:noWrap w:val="0"/>
                  <w:vAlign w:val="center"/>
                </w:tcPr>
                <w:p w14:paraId="25D9C9EF">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二氧化硫</w:t>
                  </w:r>
                </w:p>
              </w:tc>
              <w:tc>
                <w:tcPr>
                  <w:tcW w:w="1970" w:type="dxa"/>
                  <w:noWrap w:val="0"/>
                  <w:vAlign w:val="center"/>
                </w:tcPr>
                <w:p w14:paraId="4138186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0.017</w:t>
                  </w:r>
                </w:p>
              </w:tc>
              <w:tc>
                <w:tcPr>
                  <w:tcW w:w="1962" w:type="dxa"/>
                  <w:noWrap w:val="0"/>
                  <w:vAlign w:val="center"/>
                </w:tcPr>
                <w:p w14:paraId="3E2EF25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w:t>
                  </w:r>
                </w:p>
              </w:tc>
              <w:tc>
                <w:tcPr>
                  <w:tcW w:w="1626" w:type="dxa"/>
                  <w:noWrap w:val="0"/>
                  <w:vAlign w:val="center"/>
                </w:tcPr>
                <w:p w14:paraId="074F37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0.017</w:t>
                  </w:r>
                </w:p>
              </w:tc>
            </w:tr>
            <w:tr w14:paraId="57C30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26" w:type="dxa"/>
                  <w:vMerge w:val="continue"/>
                  <w:noWrap w:val="0"/>
                  <w:vAlign w:val="center"/>
                </w:tcPr>
                <w:p w14:paraId="063008D8">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0000FF"/>
                      <w:sz w:val="21"/>
                      <w:szCs w:val="21"/>
                    </w:rPr>
                  </w:pPr>
                </w:p>
              </w:tc>
              <w:tc>
                <w:tcPr>
                  <w:tcW w:w="1583" w:type="dxa"/>
                  <w:noWrap w:val="0"/>
                  <w:vAlign w:val="center"/>
                </w:tcPr>
                <w:p w14:paraId="56A4AFCD">
                  <w:pPr>
                    <w:keepNext w:val="0"/>
                    <w:keepLines w:val="0"/>
                    <w:widowControl/>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氮氧化物</w:t>
                  </w:r>
                </w:p>
              </w:tc>
              <w:tc>
                <w:tcPr>
                  <w:tcW w:w="1970" w:type="dxa"/>
                  <w:noWrap w:val="0"/>
                  <w:vAlign w:val="center"/>
                </w:tcPr>
                <w:p w14:paraId="6C08C6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0.041</w:t>
                  </w:r>
                </w:p>
              </w:tc>
              <w:tc>
                <w:tcPr>
                  <w:tcW w:w="1962" w:type="dxa"/>
                  <w:noWrap w:val="0"/>
                  <w:vAlign w:val="center"/>
                </w:tcPr>
                <w:p w14:paraId="41DA184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w:t>
                  </w:r>
                </w:p>
              </w:tc>
              <w:tc>
                <w:tcPr>
                  <w:tcW w:w="1626" w:type="dxa"/>
                  <w:noWrap w:val="0"/>
                  <w:vAlign w:val="center"/>
                </w:tcPr>
                <w:p w14:paraId="7F34288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0.041</w:t>
                  </w:r>
                </w:p>
              </w:tc>
            </w:tr>
            <w:bookmarkEnd w:id="8"/>
          </w:tbl>
          <w:p w14:paraId="6689C7AC">
            <w:pPr>
              <w:pStyle w:val="62"/>
              <w:keepNext w:val="0"/>
              <w:keepLines w:val="0"/>
              <w:suppressLineNumbers w:val="0"/>
              <w:bidi w:val="0"/>
              <w:spacing w:before="0" w:beforeAutospacing="0" w:after="0" w:afterAutospacing="0"/>
              <w:ind w:left="0" w:right="0"/>
              <w:rPr>
                <w:rFonts w:hint="default" w:eastAsia="宋体"/>
                <w:color w:val="0000FF"/>
                <w:lang w:val="en-US" w:eastAsia="zh-CN"/>
              </w:rPr>
            </w:pPr>
            <w:r>
              <w:rPr>
                <w:rFonts w:hint="eastAsia" w:ascii="Times New Roman" w:hAnsi="Times New Roman" w:eastAsia="宋体" w:cs="Times New Roman"/>
                <w:color w:val="auto"/>
                <w:sz w:val="24"/>
                <w:lang w:val="en-US" w:eastAsia="zh-CN"/>
              </w:rPr>
              <w:t>2025年淮南市</w:t>
            </w:r>
            <w:r>
              <w:rPr>
                <w:rFonts w:hint="default" w:ascii="Times New Roman" w:hAnsi="Times New Roman" w:eastAsia="宋体" w:cs="Times New Roman"/>
                <w:color w:val="auto"/>
                <w:sz w:val="24"/>
              </w:rPr>
              <w:t>PM</w:t>
            </w:r>
            <w:r>
              <w:rPr>
                <w:rFonts w:hint="default" w:ascii="Times New Roman" w:hAnsi="Times New Roman" w:eastAsia="宋体" w:cs="Times New Roman"/>
                <w:color w:val="auto"/>
                <w:sz w:val="24"/>
                <w:vertAlign w:val="subscript"/>
              </w:rPr>
              <w:t>10</w:t>
            </w:r>
            <w:r>
              <w:rPr>
                <w:rFonts w:hint="default" w:ascii="Times New Roman" w:hAnsi="Times New Roman" w:eastAsia="宋体" w:cs="Times New Roman"/>
                <w:color w:val="auto"/>
                <w:sz w:val="24"/>
              </w:rPr>
              <w:t>、PM</w:t>
            </w:r>
            <w:r>
              <w:rPr>
                <w:rFonts w:hint="default" w:ascii="Times New Roman" w:hAnsi="Times New Roman" w:eastAsia="宋体" w:cs="Times New Roman"/>
                <w:color w:val="auto"/>
                <w:sz w:val="24"/>
                <w:vertAlign w:val="subscript"/>
              </w:rPr>
              <w:t>2.5</w:t>
            </w:r>
            <w:r>
              <w:rPr>
                <w:rFonts w:hint="default" w:ascii="Times New Roman" w:hAnsi="Times New Roman" w:cs="Times New Roman"/>
                <w:color w:val="auto"/>
                <w:sz w:val="24"/>
                <w:lang w:val="en-US" w:eastAsia="zh-CN"/>
              </w:rPr>
              <w:t>年平均质量浓度</w:t>
            </w:r>
            <w:r>
              <w:rPr>
                <w:rFonts w:hint="default" w:ascii="Times New Roman" w:hAnsi="Times New Roman" w:eastAsia="宋体" w:cs="Times New Roman"/>
                <w:color w:val="auto"/>
                <w:sz w:val="24"/>
              </w:rPr>
              <w:t>超标</w:t>
            </w:r>
            <w:r>
              <w:rPr>
                <w:rFonts w:hint="eastAsia" w:ascii="Times New Roman" w:hAnsi="Times New Roman" w:eastAsia="宋体" w:cs="Times New Roman"/>
                <w:color w:val="auto"/>
                <w:sz w:val="24"/>
                <w:lang w:eastAsia="zh-CN"/>
              </w:rPr>
              <w:t>，</w:t>
            </w:r>
            <w:r>
              <w:rPr>
                <w:rFonts w:hint="eastAsia" w:ascii="Times New Roman" w:hAnsi="Times New Roman" w:cs="Times New Roman"/>
                <w:color w:val="auto"/>
                <w:sz w:val="24"/>
                <w:lang w:val="en-US" w:eastAsia="zh-CN"/>
              </w:rPr>
              <w:t>淮南</w:t>
            </w:r>
            <w:r>
              <w:rPr>
                <w:rFonts w:hint="default" w:ascii="Times New Roman" w:hAnsi="Times New Roman" w:eastAsia="宋体" w:cs="Times New Roman"/>
                <w:color w:val="auto"/>
                <w:sz w:val="24"/>
              </w:rPr>
              <w:t>市属于空气质量不达标区</w:t>
            </w:r>
            <w:r>
              <w:rPr>
                <w:rFonts w:hint="eastAsia" w:ascii="Times New Roman" w:hAnsi="Times New Roman" w:eastAsia="宋体" w:cs="Times New Roman"/>
                <w:color w:val="auto"/>
                <w:sz w:val="24"/>
                <w:lang w:eastAsia="zh-CN"/>
              </w:rPr>
              <w:t>。</w:t>
            </w:r>
            <w:r>
              <w:rPr>
                <w:rFonts w:hint="eastAsia"/>
                <w:color w:val="auto"/>
              </w:rPr>
              <w:t>本项目运营期大气污染物需申请总量控制指标：挥发性有机物（</w:t>
            </w:r>
            <w:r>
              <w:rPr>
                <w:rFonts w:hint="default"/>
                <w:color w:val="auto"/>
              </w:rPr>
              <w:t>VOCs）</w:t>
            </w:r>
            <w:r>
              <w:rPr>
                <w:rFonts w:hint="eastAsia"/>
                <w:color w:val="auto"/>
              </w:rPr>
              <w:t>0.</w:t>
            </w:r>
            <w:r>
              <w:rPr>
                <w:rFonts w:hint="eastAsia"/>
                <w:color w:val="auto"/>
                <w:lang w:val="en-US" w:eastAsia="zh-CN"/>
              </w:rPr>
              <w:t>006</w:t>
            </w:r>
            <w:r>
              <w:rPr>
                <w:rFonts w:hint="eastAsia"/>
                <w:color w:val="auto"/>
              </w:rPr>
              <w:t>t/a</w:t>
            </w:r>
            <w:r>
              <w:rPr>
                <w:rFonts w:hint="eastAsia"/>
                <w:color w:val="auto"/>
                <w:lang w:eastAsia="zh-CN"/>
              </w:rPr>
              <w:t>（</w:t>
            </w:r>
            <w:r>
              <w:rPr>
                <w:rFonts w:hint="eastAsia"/>
                <w:color w:val="auto"/>
                <w:lang w:val="en-US" w:eastAsia="zh-CN"/>
              </w:rPr>
              <w:t>倍量替代</w:t>
            </w:r>
            <w:r>
              <w:rPr>
                <w:rFonts w:hint="eastAsia"/>
                <w:color w:val="auto"/>
                <w:lang w:eastAsia="zh-CN"/>
              </w:rPr>
              <w:t>）、</w:t>
            </w:r>
            <w:r>
              <w:rPr>
                <w:rFonts w:hint="eastAsia"/>
                <w:color w:val="auto"/>
                <w:lang w:val="en-US" w:eastAsia="zh-CN"/>
              </w:rPr>
              <w:t>颗粒物0.094</w:t>
            </w:r>
            <w:r>
              <w:rPr>
                <w:rFonts w:hint="eastAsia"/>
                <w:color w:val="auto"/>
              </w:rPr>
              <w:t>t/a</w:t>
            </w:r>
            <w:r>
              <w:rPr>
                <w:rFonts w:hint="eastAsia"/>
                <w:color w:val="auto"/>
                <w:lang w:eastAsia="zh-CN"/>
              </w:rPr>
              <w:t>（</w:t>
            </w:r>
            <w:r>
              <w:rPr>
                <w:rFonts w:hint="eastAsia"/>
                <w:color w:val="auto"/>
                <w:lang w:val="en-US" w:eastAsia="zh-CN"/>
              </w:rPr>
              <w:t>倍量替代</w:t>
            </w:r>
            <w:r>
              <w:rPr>
                <w:rFonts w:hint="eastAsia"/>
                <w:color w:val="auto"/>
                <w:lang w:eastAsia="zh-CN"/>
              </w:rPr>
              <w:t>）、</w:t>
            </w:r>
            <w:r>
              <w:rPr>
                <w:rFonts w:hint="eastAsia"/>
                <w:color w:val="auto"/>
                <w:lang w:val="en-US" w:eastAsia="zh-CN"/>
              </w:rPr>
              <w:t>二氧化硫0.034</w:t>
            </w:r>
            <w:r>
              <w:rPr>
                <w:rFonts w:hint="eastAsia"/>
                <w:color w:val="auto"/>
              </w:rPr>
              <w:t>t/a</w:t>
            </w:r>
            <w:r>
              <w:rPr>
                <w:rFonts w:hint="eastAsia"/>
                <w:color w:val="auto"/>
                <w:lang w:eastAsia="zh-CN"/>
              </w:rPr>
              <w:t>（</w:t>
            </w:r>
            <w:r>
              <w:rPr>
                <w:rFonts w:hint="eastAsia"/>
                <w:color w:val="auto"/>
                <w:lang w:val="en-US" w:eastAsia="zh-CN"/>
              </w:rPr>
              <w:t>倍量替代</w:t>
            </w:r>
            <w:r>
              <w:rPr>
                <w:rFonts w:hint="eastAsia"/>
                <w:color w:val="auto"/>
                <w:lang w:eastAsia="zh-CN"/>
              </w:rPr>
              <w:t>）、</w:t>
            </w:r>
            <w:r>
              <w:rPr>
                <w:rFonts w:hint="eastAsia"/>
                <w:color w:val="auto"/>
                <w:lang w:val="en-US" w:eastAsia="zh-CN"/>
              </w:rPr>
              <w:t>氮氧化物0.082</w:t>
            </w:r>
            <w:r>
              <w:rPr>
                <w:rFonts w:hint="eastAsia"/>
                <w:color w:val="auto"/>
              </w:rPr>
              <w:t>t/a</w:t>
            </w:r>
            <w:r>
              <w:rPr>
                <w:rFonts w:hint="eastAsia"/>
                <w:color w:val="auto"/>
                <w:lang w:eastAsia="zh-CN"/>
              </w:rPr>
              <w:t>（</w:t>
            </w:r>
            <w:r>
              <w:rPr>
                <w:rFonts w:hint="eastAsia"/>
                <w:color w:val="auto"/>
                <w:lang w:val="en-US" w:eastAsia="zh-CN"/>
              </w:rPr>
              <w:t>倍量替代</w:t>
            </w:r>
            <w:r>
              <w:rPr>
                <w:rFonts w:hint="eastAsia"/>
                <w:color w:val="auto"/>
                <w:lang w:eastAsia="zh-CN"/>
              </w:rPr>
              <w:t>）。</w:t>
            </w:r>
          </w:p>
          <w:p w14:paraId="669A46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2" w:firstLineChars="200"/>
              <w:textAlignment w:val="auto"/>
              <w:rPr>
                <w:rFonts w:hint="default" w:ascii="Times New Roman" w:hAnsi="Times New Roman" w:cs="Times New Roman"/>
                <w:b/>
                <w:bCs/>
                <w:color w:val="auto"/>
                <w:kern w:val="0"/>
                <w:sz w:val="24"/>
                <w:szCs w:val="24"/>
                <w:lang w:eastAsia="zh-CN"/>
              </w:rPr>
            </w:pPr>
            <w:r>
              <w:rPr>
                <w:rFonts w:hint="default" w:ascii="Times New Roman" w:hAnsi="Times New Roman" w:cs="Times New Roman"/>
                <w:b/>
                <w:bCs/>
                <w:color w:val="auto"/>
                <w:kern w:val="0"/>
                <w:sz w:val="24"/>
                <w:szCs w:val="24"/>
                <w:lang w:eastAsia="zh-CN"/>
              </w:rPr>
              <w:t>3、排污</w:t>
            </w:r>
            <w:r>
              <w:rPr>
                <w:rFonts w:hint="eastAsia" w:ascii="Times New Roman" w:hAnsi="Times New Roman" w:cs="Times New Roman"/>
                <w:b/>
                <w:bCs/>
                <w:color w:val="auto"/>
                <w:kern w:val="0"/>
                <w:sz w:val="24"/>
                <w:szCs w:val="24"/>
                <w:lang w:eastAsia="zh-CN"/>
              </w:rPr>
              <w:t>权</w:t>
            </w:r>
            <w:r>
              <w:rPr>
                <w:rFonts w:hint="default" w:ascii="Times New Roman" w:hAnsi="Times New Roman" w:cs="Times New Roman"/>
                <w:b/>
                <w:bCs/>
                <w:color w:val="auto"/>
                <w:kern w:val="0"/>
                <w:sz w:val="24"/>
                <w:szCs w:val="24"/>
                <w:lang w:eastAsia="zh-CN"/>
              </w:rPr>
              <w:t>交易核定量</w:t>
            </w:r>
          </w:p>
          <w:p w14:paraId="343ECB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ascii="Times New Roman" w:hAnsi="Times New Roman" w:cs="Times New Roman"/>
                <w:color w:val="auto"/>
                <w:kern w:val="0"/>
                <w:sz w:val="24"/>
                <w:szCs w:val="24"/>
                <w:lang w:eastAsia="zh-CN"/>
              </w:rPr>
            </w:pPr>
            <w:r>
              <w:rPr>
                <w:rFonts w:hint="default" w:ascii="Times New Roman" w:hAnsi="Times New Roman" w:cs="Times New Roman"/>
                <w:color w:val="auto"/>
                <w:kern w:val="0"/>
                <w:sz w:val="24"/>
                <w:szCs w:val="24"/>
                <w:lang w:eastAsia="zh-CN"/>
              </w:rPr>
              <w:t>根据《安徽省排污权有偿使用和交易管理办法（试行）》，现阶段实施排污权交易的排污单位为全省列入排污许可重点和简化管理范围内有污染物许可排放量要求的排污单位。现阶段实施排污权交易的污染物种类为化学需氧量（COD）、氨氮（NH</w:t>
            </w:r>
            <w:r>
              <w:rPr>
                <w:rFonts w:hint="default" w:ascii="Times New Roman" w:hAnsi="Times New Roman" w:cs="Times New Roman"/>
                <w:color w:val="auto"/>
                <w:kern w:val="0"/>
                <w:sz w:val="24"/>
                <w:szCs w:val="24"/>
                <w:vertAlign w:val="subscript"/>
                <w:lang w:eastAsia="zh-CN"/>
              </w:rPr>
              <w:t>3</w:t>
            </w:r>
            <w:r>
              <w:rPr>
                <w:rFonts w:hint="default" w:ascii="Times New Roman" w:hAnsi="Times New Roman" w:cs="Times New Roman"/>
                <w:color w:val="auto"/>
                <w:kern w:val="0"/>
                <w:sz w:val="24"/>
                <w:szCs w:val="24"/>
                <w:lang w:eastAsia="zh-CN"/>
              </w:rPr>
              <w:t>-N）、二氧化硫（SO</w:t>
            </w:r>
            <w:r>
              <w:rPr>
                <w:rFonts w:hint="default" w:ascii="Times New Roman" w:hAnsi="Times New Roman" w:cs="Times New Roman"/>
                <w:color w:val="auto"/>
                <w:kern w:val="0"/>
                <w:sz w:val="24"/>
                <w:szCs w:val="24"/>
                <w:vertAlign w:val="subscript"/>
                <w:lang w:eastAsia="zh-CN"/>
              </w:rPr>
              <w:t>2</w:t>
            </w:r>
            <w:r>
              <w:rPr>
                <w:rFonts w:hint="default" w:ascii="Times New Roman" w:hAnsi="Times New Roman" w:cs="Times New Roman"/>
                <w:color w:val="auto"/>
                <w:kern w:val="0"/>
                <w:sz w:val="24"/>
                <w:szCs w:val="24"/>
                <w:lang w:eastAsia="zh-CN"/>
              </w:rPr>
              <w:t>）、氮氧化物（NOx）四类。</w:t>
            </w:r>
          </w:p>
          <w:p w14:paraId="01CC720C">
            <w:pPr>
              <w:pStyle w:val="46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color w:val="0000FF"/>
              </w:rPr>
            </w:pPr>
            <w:r>
              <w:rPr>
                <w:rFonts w:hint="default" w:ascii="Times New Roman" w:hAnsi="Times New Roman" w:eastAsia="宋体" w:cs="Times New Roman"/>
                <w:color w:val="auto"/>
                <w:kern w:val="0"/>
                <w:sz w:val="24"/>
                <w:szCs w:val="24"/>
                <w:lang w:eastAsia="zh-CN"/>
              </w:rPr>
              <w:t>根据《固定污染源排污许可分类管理名录（2019版）》可知，</w:t>
            </w:r>
            <w:r>
              <w:rPr>
                <w:rFonts w:hint="eastAsia" w:ascii="宋体" w:hAnsi="宋体" w:eastAsia="宋体" w:cs="宋体"/>
                <w:bCs/>
                <w:color w:val="auto"/>
                <w:sz w:val="24"/>
                <w:highlight w:val="none"/>
              </w:rPr>
              <w:t>本项目属于</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二十八、金属制品业</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中</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金属表面处理及热处理加工</w:t>
            </w:r>
            <w:r>
              <w:rPr>
                <w:rFonts w:hint="eastAsia" w:ascii="宋体" w:hAnsi="宋体" w:eastAsia="宋体" w:cs="宋体"/>
                <w:bCs/>
                <w:color w:val="auto"/>
                <w:sz w:val="24"/>
                <w:highlight w:val="none"/>
                <w:lang w:val="en-US" w:eastAsia="zh-CN"/>
              </w:rPr>
              <w:t>336</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中</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除重点管理以外的有酸洗、抛光</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电解抛光和化学抛光</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、热浸镀</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溶剂法</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、淬火或者无铬钝化等工序的、年使用10吨及以上有机溶剂的</w:t>
            </w:r>
            <w:r>
              <w:rPr>
                <w:rFonts w:hint="eastAsia" w:ascii="宋体" w:hAnsi="宋体" w:eastAsia="宋体" w:cs="宋体"/>
                <w:bCs/>
                <w:color w:val="auto"/>
                <w:sz w:val="24"/>
                <w:highlight w:val="none"/>
                <w:lang w:eastAsia="zh-CN"/>
              </w:rPr>
              <w:t>”</w:t>
            </w:r>
            <w:r>
              <w:rPr>
                <w:rStyle w:val="67"/>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kern w:val="0"/>
                <w:sz w:val="24"/>
                <w:szCs w:val="24"/>
                <w:lang w:eastAsia="zh-CN"/>
              </w:rPr>
              <w:t>排污许可类别为</w:t>
            </w:r>
            <w:r>
              <w:rPr>
                <w:rFonts w:hint="default" w:ascii="Times New Roman" w:hAnsi="Times New Roman" w:cs="Times New Roman"/>
                <w:color w:val="auto"/>
                <w:kern w:val="0"/>
                <w:sz w:val="24"/>
                <w:szCs w:val="24"/>
                <w:lang w:val="en-US" w:eastAsia="zh-CN"/>
              </w:rPr>
              <w:t>简化</w:t>
            </w:r>
            <w:r>
              <w:rPr>
                <w:rFonts w:hint="default" w:ascii="Times New Roman" w:hAnsi="Times New Roman" w:eastAsia="宋体" w:cs="Times New Roman"/>
                <w:color w:val="auto"/>
                <w:kern w:val="0"/>
                <w:sz w:val="24"/>
                <w:szCs w:val="24"/>
                <w:lang w:eastAsia="zh-CN"/>
              </w:rPr>
              <w:t>管理，需要进行排污权交易</w:t>
            </w:r>
            <w:r>
              <w:rPr>
                <w:rFonts w:hint="default"/>
                <w:lang w:eastAsia="zh-CN"/>
              </w:rPr>
              <w:t>。</w:t>
            </w:r>
          </w:p>
        </w:tc>
      </w:tr>
    </w:tbl>
    <w:p w14:paraId="4E97BAAB">
      <w:pPr>
        <w:pStyle w:val="46"/>
        <w:spacing w:before="120" w:beforeLines="50" w:beforeAutospacing="0" w:after="0" w:afterAutospacing="0" w:line="360" w:lineRule="auto"/>
        <w:jc w:val="center"/>
        <w:outlineLvl w:val="0"/>
        <w:rPr>
          <w:rFonts w:hint="default" w:ascii="Times New Roman" w:hAnsi="Times New Roman" w:eastAsia="宋体" w:cs="Times New Roman"/>
          <w:snapToGrid w:val="0"/>
          <w:color w:val="0000FF"/>
          <w:sz w:val="36"/>
          <w:szCs w:val="36"/>
        </w:rPr>
        <w:sectPr>
          <w:headerReference r:id="rId8" w:type="default"/>
          <w:footerReference r:id="rId9" w:type="default"/>
          <w:pgSz w:w="11907" w:h="16840"/>
          <w:pgMar w:top="1440" w:right="1440" w:bottom="1440" w:left="1440" w:header="851" w:footer="851" w:gutter="0"/>
          <w:pgBorders>
            <w:top w:val="none" w:sz="0" w:space="0"/>
            <w:left w:val="none" w:sz="0" w:space="0"/>
            <w:bottom w:val="none" w:sz="0" w:space="0"/>
            <w:right w:val="none" w:sz="0" w:space="0"/>
          </w:pgBorders>
          <w:pgNumType w:fmt="numberInDash"/>
          <w:cols w:space="720" w:num="1"/>
          <w:docGrid w:linePitch="312" w:charSpace="0"/>
        </w:sectPr>
      </w:pPr>
    </w:p>
    <w:p w14:paraId="738025C9">
      <w:pPr>
        <w:pStyle w:val="46"/>
        <w:numPr>
          <w:ilvl w:val="0"/>
          <w:numId w:val="0"/>
        </w:numPr>
        <w:spacing w:before="120" w:beforeLines="50" w:beforeAutospacing="0" w:after="0" w:afterAutospacing="0" w:line="360" w:lineRule="auto"/>
        <w:jc w:val="center"/>
        <w:outlineLvl w:val="0"/>
        <w:rPr>
          <w:rFonts w:hint="default" w:ascii="Times New Roman" w:hAnsi="Times New Roman" w:eastAsia="宋体" w:cs="Times New Roman"/>
          <w:b/>
          <w:snapToGrid w:val="0"/>
          <w:color w:val="auto"/>
          <w:sz w:val="28"/>
          <w:szCs w:val="28"/>
        </w:rPr>
      </w:pPr>
      <w:bookmarkStart w:id="9" w:name="_Toc120118375"/>
      <w:r>
        <w:rPr>
          <w:rFonts w:hint="default" w:ascii="Times New Roman" w:hAnsi="Times New Roman" w:eastAsia="宋体" w:cs="Times New Roman"/>
          <w:b/>
          <w:snapToGrid w:val="0"/>
          <w:color w:val="auto"/>
          <w:kern w:val="0"/>
          <w:sz w:val="28"/>
          <w:szCs w:val="28"/>
          <w:lang w:val="en-US" w:eastAsia="zh-CN" w:bidi="ar-SA"/>
        </w:rPr>
        <w:t>四、</w:t>
      </w:r>
      <w:r>
        <w:rPr>
          <w:rFonts w:hint="default" w:ascii="Times New Roman" w:hAnsi="Times New Roman" w:eastAsia="宋体" w:cs="Times New Roman"/>
          <w:b/>
          <w:snapToGrid w:val="0"/>
          <w:color w:val="auto"/>
          <w:sz w:val="28"/>
          <w:szCs w:val="28"/>
        </w:rPr>
        <w:t>主要环境影响和保护措施</w:t>
      </w:r>
      <w:bookmarkEnd w:id="9"/>
    </w:p>
    <w:tbl>
      <w:tblPr>
        <w:tblStyle w:val="52"/>
        <w:tblW w:w="142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3420"/>
      </w:tblGrid>
      <w:tr w14:paraId="37CCCB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850" w:type="dxa"/>
            <w:noWrap w:val="0"/>
            <w:tcMar>
              <w:left w:w="28" w:type="dxa"/>
              <w:right w:w="28" w:type="dxa"/>
            </w:tcMar>
            <w:vAlign w:val="center"/>
          </w:tcPr>
          <w:p w14:paraId="321438EE">
            <w:pPr>
              <w:pStyle w:val="46"/>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default" w:ascii="Times New Roman" w:hAnsi="Times New Roman" w:eastAsia="宋体"/>
                <w:bCs/>
                <w:color w:val="auto"/>
                <w:kern w:val="2"/>
                <w:szCs w:val="24"/>
              </w:rPr>
            </w:pPr>
            <w:r>
              <w:rPr>
                <w:rFonts w:hint="default" w:ascii="Times New Roman" w:eastAsia="宋体"/>
                <w:color w:val="auto"/>
                <w:kern w:val="2"/>
                <w:szCs w:val="24"/>
              </w:rPr>
              <w:t>施工期环境保护措施</w:t>
            </w:r>
          </w:p>
        </w:tc>
        <w:tc>
          <w:tcPr>
            <w:tcW w:w="13420" w:type="dxa"/>
            <w:noWrap w:val="0"/>
            <w:vAlign w:val="center"/>
          </w:tcPr>
          <w:p w14:paraId="62E952DC">
            <w:pPr>
              <w:keepNext w:val="0"/>
              <w:keepLines w:val="0"/>
              <w:suppressLineNumbers w:val="0"/>
              <w:spacing w:before="0" w:beforeAutospacing="0" w:after="0" w:afterAutospacing="0" w:line="460" w:lineRule="exact"/>
              <w:ind w:left="0" w:right="0" w:firstLine="480" w:firstLineChars="200"/>
              <w:jc w:val="center"/>
              <w:rPr>
                <w:rFonts w:hint="default" w:eastAsia="宋体"/>
                <w:bCs/>
                <w:color w:val="auto"/>
                <w:spacing w:val="-10"/>
                <w:szCs w:val="21"/>
              </w:rPr>
            </w:pPr>
            <w:r>
              <w:rPr>
                <w:rFonts w:hint="default" w:hAnsi="宋体" w:eastAsia="宋体"/>
                <w:color w:val="auto"/>
                <w:sz w:val="24"/>
              </w:rPr>
              <w:t>根据现场看出，项目</w:t>
            </w:r>
            <w:r>
              <w:rPr>
                <w:rFonts w:hint="eastAsia" w:hAnsi="宋体"/>
                <w:color w:val="auto"/>
                <w:sz w:val="24"/>
                <w:lang w:val="en-US" w:eastAsia="zh-CN"/>
              </w:rPr>
              <w:t>租赁现有</w:t>
            </w:r>
            <w:r>
              <w:rPr>
                <w:rFonts w:hint="default" w:hAnsi="宋体" w:eastAsia="宋体"/>
                <w:color w:val="auto"/>
                <w:sz w:val="24"/>
              </w:rPr>
              <w:t>厂房进行建设，施工期主要进行设备安装调试等，不涉及土建工程，施工期影响较小。</w:t>
            </w:r>
          </w:p>
        </w:tc>
      </w:tr>
      <w:tr w14:paraId="3294A1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3" w:hRule="atLeast"/>
          <w:jc w:val="center"/>
        </w:trPr>
        <w:tc>
          <w:tcPr>
            <w:tcW w:w="850" w:type="dxa"/>
            <w:noWrap w:val="0"/>
            <w:tcMar>
              <w:left w:w="28" w:type="dxa"/>
              <w:right w:w="28" w:type="dxa"/>
            </w:tcMar>
            <w:vAlign w:val="center"/>
          </w:tcPr>
          <w:p w14:paraId="24BAF33E">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p>
          <w:p w14:paraId="5B784D5F">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p>
          <w:p w14:paraId="0C96EADD">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p>
          <w:p w14:paraId="71217A41">
            <w:pPr>
              <w:keepNext w:val="0"/>
              <w:keepLines w:val="0"/>
              <w:suppressLineNumbers w:val="0"/>
              <w:adjustRightInd w:val="0"/>
              <w:snapToGrid w:val="0"/>
              <w:spacing w:before="0" w:beforeAutospacing="0" w:after="0" w:afterAutospacing="0" w:line="440" w:lineRule="exact"/>
              <w:ind w:left="0" w:right="0"/>
              <w:jc w:val="center"/>
              <w:rPr>
                <w:rFonts w:hint="default" w:hAnsi="宋体" w:eastAsia="宋体"/>
                <w:bCs/>
                <w:color w:val="auto"/>
                <w:sz w:val="24"/>
              </w:rPr>
            </w:pPr>
          </w:p>
          <w:p w14:paraId="08D529C8">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r>
              <w:rPr>
                <w:rFonts w:hint="default" w:hAnsi="宋体" w:eastAsia="宋体"/>
                <w:bCs/>
                <w:color w:val="auto"/>
                <w:sz w:val="24"/>
              </w:rPr>
              <w:t>运营</w:t>
            </w:r>
          </w:p>
          <w:p w14:paraId="2897A3DD">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r>
              <w:rPr>
                <w:rFonts w:hint="default" w:hAnsi="宋体" w:eastAsia="宋体"/>
                <w:bCs/>
                <w:color w:val="auto"/>
                <w:sz w:val="24"/>
              </w:rPr>
              <w:t>期环</w:t>
            </w:r>
          </w:p>
          <w:p w14:paraId="4C9507CF">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r>
              <w:rPr>
                <w:rFonts w:hint="default" w:hAnsi="宋体" w:eastAsia="宋体"/>
                <w:bCs/>
                <w:color w:val="auto"/>
                <w:sz w:val="24"/>
              </w:rPr>
              <w:t>境影</w:t>
            </w:r>
          </w:p>
          <w:p w14:paraId="680F1F6B">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r>
              <w:rPr>
                <w:rFonts w:hint="default" w:hAnsi="宋体" w:eastAsia="宋体"/>
                <w:bCs/>
                <w:color w:val="auto"/>
                <w:sz w:val="24"/>
              </w:rPr>
              <w:t>响和</w:t>
            </w:r>
          </w:p>
          <w:p w14:paraId="12F68047">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r>
              <w:rPr>
                <w:rFonts w:hint="default" w:hAnsi="宋体" w:eastAsia="宋体"/>
                <w:bCs/>
                <w:color w:val="auto"/>
                <w:sz w:val="24"/>
              </w:rPr>
              <w:t>保护</w:t>
            </w:r>
          </w:p>
          <w:p w14:paraId="194B830D">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r>
              <w:rPr>
                <w:rFonts w:hint="default" w:hAnsi="宋体" w:eastAsia="宋体"/>
                <w:bCs/>
                <w:color w:val="auto"/>
                <w:sz w:val="24"/>
              </w:rPr>
              <w:t>措施</w:t>
            </w:r>
          </w:p>
          <w:p w14:paraId="4E636C8E">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p>
          <w:p w14:paraId="69BDE5FC">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p>
          <w:p w14:paraId="4C73F26E">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p>
          <w:p w14:paraId="270C450D">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p>
          <w:p w14:paraId="38F78CDC">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p>
          <w:p w14:paraId="5D19969D">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p>
          <w:p w14:paraId="1A7A8C3C">
            <w:pPr>
              <w:pStyle w:val="46"/>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bCs/>
                <w:color w:val="auto"/>
                <w:kern w:val="2"/>
                <w:szCs w:val="24"/>
              </w:rPr>
            </w:pPr>
          </w:p>
          <w:p w14:paraId="4C243A6E">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p>
          <w:p w14:paraId="2CC6B12D">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p>
          <w:p w14:paraId="7CDF094D">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p>
          <w:p w14:paraId="463BDB9F">
            <w:pPr>
              <w:keepNext w:val="0"/>
              <w:keepLines w:val="0"/>
              <w:suppressLineNumbers w:val="0"/>
              <w:adjustRightInd w:val="0"/>
              <w:snapToGrid w:val="0"/>
              <w:spacing w:before="0" w:beforeAutospacing="0" w:after="0" w:afterAutospacing="0" w:line="440" w:lineRule="exact"/>
              <w:ind w:left="0" w:right="0"/>
              <w:jc w:val="center"/>
              <w:rPr>
                <w:rFonts w:hint="default" w:hAnsi="宋体" w:eastAsia="宋体"/>
                <w:bCs/>
                <w:color w:val="auto"/>
                <w:sz w:val="24"/>
              </w:rPr>
            </w:pPr>
          </w:p>
          <w:p w14:paraId="16D98C6E">
            <w:pPr>
              <w:keepNext w:val="0"/>
              <w:keepLines w:val="0"/>
              <w:suppressLineNumbers w:val="0"/>
              <w:adjustRightInd w:val="0"/>
              <w:snapToGrid w:val="0"/>
              <w:spacing w:before="0" w:beforeAutospacing="0" w:after="0" w:afterAutospacing="0" w:line="440" w:lineRule="exact"/>
              <w:ind w:left="0" w:right="0"/>
              <w:jc w:val="both"/>
              <w:rPr>
                <w:rFonts w:hint="default" w:hAnsi="宋体" w:eastAsia="宋体"/>
                <w:bCs/>
                <w:color w:val="auto"/>
                <w:sz w:val="24"/>
              </w:rPr>
            </w:pPr>
          </w:p>
          <w:p w14:paraId="1DEF1D9B">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r>
              <w:rPr>
                <w:rFonts w:hint="default" w:hAnsi="宋体" w:eastAsia="宋体"/>
                <w:bCs/>
                <w:color w:val="auto"/>
                <w:sz w:val="24"/>
              </w:rPr>
              <w:t>运营</w:t>
            </w:r>
          </w:p>
          <w:p w14:paraId="2E434DC9">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r>
              <w:rPr>
                <w:rFonts w:hint="default" w:hAnsi="宋体" w:eastAsia="宋体"/>
                <w:bCs/>
                <w:color w:val="auto"/>
                <w:sz w:val="24"/>
              </w:rPr>
              <w:t>期环</w:t>
            </w:r>
          </w:p>
          <w:p w14:paraId="0A034681">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r>
              <w:rPr>
                <w:rFonts w:hint="default" w:hAnsi="宋体" w:eastAsia="宋体"/>
                <w:bCs/>
                <w:color w:val="auto"/>
                <w:sz w:val="24"/>
              </w:rPr>
              <w:t>境影</w:t>
            </w:r>
          </w:p>
          <w:p w14:paraId="2F787A86">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r>
              <w:rPr>
                <w:rFonts w:hint="default" w:hAnsi="宋体" w:eastAsia="宋体"/>
                <w:bCs/>
                <w:color w:val="auto"/>
                <w:sz w:val="24"/>
              </w:rPr>
              <w:t>响和</w:t>
            </w:r>
          </w:p>
          <w:p w14:paraId="0ACB026D">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r>
              <w:rPr>
                <w:rFonts w:hint="default" w:hAnsi="宋体" w:eastAsia="宋体"/>
                <w:bCs/>
                <w:color w:val="auto"/>
                <w:sz w:val="24"/>
              </w:rPr>
              <w:t>保护</w:t>
            </w:r>
          </w:p>
          <w:p w14:paraId="159CCDAD">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r>
              <w:rPr>
                <w:rFonts w:hint="default" w:hAnsi="宋体" w:eastAsia="宋体"/>
                <w:bCs/>
                <w:color w:val="auto"/>
                <w:sz w:val="24"/>
              </w:rPr>
              <w:t>措施</w:t>
            </w:r>
          </w:p>
          <w:p w14:paraId="4B68F51F">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p>
          <w:p w14:paraId="3C1F4B92">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p>
          <w:p w14:paraId="4125F936">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p>
          <w:p w14:paraId="377024F4">
            <w:pPr>
              <w:keepNext w:val="0"/>
              <w:keepLines w:val="0"/>
              <w:suppressLineNumbers w:val="0"/>
              <w:adjustRightInd w:val="0"/>
              <w:snapToGrid w:val="0"/>
              <w:spacing w:before="0" w:beforeAutospacing="0" w:after="0" w:afterAutospacing="0" w:line="440" w:lineRule="exact"/>
              <w:ind w:left="0" w:right="0"/>
              <w:jc w:val="center"/>
              <w:rPr>
                <w:rFonts w:hint="default" w:eastAsia="宋体"/>
                <w:bCs/>
                <w:color w:val="auto"/>
                <w:sz w:val="24"/>
              </w:rPr>
            </w:pPr>
          </w:p>
          <w:p w14:paraId="5D95E44B">
            <w:pPr>
              <w:pStyle w:val="46"/>
              <w:keepNext w:val="0"/>
              <w:keepLines w:val="0"/>
              <w:suppressLineNumbers w:val="0"/>
              <w:adjustRightInd w:val="0"/>
              <w:snapToGrid w:val="0"/>
              <w:spacing w:before="0" w:beforeAutospacing="0" w:after="0" w:afterAutospacing="0" w:line="440" w:lineRule="exact"/>
              <w:ind w:left="0" w:right="0"/>
              <w:jc w:val="both"/>
              <w:rPr>
                <w:rFonts w:hint="eastAsia" w:ascii="Times New Roman" w:hAnsi="Times New Roman" w:eastAsia="宋体"/>
                <w:bCs/>
                <w:color w:val="auto"/>
                <w:kern w:val="2"/>
                <w:szCs w:val="24"/>
              </w:rPr>
            </w:pPr>
          </w:p>
          <w:p w14:paraId="0B1618C0">
            <w:pPr>
              <w:pStyle w:val="46"/>
              <w:keepNext w:val="0"/>
              <w:keepLines w:val="0"/>
              <w:suppressLineNumbers w:val="0"/>
              <w:adjustRightInd w:val="0"/>
              <w:snapToGrid w:val="0"/>
              <w:spacing w:before="0" w:beforeAutospacing="0" w:after="0" w:afterAutospacing="0" w:line="440" w:lineRule="exact"/>
              <w:ind w:left="0" w:right="0"/>
              <w:jc w:val="both"/>
              <w:rPr>
                <w:rFonts w:hint="eastAsia" w:ascii="Times New Roman" w:hAnsi="Times New Roman" w:eastAsia="宋体"/>
                <w:bCs/>
                <w:color w:val="auto"/>
                <w:kern w:val="2"/>
                <w:szCs w:val="24"/>
              </w:rPr>
            </w:pPr>
          </w:p>
          <w:p w14:paraId="73442788">
            <w:pPr>
              <w:pStyle w:val="46"/>
              <w:keepNext w:val="0"/>
              <w:keepLines w:val="0"/>
              <w:suppressLineNumbers w:val="0"/>
              <w:adjustRightInd w:val="0"/>
              <w:snapToGrid w:val="0"/>
              <w:spacing w:before="0" w:beforeAutospacing="0" w:after="0" w:afterAutospacing="0" w:line="440" w:lineRule="exact"/>
              <w:ind w:left="0" w:right="0"/>
              <w:jc w:val="both"/>
              <w:rPr>
                <w:rFonts w:hint="eastAsia" w:ascii="Times New Roman" w:hAnsi="Times New Roman" w:eastAsia="宋体"/>
                <w:bCs/>
                <w:color w:val="auto"/>
                <w:kern w:val="2"/>
                <w:szCs w:val="24"/>
              </w:rPr>
            </w:pPr>
          </w:p>
        </w:tc>
        <w:tc>
          <w:tcPr>
            <w:tcW w:w="13420" w:type="dxa"/>
            <w:noWrap w:val="0"/>
            <w:vAlign w:val="top"/>
          </w:tcPr>
          <w:p w14:paraId="6FBC90A9">
            <w:pPr>
              <w:keepNext w:val="0"/>
              <w:keepLines w:val="0"/>
              <w:pageBreakBefore w:val="0"/>
              <w:widowControl w:val="0"/>
              <w:numPr>
                <w:ilvl w:val="0"/>
                <w:numId w:val="0"/>
              </w:numPr>
              <w:suppressLineNumbers w:val="0"/>
              <w:kinsoku/>
              <w:wordWrap/>
              <w:overflowPunct/>
              <w:topLinePunct w:val="0"/>
              <w:autoSpaceDE/>
              <w:autoSpaceDN/>
              <w:bidi w:val="0"/>
              <w:adjustRightInd w:val="0"/>
              <w:spacing w:before="0" w:beforeAutospacing="0" w:after="0" w:afterAutospacing="0" w:line="440" w:lineRule="atLeast"/>
              <w:ind w:left="0" w:right="0" w:firstLine="442" w:firstLineChars="200"/>
              <w:textAlignment w:val="auto"/>
              <w:rPr>
                <w:rFonts w:hint="default" w:ascii="Times New Roman" w:hAnsi="Times New Roman" w:eastAsia="宋体" w:cs="Times New Roman"/>
                <w:b/>
                <w:bCs/>
                <w:color w:val="auto"/>
                <w:spacing w:val="-10"/>
                <w:sz w:val="24"/>
              </w:rPr>
            </w:pPr>
            <w:r>
              <w:rPr>
                <w:rFonts w:hint="default" w:ascii="Times New Roman" w:hAnsi="Times New Roman" w:eastAsia="宋体" w:cs="Times New Roman"/>
                <w:b/>
                <w:bCs/>
                <w:color w:val="auto"/>
                <w:spacing w:val="-10"/>
                <w:sz w:val="24"/>
                <w:lang w:val="en-US" w:eastAsia="zh-CN"/>
              </w:rPr>
              <w:t>1、</w:t>
            </w:r>
            <w:r>
              <w:rPr>
                <w:rFonts w:hint="default" w:ascii="Times New Roman" w:hAnsi="Times New Roman" w:eastAsia="宋体" w:cs="Times New Roman"/>
                <w:b/>
                <w:bCs/>
                <w:color w:val="auto"/>
                <w:spacing w:val="-10"/>
                <w:sz w:val="24"/>
              </w:rPr>
              <w:t>废气</w:t>
            </w:r>
          </w:p>
          <w:p w14:paraId="0867C867">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440" w:lineRule="atLeast"/>
              <w:ind w:left="0" w:right="0" w:firstLine="442" w:firstLineChars="200"/>
              <w:textAlignment w:val="auto"/>
              <w:rPr>
                <w:rFonts w:hint="default" w:eastAsia="宋体"/>
                <w:b/>
                <w:bCs/>
                <w:color w:val="auto"/>
                <w:spacing w:val="-10"/>
                <w:sz w:val="24"/>
              </w:rPr>
            </w:pPr>
            <w:r>
              <w:rPr>
                <w:rFonts w:hint="default" w:ascii="Times New Roman" w:hAnsi="Times New Roman" w:eastAsia="宋体" w:cs="Times New Roman"/>
                <w:b/>
                <w:bCs/>
                <w:color w:val="auto"/>
                <w:spacing w:val="-10"/>
                <w:sz w:val="24"/>
                <w:lang w:val="en-US" w:eastAsia="zh-CN"/>
              </w:rPr>
              <w:t>1.1</w:t>
            </w:r>
            <w:r>
              <w:rPr>
                <w:rFonts w:hint="default" w:ascii="Times New Roman" w:hAnsi="Times New Roman" w:eastAsia="宋体" w:cs="Times New Roman"/>
                <w:b/>
                <w:bCs/>
                <w:color w:val="auto"/>
                <w:spacing w:val="-10"/>
                <w:sz w:val="24"/>
              </w:rPr>
              <w:t>项目污染物产生及排放情况</w:t>
            </w:r>
          </w:p>
          <w:p w14:paraId="2800A2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jc w:val="center"/>
              <w:textAlignment w:val="auto"/>
              <w:rPr>
                <w:rFonts w:hint="default" w:eastAsia="宋体"/>
                <w:b/>
                <w:bCs/>
                <w:color w:val="0000FF"/>
                <w:szCs w:val="21"/>
              </w:rPr>
            </w:pPr>
            <w:r>
              <w:rPr>
                <w:rFonts w:hint="default" w:ascii="Times New Roman" w:hAnsi="Times New Roman" w:eastAsia="宋体" w:cs="Times New Roman"/>
                <w:b/>
                <w:bCs/>
                <w:color w:val="auto"/>
                <w:szCs w:val="21"/>
              </w:rPr>
              <w:t xml:space="preserve">表4-1 </w:t>
            </w:r>
            <w:r>
              <w:rPr>
                <w:rFonts w:hint="default" w:eastAsia="宋体"/>
                <w:b/>
                <w:bCs/>
                <w:color w:val="auto"/>
                <w:szCs w:val="21"/>
              </w:rPr>
              <w:t xml:space="preserve"> </w:t>
            </w:r>
            <w:r>
              <w:rPr>
                <w:rFonts w:hint="default" w:hAnsi="宋体" w:eastAsia="宋体"/>
                <w:b/>
                <w:bCs/>
                <w:color w:val="auto"/>
                <w:szCs w:val="21"/>
              </w:rPr>
              <w:t>项目废气污染物产生、排放情况一览表</w:t>
            </w:r>
          </w:p>
          <w:tbl>
            <w:tblPr>
              <w:tblStyle w:val="5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fixed"/>
              <w:tblCellMar>
                <w:top w:w="0" w:type="dxa"/>
                <w:left w:w="108" w:type="dxa"/>
                <w:bottom w:w="0" w:type="dxa"/>
                <w:right w:w="108" w:type="dxa"/>
              </w:tblCellMar>
            </w:tblPr>
            <w:tblGrid>
              <w:gridCol w:w="607"/>
              <w:gridCol w:w="708"/>
              <w:gridCol w:w="1233"/>
              <w:gridCol w:w="882"/>
              <w:gridCol w:w="916"/>
              <w:gridCol w:w="818"/>
              <w:gridCol w:w="866"/>
              <w:gridCol w:w="2365"/>
              <w:gridCol w:w="702"/>
              <w:gridCol w:w="1059"/>
              <w:gridCol w:w="1016"/>
              <w:gridCol w:w="1045"/>
              <w:gridCol w:w="972"/>
            </w:tblGrid>
            <w:tr w14:paraId="52CF9366">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225" w:hRule="atLeast"/>
                <w:jc w:val="center"/>
              </w:trPr>
              <w:tc>
                <w:tcPr>
                  <w:tcW w:w="230" w:type="pct"/>
                  <w:vMerge w:val="restart"/>
                  <w:tcBorders>
                    <w:tl2br w:val="nil"/>
                    <w:tr2bl w:val="nil"/>
                  </w:tcBorders>
                  <w:noWrap w:val="0"/>
                  <w:vAlign w:val="center"/>
                </w:tcPr>
                <w:p w14:paraId="52042D97">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产排污</w:t>
                  </w:r>
                </w:p>
                <w:p w14:paraId="0A89EFA4">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环节</w:t>
                  </w:r>
                </w:p>
              </w:tc>
              <w:tc>
                <w:tcPr>
                  <w:tcW w:w="268" w:type="pct"/>
                  <w:vMerge w:val="restart"/>
                  <w:tcBorders>
                    <w:tl2br w:val="nil"/>
                    <w:tr2bl w:val="nil"/>
                  </w:tcBorders>
                  <w:noWrap w:val="0"/>
                  <w:vAlign w:val="center"/>
                </w:tcPr>
                <w:p w14:paraId="2033DD1F">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废气排放</w:t>
                  </w:r>
                  <w:r>
                    <w:rPr>
                      <w:rFonts w:hint="default" w:ascii="Times New Roman" w:hAnsi="Times New Roman" w:eastAsia="Times New Roman" w:cs="Times New Roman"/>
                      <w:b/>
                      <w:color w:val="auto"/>
                      <w:sz w:val="21"/>
                      <w:szCs w:val="21"/>
                    </w:rPr>
                    <w:t>类别</w:t>
                  </w:r>
                </w:p>
              </w:tc>
              <w:tc>
                <w:tcPr>
                  <w:tcW w:w="467" w:type="pct"/>
                  <w:vMerge w:val="restart"/>
                  <w:tcBorders>
                    <w:tl2br w:val="nil"/>
                    <w:tr2bl w:val="nil"/>
                  </w:tcBorders>
                  <w:noWrap w:val="0"/>
                  <w:vAlign w:val="center"/>
                </w:tcPr>
                <w:p w14:paraId="306FF2B5">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Times New Roman" w:cs="Times New Roman"/>
                      <w:b/>
                      <w:color w:val="auto"/>
                      <w:sz w:val="21"/>
                      <w:szCs w:val="21"/>
                    </w:rPr>
                  </w:pPr>
                  <w:r>
                    <w:rPr>
                      <w:rFonts w:hint="default" w:ascii="Times New Roman" w:hAnsi="Times New Roman" w:eastAsia="Times New Roman" w:cs="Times New Roman"/>
                      <w:b/>
                      <w:color w:val="auto"/>
                      <w:sz w:val="21"/>
                      <w:szCs w:val="21"/>
                    </w:rPr>
                    <w:t>污染物</w:t>
                  </w:r>
                </w:p>
                <w:p w14:paraId="1126F9AE">
                  <w:pPr>
                    <w:keepNext w:val="0"/>
                    <w:keepLines w:val="0"/>
                    <w:suppressLineNumbers w:val="0"/>
                    <w:spacing w:before="0" w:beforeAutospacing="0" w:after="0" w:afterAutospacing="0" w:line="240" w:lineRule="auto"/>
                    <w:ind w:left="-50" w:leftChars="0" w:right="-50" w:rightChars="0"/>
                    <w:jc w:val="center"/>
                    <w:rPr>
                      <w:rFonts w:hint="default" w:ascii="Times New Roman" w:hAnsi="Times New Roman" w:eastAsia="宋体" w:cs="Times New Roman"/>
                      <w:b/>
                      <w:color w:val="auto"/>
                      <w:sz w:val="21"/>
                      <w:szCs w:val="21"/>
                    </w:rPr>
                  </w:pPr>
                  <w:r>
                    <w:rPr>
                      <w:rFonts w:hint="default" w:ascii="Times New Roman" w:hAnsi="Times New Roman" w:eastAsia="Times New Roman" w:cs="Times New Roman"/>
                      <w:b/>
                      <w:color w:val="auto"/>
                      <w:sz w:val="21"/>
                      <w:szCs w:val="21"/>
                    </w:rPr>
                    <w:t>种类</w:t>
                  </w:r>
                </w:p>
              </w:tc>
              <w:tc>
                <w:tcPr>
                  <w:tcW w:w="334" w:type="pct"/>
                  <w:vMerge w:val="restart"/>
                  <w:tcBorders>
                    <w:tl2br w:val="nil"/>
                    <w:tr2bl w:val="nil"/>
                  </w:tcBorders>
                  <w:noWrap w:val="0"/>
                  <w:vAlign w:val="center"/>
                </w:tcPr>
                <w:p w14:paraId="5041929E">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风量</w:t>
                  </w:r>
                </w:p>
                <w:p w14:paraId="0D1FD0DC">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m</w:t>
                  </w:r>
                  <w:r>
                    <w:rPr>
                      <w:rFonts w:hint="default" w:ascii="Times New Roman" w:hAnsi="Times New Roman" w:eastAsia="宋体" w:cs="Times New Roman"/>
                      <w:b/>
                      <w:color w:val="auto"/>
                      <w:sz w:val="21"/>
                      <w:szCs w:val="21"/>
                      <w:vertAlign w:val="superscript"/>
                    </w:rPr>
                    <w:t>3</w:t>
                  </w:r>
                  <w:r>
                    <w:rPr>
                      <w:rFonts w:hint="default" w:ascii="Times New Roman" w:hAnsi="Times New Roman" w:eastAsia="宋体" w:cs="Times New Roman"/>
                      <w:b/>
                      <w:color w:val="auto"/>
                      <w:sz w:val="21"/>
                      <w:szCs w:val="21"/>
                    </w:rPr>
                    <w:t>/h</w:t>
                  </w:r>
                </w:p>
              </w:tc>
              <w:tc>
                <w:tcPr>
                  <w:tcW w:w="985" w:type="pct"/>
                  <w:gridSpan w:val="3"/>
                  <w:tcBorders>
                    <w:tl2br w:val="nil"/>
                    <w:tr2bl w:val="nil"/>
                  </w:tcBorders>
                  <w:noWrap w:val="0"/>
                  <w:vAlign w:val="center"/>
                </w:tcPr>
                <w:p w14:paraId="3F08FB8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污染物产生情况</w:t>
                  </w:r>
                </w:p>
              </w:tc>
              <w:tc>
                <w:tcPr>
                  <w:tcW w:w="896" w:type="pct"/>
                  <w:vMerge w:val="restart"/>
                  <w:tcBorders>
                    <w:tl2br w:val="nil"/>
                    <w:tr2bl w:val="nil"/>
                  </w:tcBorders>
                  <w:noWrap w:val="0"/>
                  <w:vAlign w:val="center"/>
                </w:tcPr>
                <w:p w14:paraId="02CFE78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治理措施</w:t>
                  </w:r>
                </w:p>
              </w:tc>
              <w:tc>
                <w:tcPr>
                  <w:tcW w:w="266" w:type="pct"/>
                  <w:vMerge w:val="restart"/>
                  <w:tcBorders>
                    <w:tl2br w:val="nil"/>
                    <w:tr2bl w:val="nil"/>
                  </w:tcBorders>
                  <w:noWrap w:val="0"/>
                  <w:vAlign w:val="center"/>
                </w:tcPr>
                <w:p w14:paraId="173ABE92">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去除率</w:t>
                  </w:r>
                </w:p>
              </w:tc>
              <w:tc>
                <w:tcPr>
                  <w:tcW w:w="1182" w:type="pct"/>
                  <w:gridSpan w:val="3"/>
                  <w:tcBorders>
                    <w:tl2br w:val="nil"/>
                    <w:tr2bl w:val="nil"/>
                  </w:tcBorders>
                  <w:noWrap w:val="0"/>
                  <w:vAlign w:val="center"/>
                </w:tcPr>
                <w:p w14:paraId="5AC5FB6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污染物排放情况</w:t>
                  </w:r>
                </w:p>
              </w:tc>
              <w:tc>
                <w:tcPr>
                  <w:tcW w:w="368" w:type="pct"/>
                  <w:vMerge w:val="restart"/>
                  <w:tcBorders>
                    <w:tl2br w:val="nil"/>
                    <w:tr2bl w:val="nil"/>
                  </w:tcBorders>
                  <w:noWrap w:val="0"/>
                  <w:vAlign w:val="center"/>
                </w:tcPr>
                <w:p w14:paraId="255E77F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排气筒编号</w:t>
                  </w:r>
                </w:p>
              </w:tc>
            </w:tr>
            <w:tr w14:paraId="73DC8441">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334" w:hRule="atLeast"/>
                <w:jc w:val="center"/>
              </w:trPr>
              <w:tc>
                <w:tcPr>
                  <w:tcW w:w="230" w:type="pct"/>
                  <w:vMerge w:val="continue"/>
                  <w:tcBorders>
                    <w:tl2br w:val="nil"/>
                    <w:tr2bl w:val="nil"/>
                  </w:tcBorders>
                  <w:noWrap w:val="0"/>
                  <w:vAlign w:val="center"/>
                </w:tcPr>
                <w:p w14:paraId="67BFC4DE">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1"/>
                      <w:szCs w:val="21"/>
                    </w:rPr>
                  </w:pPr>
                </w:p>
              </w:tc>
              <w:tc>
                <w:tcPr>
                  <w:tcW w:w="268" w:type="pct"/>
                  <w:vMerge w:val="continue"/>
                  <w:tcBorders>
                    <w:tl2br w:val="nil"/>
                    <w:tr2bl w:val="nil"/>
                  </w:tcBorders>
                  <w:noWrap w:val="0"/>
                  <w:vAlign w:val="center"/>
                </w:tcPr>
                <w:p w14:paraId="311E32FC">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1"/>
                      <w:szCs w:val="21"/>
                    </w:rPr>
                  </w:pPr>
                </w:p>
              </w:tc>
              <w:tc>
                <w:tcPr>
                  <w:tcW w:w="467" w:type="pct"/>
                  <w:vMerge w:val="continue"/>
                  <w:tcBorders>
                    <w:tl2br w:val="nil"/>
                    <w:tr2bl w:val="nil"/>
                  </w:tcBorders>
                  <w:noWrap w:val="0"/>
                  <w:vAlign w:val="center"/>
                </w:tcPr>
                <w:p w14:paraId="38C54B5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auto"/>
                      <w:sz w:val="21"/>
                      <w:szCs w:val="21"/>
                    </w:rPr>
                  </w:pPr>
                </w:p>
              </w:tc>
              <w:tc>
                <w:tcPr>
                  <w:tcW w:w="334" w:type="pct"/>
                  <w:vMerge w:val="continue"/>
                  <w:tcBorders>
                    <w:tl2br w:val="nil"/>
                    <w:tr2bl w:val="nil"/>
                  </w:tcBorders>
                  <w:noWrap w:val="0"/>
                  <w:vAlign w:val="center"/>
                </w:tcPr>
                <w:p w14:paraId="5955B33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auto"/>
                      <w:sz w:val="21"/>
                      <w:szCs w:val="21"/>
                    </w:rPr>
                  </w:pPr>
                </w:p>
              </w:tc>
              <w:tc>
                <w:tcPr>
                  <w:tcW w:w="347" w:type="pct"/>
                  <w:tcBorders>
                    <w:tl2br w:val="nil"/>
                    <w:tr2bl w:val="nil"/>
                  </w:tcBorders>
                  <w:noWrap w:val="0"/>
                  <w:vAlign w:val="center"/>
                </w:tcPr>
                <w:p w14:paraId="6096B0AE">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浓度mg/m</w:t>
                  </w:r>
                  <w:r>
                    <w:rPr>
                      <w:rFonts w:hint="default" w:ascii="Times New Roman" w:hAnsi="Times New Roman" w:eastAsia="宋体" w:cs="Times New Roman"/>
                      <w:b/>
                      <w:color w:val="auto"/>
                      <w:sz w:val="21"/>
                      <w:szCs w:val="21"/>
                      <w:vertAlign w:val="superscript"/>
                    </w:rPr>
                    <w:t>3</w:t>
                  </w:r>
                </w:p>
              </w:tc>
              <w:tc>
                <w:tcPr>
                  <w:tcW w:w="310" w:type="pct"/>
                  <w:tcBorders>
                    <w:tl2br w:val="nil"/>
                    <w:tr2bl w:val="nil"/>
                  </w:tcBorders>
                  <w:noWrap w:val="0"/>
                  <w:vAlign w:val="center"/>
                </w:tcPr>
                <w:p w14:paraId="6C85E037">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速率</w:t>
                  </w:r>
                </w:p>
                <w:p w14:paraId="6D4C0605">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kg/h</w:t>
                  </w:r>
                </w:p>
              </w:tc>
              <w:tc>
                <w:tcPr>
                  <w:tcW w:w="328" w:type="pct"/>
                  <w:tcBorders>
                    <w:tl2br w:val="nil"/>
                    <w:tr2bl w:val="nil"/>
                  </w:tcBorders>
                  <w:noWrap w:val="0"/>
                  <w:vAlign w:val="center"/>
                </w:tcPr>
                <w:p w14:paraId="2DE93D54">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产生量t/a</w:t>
                  </w:r>
                </w:p>
              </w:tc>
              <w:tc>
                <w:tcPr>
                  <w:tcW w:w="896" w:type="pct"/>
                  <w:vMerge w:val="continue"/>
                  <w:tcBorders>
                    <w:tl2br w:val="nil"/>
                    <w:tr2bl w:val="nil"/>
                  </w:tcBorders>
                  <w:noWrap w:val="0"/>
                  <w:vAlign w:val="center"/>
                </w:tcPr>
                <w:p w14:paraId="67FBCB0E">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auto"/>
                      <w:sz w:val="21"/>
                      <w:szCs w:val="21"/>
                    </w:rPr>
                  </w:pPr>
                </w:p>
              </w:tc>
              <w:tc>
                <w:tcPr>
                  <w:tcW w:w="266" w:type="pct"/>
                  <w:vMerge w:val="continue"/>
                  <w:tcBorders>
                    <w:tl2br w:val="nil"/>
                    <w:tr2bl w:val="nil"/>
                  </w:tcBorders>
                  <w:noWrap w:val="0"/>
                  <w:vAlign w:val="center"/>
                </w:tcPr>
                <w:p w14:paraId="54F9838A">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1"/>
                      <w:szCs w:val="21"/>
                    </w:rPr>
                  </w:pPr>
                </w:p>
              </w:tc>
              <w:tc>
                <w:tcPr>
                  <w:tcW w:w="401" w:type="pct"/>
                  <w:tcBorders>
                    <w:tl2br w:val="nil"/>
                    <w:tr2bl w:val="nil"/>
                  </w:tcBorders>
                  <w:noWrap w:val="0"/>
                  <w:vAlign w:val="center"/>
                </w:tcPr>
                <w:p w14:paraId="47533788">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浓度mg/m</w:t>
                  </w:r>
                  <w:r>
                    <w:rPr>
                      <w:rFonts w:hint="default" w:ascii="Times New Roman" w:hAnsi="Times New Roman" w:eastAsia="宋体" w:cs="Times New Roman"/>
                      <w:b/>
                      <w:color w:val="auto"/>
                      <w:sz w:val="21"/>
                      <w:szCs w:val="21"/>
                      <w:vertAlign w:val="superscript"/>
                    </w:rPr>
                    <w:t>3</w:t>
                  </w:r>
                </w:p>
              </w:tc>
              <w:tc>
                <w:tcPr>
                  <w:tcW w:w="385" w:type="pct"/>
                  <w:tcBorders>
                    <w:tl2br w:val="nil"/>
                    <w:tr2bl w:val="nil"/>
                  </w:tcBorders>
                  <w:noWrap w:val="0"/>
                  <w:vAlign w:val="center"/>
                </w:tcPr>
                <w:p w14:paraId="15C31306">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速率</w:t>
                  </w:r>
                </w:p>
                <w:p w14:paraId="0DD715BD">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kg/h</w:t>
                  </w:r>
                </w:p>
              </w:tc>
              <w:tc>
                <w:tcPr>
                  <w:tcW w:w="396" w:type="pct"/>
                  <w:tcBorders>
                    <w:tl2br w:val="nil"/>
                    <w:tr2bl w:val="nil"/>
                  </w:tcBorders>
                  <w:noWrap w:val="0"/>
                  <w:vAlign w:val="center"/>
                </w:tcPr>
                <w:p w14:paraId="27A4FBCE">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排放量</w:t>
                  </w:r>
                </w:p>
                <w:p w14:paraId="5A301BB5">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t/a</w:t>
                  </w:r>
                </w:p>
              </w:tc>
              <w:tc>
                <w:tcPr>
                  <w:tcW w:w="368" w:type="pct"/>
                  <w:vMerge w:val="continue"/>
                  <w:tcBorders>
                    <w:tl2br w:val="nil"/>
                    <w:tr2bl w:val="nil"/>
                  </w:tcBorders>
                  <w:noWrap w:val="0"/>
                  <w:vAlign w:val="center"/>
                </w:tcPr>
                <w:p w14:paraId="10394420">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0000FF"/>
                      <w:sz w:val="21"/>
                      <w:szCs w:val="21"/>
                    </w:rPr>
                  </w:pPr>
                </w:p>
              </w:tc>
            </w:tr>
            <w:tr w14:paraId="0F14D0C3">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544" w:hRule="atLeast"/>
                <w:jc w:val="center"/>
              </w:trPr>
              <w:tc>
                <w:tcPr>
                  <w:tcW w:w="230" w:type="pct"/>
                  <w:vMerge w:val="restart"/>
                  <w:tcBorders>
                    <w:tl2br w:val="nil"/>
                    <w:tr2bl w:val="nil"/>
                  </w:tcBorders>
                  <w:noWrap w:val="0"/>
                  <w:vAlign w:val="center"/>
                </w:tcPr>
                <w:p w14:paraId="2818FFC4">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cs="Times New Roman"/>
                      <w:color w:val="auto"/>
                      <w:sz w:val="21"/>
                      <w:szCs w:val="21"/>
                      <w:lang w:val="en-US" w:eastAsia="zh-CN"/>
                    </w:rPr>
                    <w:t>箱式渗碳、淬火回火</w:t>
                  </w:r>
                </w:p>
              </w:tc>
              <w:tc>
                <w:tcPr>
                  <w:tcW w:w="268" w:type="pct"/>
                  <w:vMerge w:val="restart"/>
                  <w:tcBorders>
                    <w:tl2br w:val="nil"/>
                    <w:tr2bl w:val="nil"/>
                  </w:tcBorders>
                  <w:noWrap w:val="0"/>
                  <w:vAlign w:val="center"/>
                </w:tcPr>
                <w:p w14:paraId="0E0A31D3">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有组织</w:t>
                  </w:r>
                </w:p>
              </w:tc>
              <w:tc>
                <w:tcPr>
                  <w:tcW w:w="467" w:type="pct"/>
                  <w:tcBorders>
                    <w:tl2br w:val="nil"/>
                    <w:tr2bl w:val="nil"/>
                  </w:tcBorders>
                  <w:noWrap w:val="0"/>
                  <w:vAlign w:val="center"/>
                </w:tcPr>
                <w:p w14:paraId="7C9B43D2">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颗粒物</w:t>
                  </w:r>
                </w:p>
              </w:tc>
              <w:tc>
                <w:tcPr>
                  <w:tcW w:w="334" w:type="pct"/>
                  <w:vMerge w:val="restart"/>
                  <w:tcBorders>
                    <w:tl2br w:val="nil"/>
                    <w:tr2bl w:val="nil"/>
                  </w:tcBorders>
                  <w:noWrap w:val="0"/>
                  <w:vAlign w:val="center"/>
                </w:tcPr>
                <w:p w14:paraId="2A4E3F4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Times New Roman" w:cs="Times New Roman"/>
                      <w:b w:val="0"/>
                      <w:bCs/>
                      <w:color w:val="auto"/>
                      <w:sz w:val="21"/>
                      <w:szCs w:val="21"/>
                      <w:lang w:val="en-US" w:eastAsia="zh-CN"/>
                    </w:rPr>
                    <w:t>18</w:t>
                  </w:r>
                  <w:r>
                    <w:rPr>
                      <w:rFonts w:hint="default" w:ascii="Times New Roman" w:hAnsi="Times New Roman" w:eastAsia="Times New Roman" w:cs="Times New Roman"/>
                      <w:b w:val="0"/>
                      <w:bCs/>
                      <w:color w:val="auto"/>
                      <w:sz w:val="21"/>
                      <w:szCs w:val="21"/>
                      <w:lang w:val="en-US" w:eastAsia="zh-CN"/>
                    </w:rPr>
                    <w:t>0</w:t>
                  </w:r>
                  <w:r>
                    <w:rPr>
                      <w:rFonts w:hint="default" w:ascii="Times New Roman" w:hAnsi="Times New Roman" w:eastAsia="宋体" w:cs="Times New Roman"/>
                      <w:b w:val="0"/>
                      <w:bCs/>
                      <w:color w:val="auto"/>
                      <w:sz w:val="21"/>
                      <w:szCs w:val="21"/>
                      <w:lang w:val="en-US" w:eastAsia="zh-CN"/>
                    </w:rPr>
                    <w:t>00</w:t>
                  </w:r>
                </w:p>
              </w:tc>
              <w:tc>
                <w:tcPr>
                  <w:tcW w:w="347" w:type="pct"/>
                  <w:tcBorders>
                    <w:tl2br w:val="nil"/>
                    <w:tr2bl w:val="nil"/>
                  </w:tcBorders>
                  <w:noWrap w:val="0"/>
                  <w:vAlign w:val="center"/>
                </w:tcPr>
                <w:p w14:paraId="016C8CE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50.00 </w:t>
                  </w:r>
                </w:p>
              </w:tc>
              <w:tc>
                <w:tcPr>
                  <w:tcW w:w="310" w:type="pct"/>
                  <w:tcBorders>
                    <w:tl2br w:val="nil"/>
                    <w:tr2bl w:val="nil"/>
                  </w:tcBorders>
                  <w:noWrap w:val="0"/>
                  <w:vAlign w:val="center"/>
                </w:tcPr>
                <w:p w14:paraId="4D3ED4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0.900 </w:t>
                  </w:r>
                </w:p>
              </w:tc>
              <w:tc>
                <w:tcPr>
                  <w:tcW w:w="328" w:type="pct"/>
                  <w:tcBorders>
                    <w:tl2br w:val="nil"/>
                    <w:tr2bl w:val="nil"/>
                  </w:tcBorders>
                  <w:noWrap w:val="0"/>
                  <w:vAlign w:val="center"/>
                </w:tcPr>
                <w:p w14:paraId="614760D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2.160 </w:t>
                  </w:r>
                </w:p>
              </w:tc>
              <w:tc>
                <w:tcPr>
                  <w:tcW w:w="896" w:type="pct"/>
                  <w:vMerge w:val="restart"/>
                  <w:tcBorders>
                    <w:tl2br w:val="nil"/>
                    <w:tr2bl w:val="nil"/>
                  </w:tcBorders>
                  <w:noWrap w:val="0"/>
                  <w:vAlign w:val="center"/>
                </w:tcPr>
                <w:p w14:paraId="509B2022">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val="0"/>
                      <w:bCs/>
                      <w:color w:val="0000FF"/>
                      <w:sz w:val="21"/>
                      <w:szCs w:val="21"/>
                      <w:lang w:val="en-US" w:eastAsia="zh-CN"/>
                    </w:rPr>
                  </w:pPr>
                  <w:r>
                    <w:rPr>
                      <w:rFonts w:hint="eastAsia"/>
                      <w:color w:val="auto"/>
                      <w:sz w:val="21"/>
                      <w:szCs w:val="21"/>
                      <w:lang w:val="en-US" w:eastAsia="zh-CN"/>
                    </w:rPr>
                    <w:t>密封箱式可控气氛多用炉排气口配备火炬燃烧装置；废气间接冷却装置+静电吸附油雾净化装置+三级干式过滤器+二级活性炭吸附装置</w:t>
                  </w:r>
                  <w:r>
                    <w:rPr>
                      <w:rFonts w:hint="eastAsia" w:ascii="Times New Roman" w:hAnsi="Times New Roman" w:cs="Times New Roman"/>
                      <w:color w:val="000000" w:themeColor="text1"/>
                      <w:sz w:val="21"/>
                      <w:szCs w:val="21"/>
                      <w:highlight w:val="none"/>
                      <w:lang w:val="en-US" w:eastAsia="zh-CN"/>
                    </w:rPr>
                    <w:t>+</w:t>
                  </w:r>
                  <w:r>
                    <w:rPr>
                      <w:rFonts w:hint="eastAsia" w:ascii="Times New Roman" w:hAnsi="Times New Roman" w:eastAsia="宋体" w:cs="Times New Roman"/>
                      <w:bCs/>
                      <w:color w:val="000000" w:themeColor="text1"/>
                      <w:kern w:val="0"/>
                      <w:sz w:val="21"/>
                      <w:szCs w:val="21"/>
                      <w:highlight w:val="none"/>
                      <w:lang w:val="en-US" w:eastAsia="zh-CN"/>
                    </w:rPr>
                    <w:t>1根15m高排气筒</w:t>
                  </w:r>
                </w:p>
              </w:tc>
              <w:tc>
                <w:tcPr>
                  <w:tcW w:w="266" w:type="pct"/>
                  <w:tcBorders>
                    <w:tl2br w:val="nil"/>
                    <w:tr2bl w:val="nil"/>
                  </w:tcBorders>
                  <w:noWrap w:val="0"/>
                  <w:vAlign w:val="center"/>
                </w:tcPr>
                <w:p w14:paraId="0DA716B7">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9</w:t>
                  </w:r>
                  <w:r>
                    <w:rPr>
                      <w:rFonts w:hint="eastAsia" w:ascii="Times New Roman" w:hAnsi="Times New Roman" w:eastAsia="Times New Roman" w:cs="Times New Roman"/>
                      <w:b w:val="0"/>
                      <w:bCs/>
                      <w:color w:val="auto"/>
                      <w:sz w:val="21"/>
                      <w:szCs w:val="21"/>
                      <w:lang w:val="en-US" w:eastAsia="zh-CN"/>
                    </w:rPr>
                    <w:t>9</w:t>
                  </w:r>
                  <w:r>
                    <w:rPr>
                      <w:rFonts w:hint="default" w:ascii="Times New Roman" w:hAnsi="Times New Roman" w:eastAsia="宋体" w:cs="Times New Roman"/>
                      <w:b w:val="0"/>
                      <w:bCs/>
                      <w:color w:val="auto"/>
                      <w:sz w:val="21"/>
                      <w:szCs w:val="21"/>
                      <w:lang w:val="en-US" w:eastAsia="zh-CN"/>
                    </w:rPr>
                    <w:t>%</w:t>
                  </w:r>
                </w:p>
              </w:tc>
              <w:tc>
                <w:tcPr>
                  <w:tcW w:w="1059" w:type="dxa"/>
                  <w:tcBorders>
                    <w:tl2br w:val="nil"/>
                    <w:tr2bl w:val="nil"/>
                  </w:tcBorders>
                  <w:noWrap w:val="0"/>
                  <w:vAlign w:val="center"/>
                </w:tcPr>
                <w:p w14:paraId="35084C6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0.50 </w:t>
                  </w:r>
                </w:p>
              </w:tc>
              <w:tc>
                <w:tcPr>
                  <w:tcW w:w="1016" w:type="dxa"/>
                  <w:tcBorders>
                    <w:tl2br w:val="nil"/>
                    <w:tr2bl w:val="nil"/>
                  </w:tcBorders>
                  <w:noWrap w:val="0"/>
                  <w:vAlign w:val="center"/>
                </w:tcPr>
                <w:p w14:paraId="61A6A8F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0.009 </w:t>
                  </w:r>
                </w:p>
              </w:tc>
              <w:tc>
                <w:tcPr>
                  <w:tcW w:w="1045" w:type="dxa"/>
                  <w:tcBorders>
                    <w:tl2br w:val="nil"/>
                    <w:tr2bl w:val="nil"/>
                  </w:tcBorders>
                  <w:noWrap w:val="0"/>
                  <w:vAlign w:val="center"/>
                </w:tcPr>
                <w:p w14:paraId="385FE6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0.022 </w:t>
                  </w:r>
                </w:p>
              </w:tc>
              <w:tc>
                <w:tcPr>
                  <w:tcW w:w="368" w:type="pct"/>
                  <w:vMerge w:val="restart"/>
                  <w:tcBorders>
                    <w:tl2br w:val="nil"/>
                    <w:tr2bl w:val="nil"/>
                  </w:tcBorders>
                  <w:noWrap w:val="0"/>
                  <w:vAlign w:val="center"/>
                </w:tcPr>
                <w:p w14:paraId="7C975DB5">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auto"/>
                      <w:sz w:val="21"/>
                      <w:szCs w:val="21"/>
                      <w:lang w:val="en-US" w:eastAsia="zh-CN"/>
                    </w:rPr>
                  </w:pPr>
                  <w:r>
                    <w:rPr>
                      <w:rFonts w:hint="default" w:ascii="Times New Roman" w:hAnsi="Times New Roman" w:eastAsia="宋体" w:cs="Times New Roman"/>
                      <w:color w:val="auto"/>
                      <w:sz w:val="21"/>
                      <w:szCs w:val="21"/>
                    </w:rPr>
                    <w:t>DA00</w:t>
                  </w:r>
                  <w:r>
                    <w:rPr>
                      <w:rFonts w:hint="eastAsia" w:ascii="Times New Roman" w:hAnsi="Times New Roman" w:eastAsia="Times New Roman" w:cs="Times New Roman"/>
                      <w:color w:val="auto"/>
                      <w:sz w:val="21"/>
                      <w:szCs w:val="21"/>
                      <w:lang w:val="en-US" w:eastAsia="zh-CN"/>
                    </w:rPr>
                    <w:t>1</w:t>
                  </w:r>
                </w:p>
              </w:tc>
            </w:tr>
            <w:tr w14:paraId="3828CD96">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174" w:hRule="atLeast"/>
                <w:jc w:val="center"/>
              </w:trPr>
              <w:tc>
                <w:tcPr>
                  <w:tcW w:w="230" w:type="pct"/>
                  <w:vMerge w:val="continue"/>
                  <w:tcBorders>
                    <w:tl2br w:val="nil"/>
                    <w:tr2bl w:val="nil"/>
                  </w:tcBorders>
                  <w:noWrap w:val="0"/>
                  <w:vAlign w:val="center"/>
                </w:tcPr>
                <w:p w14:paraId="63BEE574">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val="0"/>
                      <w:bCs/>
                      <w:color w:val="0000FF"/>
                      <w:sz w:val="21"/>
                      <w:szCs w:val="21"/>
                    </w:rPr>
                  </w:pPr>
                </w:p>
              </w:tc>
              <w:tc>
                <w:tcPr>
                  <w:tcW w:w="268" w:type="pct"/>
                  <w:vMerge w:val="continue"/>
                  <w:tcBorders>
                    <w:tl2br w:val="nil"/>
                    <w:tr2bl w:val="nil"/>
                  </w:tcBorders>
                  <w:noWrap w:val="0"/>
                  <w:vAlign w:val="center"/>
                </w:tcPr>
                <w:p w14:paraId="02A2A4EB">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val="0"/>
                      <w:bCs/>
                      <w:color w:val="auto"/>
                      <w:sz w:val="21"/>
                      <w:szCs w:val="21"/>
                    </w:rPr>
                  </w:pPr>
                </w:p>
              </w:tc>
              <w:tc>
                <w:tcPr>
                  <w:tcW w:w="467" w:type="pct"/>
                  <w:tcBorders>
                    <w:tl2br w:val="nil"/>
                    <w:tr2bl w:val="nil"/>
                  </w:tcBorders>
                  <w:noWrap w:val="0"/>
                  <w:vAlign w:val="center"/>
                </w:tcPr>
                <w:p w14:paraId="636BF53F">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非甲烷总烃</w:t>
                  </w:r>
                </w:p>
              </w:tc>
              <w:tc>
                <w:tcPr>
                  <w:tcW w:w="334" w:type="pct"/>
                  <w:vMerge w:val="continue"/>
                  <w:tcBorders>
                    <w:tl2br w:val="nil"/>
                    <w:tr2bl w:val="nil"/>
                  </w:tcBorders>
                  <w:noWrap w:val="0"/>
                  <w:vAlign w:val="center"/>
                </w:tcPr>
                <w:p w14:paraId="60416C1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0000FF"/>
                      <w:sz w:val="21"/>
                      <w:szCs w:val="21"/>
                      <w:lang w:val="en-US" w:eastAsia="zh-CN"/>
                    </w:rPr>
                  </w:pPr>
                </w:p>
              </w:tc>
              <w:tc>
                <w:tcPr>
                  <w:tcW w:w="347" w:type="pct"/>
                  <w:tcBorders>
                    <w:tl2br w:val="nil"/>
                    <w:tr2bl w:val="nil"/>
                  </w:tcBorders>
                  <w:noWrap w:val="0"/>
                  <w:vAlign w:val="center"/>
                </w:tcPr>
                <w:p w14:paraId="6B80F78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0.73 </w:t>
                  </w:r>
                </w:p>
              </w:tc>
              <w:tc>
                <w:tcPr>
                  <w:tcW w:w="310" w:type="pct"/>
                  <w:tcBorders>
                    <w:tl2br w:val="nil"/>
                    <w:tr2bl w:val="nil"/>
                  </w:tcBorders>
                  <w:noWrap w:val="0"/>
                  <w:vAlign w:val="center"/>
                </w:tcPr>
                <w:p w14:paraId="529423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0.013 </w:t>
                  </w:r>
                </w:p>
              </w:tc>
              <w:tc>
                <w:tcPr>
                  <w:tcW w:w="328" w:type="pct"/>
                  <w:tcBorders>
                    <w:tl2br w:val="nil"/>
                    <w:tr2bl w:val="nil"/>
                  </w:tcBorders>
                  <w:noWrap w:val="0"/>
                  <w:vAlign w:val="center"/>
                </w:tcPr>
                <w:p w14:paraId="2C7F03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0.032 </w:t>
                  </w:r>
                </w:p>
              </w:tc>
              <w:tc>
                <w:tcPr>
                  <w:tcW w:w="896" w:type="pct"/>
                  <w:vMerge w:val="continue"/>
                  <w:tcBorders>
                    <w:tl2br w:val="nil"/>
                    <w:tr2bl w:val="nil"/>
                  </w:tcBorders>
                  <w:noWrap w:val="0"/>
                  <w:vAlign w:val="center"/>
                </w:tcPr>
                <w:p w14:paraId="327786FC">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val="0"/>
                      <w:bCs/>
                      <w:color w:val="0000FF"/>
                      <w:sz w:val="21"/>
                      <w:szCs w:val="21"/>
                      <w:lang w:val="en-US" w:eastAsia="zh-CN"/>
                    </w:rPr>
                  </w:pPr>
                </w:p>
              </w:tc>
              <w:tc>
                <w:tcPr>
                  <w:tcW w:w="266" w:type="pct"/>
                  <w:tcBorders>
                    <w:tl2br w:val="nil"/>
                    <w:tr2bl w:val="nil"/>
                  </w:tcBorders>
                  <w:noWrap w:val="0"/>
                  <w:vAlign w:val="center"/>
                </w:tcPr>
                <w:p w14:paraId="75AD1458">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Times New Roman" w:cs="Times New Roman"/>
                      <w:b w:val="0"/>
                      <w:bCs/>
                      <w:color w:val="auto"/>
                      <w:sz w:val="21"/>
                      <w:szCs w:val="21"/>
                      <w:lang w:val="en-US" w:eastAsia="zh-CN"/>
                    </w:rPr>
                    <w:t>9</w:t>
                  </w:r>
                  <w:r>
                    <w:rPr>
                      <w:rFonts w:hint="default" w:ascii="Times New Roman" w:hAnsi="Times New Roman" w:eastAsia="Times New Roman" w:cs="Times New Roman"/>
                      <w:b w:val="0"/>
                      <w:bCs/>
                      <w:color w:val="auto"/>
                      <w:sz w:val="21"/>
                      <w:szCs w:val="21"/>
                      <w:lang w:val="en-US" w:eastAsia="zh-CN"/>
                    </w:rPr>
                    <w:t>0</w:t>
                  </w:r>
                  <w:r>
                    <w:rPr>
                      <w:rFonts w:hint="default" w:ascii="Times New Roman" w:hAnsi="Times New Roman" w:eastAsia="宋体" w:cs="Times New Roman"/>
                      <w:b w:val="0"/>
                      <w:bCs/>
                      <w:color w:val="auto"/>
                      <w:sz w:val="21"/>
                      <w:szCs w:val="21"/>
                      <w:lang w:val="en-US" w:eastAsia="zh-CN"/>
                    </w:rPr>
                    <w:t>%</w:t>
                  </w:r>
                </w:p>
              </w:tc>
              <w:tc>
                <w:tcPr>
                  <w:tcW w:w="401" w:type="pct"/>
                  <w:tcBorders>
                    <w:tl2br w:val="nil"/>
                    <w:tr2bl w:val="nil"/>
                  </w:tcBorders>
                  <w:noWrap w:val="0"/>
                  <w:vAlign w:val="center"/>
                </w:tcPr>
                <w:p w14:paraId="05FA319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0.07 </w:t>
                  </w:r>
                </w:p>
              </w:tc>
              <w:tc>
                <w:tcPr>
                  <w:tcW w:w="385" w:type="pct"/>
                  <w:tcBorders>
                    <w:tl2br w:val="nil"/>
                    <w:tr2bl w:val="nil"/>
                  </w:tcBorders>
                  <w:noWrap w:val="0"/>
                  <w:vAlign w:val="center"/>
                </w:tcPr>
                <w:p w14:paraId="103F587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0.001 </w:t>
                  </w:r>
                </w:p>
              </w:tc>
              <w:tc>
                <w:tcPr>
                  <w:tcW w:w="396" w:type="pct"/>
                  <w:tcBorders>
                    <w:tl2br w:val="nil"/>
                    <w:tr2bl w:val="nil"/>
                  </w:tcBorders>
                  <w:noWrap w:val="0"/>
                  <w:vAlign w:val="center"/>
                </w:tcPr>
                <w:p w14:paraId="0777623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0.003 </w:t>
                  </w:r>
                </w:p>
              </w:tc>
              <w:tc>
                <w:tcPr>
                  <w:tcW w:w="368" w:type="pct"/>
                  <w:vMerge w:val="continue"/>
                  <w:tcBorders>
                    <w:tl2br w:val="nil"/>
                    <w:tr2bl w:val="nil"/>
                  </w:tcBorders>
                  <w:noWrap w:val="0"/>
                  <w:vAlign w:val="center"/>
                </w:tcPr>
                <w:p w14:paraId="22F68892">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auto"/>
                      <w:sz w:val="21"/>
                      <w:szCs w:val="21"/>
                      <w:lang w:val="en-US" w:eastAsia="zh-CN"/>
                    </w:rPr>
                  </w:pPr>
                </w:p>
              </w:tc>
            </w:tr>
            <w:tr w14:paraId="194F273B">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174" w:hRule="atLeast"/>
                <w:jc w:val="center"/>
              </w:trPr>
              <w:tc>
                <w:tcPr>
                  <w:tcW w:w="230" w:type="pct"/>
                  <w:vMerge w:val="continue"/>
                  <w:tcBorders>
                    <w:tl2br w:val="nil"/>
                    <w:tr2bl w:val="nil"/>
                  </w:tcBorders>
                  <w:noWrap w:val="0"/>
                  <w:vAlign w:val="center"/>
                </w:tcPr>
                <w:p w14:paraId="7B913376">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val="0"/>
                      <w:bCs/>
                      <w:color w:val="0000FF"/>
                      <w:sz w:val="21"/>
                      <w:szCs w:val="21"/>
                    </w:rPr>
                  </w:pPr>
                </w:p>
              </w:tc>
              <w:tc>
                <w:tcPr>
                  <w:tcW w:w="268" w:type="pct"/>
                  <w:vMerge w:val="restart"/>
                  <w:tcBorders>
                    <w:tl2br w:val="nil"/>
                    <w:tr2bl w:val="nil"/>
                  </w:tcBorders>
                  <w:noWrap w:val="0"/>
                  <w:vAlign w:val="center"/>
                </w:tcPr>
                <w:p w14:paraId="1597C22D">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无组织</w:t>
                  </w:r>
                </w:p>
              </w:tc>
              <w:tc>
                <w:tcPr>
                  <w:tcW w:w="467" w:type="pct"/>
                  <w:tcBorders>
                    <w:tl2br w:val="nil"/>
                    <w:tr2bl w:val="nil"/>
                  </w:tcBorders>
                  <w:noWrap w:val="0"/>
                  <w:vAlign w:val="center"/>
                </w:tcPr>
                <w:p w14:paraId="54C60FA8">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颗粒物</w:t>
                  </w:r>
                </w:p>
              </w:tc>
              <w:tc>
                <w:tcPr>
                  <w:tcW w:w="334" w:type="pct"/>
                  <w:vMerge w:val="restart"/>
                  <w:tcBorders>
                    <w:tl2br w:val="nil"/>
                    <w:tr2bl w:val="nil"/>
                  </w:tcBorders>
                  <w:noWrap w:val="0"/>
                  <w:vAlign w:val="center"/>
                </w:tcPr>
                <w:p w14:paraId="3F1D2A0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w:t>
                  </w:r>
                </w:p>
              </w:tc>
              <w:tc>
                <w:tcPr>
                  <w:tcW w:w="347" w:type="pct"/>
                  <w:tcBorders>
                    <w:tl2br w:val="nil"/>
                    <w:tr2bl w:val="nil"/>
                  </w:tcBorders>
                  <w:noWrap w:val="0"/>
                  <w:vAlign w:val="center"/>
                </w:tcPr>
                <w:p w14:paraId="2D3ED68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310" w:type="pct"/>
                  <w:tcBorders>
                    <w:tl2br w:val="nil"/>
                    <w:tr2bl w:val="nil"/>
                  </w:tcBorders>
                  <w:noWrap w:val="0"/>
                  <w:vAlign w:val="center"/>
                </w:tcPr>
                <w:p w14:paraId="1B8BF28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0.100 </w:t>
                  </w:r>
                </w:p>
              </w:tc>
              <w:tc>
                <w:tcPr>
                  <w:tcW w:w="328" w:type="pct"/>
                  <w:tcBorders>
                    <w:tl2br w:val="nil"/>
                    <w:tr2bl w:val="nil"/>
                  </w:tcBorders>
                  <w:noWrap w:val="0"/>
                  <w:vAlign w:val="center"/>
                </w:tcPr>
                <w:p w14:paraId="59E96D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0.240 </w:t>
                  </w:r>
                </w:p>
              </w:tc>
              <w:tc>
                <w:tcPr>
                  <w:tcW w:w="896" w:type="pct"/>
                  <w:vMerge w:val="restart"/>
                  <w:tcBorders>
                    <w:tl2br w:val="nil"/>
                    <w:tr2bl w:val="nil"/>
                  </w:tcBorders>
                  <w:noWrap w:val="0"/>
                  <w:vAlign w:val="center"/>
                </w:tcPr>
                <w:p w14:paraId="49464302">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266" w:type="pct"/>
                  <w:tcBorders>
                    <w:tl2br w:val="nil"/>
                    <w:tr2bl w:val="nil"/>
                  </w:tcBorders>
                  <w:noWrap w:val="0"/>
                  <w:vAlign w:val="center"/>
                </w:tcPr>
                <w:p w14:paraId="009A9D4A">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w:t>
                  </w:r>
                </w:p>
              </w:tc>
              <w:tc>
                <w:tcPr>
                  <w:tcW w:w="401" w:type="pct"/>
                  <w:tcBorders>
                    <w:tl2br w:val="nil"/>
                    <w:tr2bl w:val="nil"/>
                  </w:tcBorders>
                  <w:noWrap w:val="0"/>
                  <w:vAlign w:val="center"/>
                </w:tcPr>
                <w:p w14:paraId="701D98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385" w:type="pct"/>
                  <w:tcBorders>
                    <w:tl2br w:val="nil"/>
                    <w:tr2bl w:val="nil"/>
                  </w:tcBorders>
                  <w:noWrap w:val="0"/>
                  <w:vAlign w:val="center"/>
                </w:tcPr>
                <w:p w14:paraId="092BEE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0.100 </w:t>
                  </w:r>
                </w:p>
              </w:tc>
              <w:tc>
                <w:tcPr>
                  <w:tcW w:w="396" w:type="pct"/>
                  <w:tcBorders>
                    <w:tl2br w:val="nil"/>
                    <w:tr2bl w:val="nil"/>
                  </w:tcBorders>
                  <w:noWrap w:val="0"/>
                  <w:vAlign w:val="center"/>
                </w:tcPr>
                <w:p w14:paraId="5837CF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0.240 </w:t>
                  </w:r>
                </w:p>
              </w:tc>
              <w:tc>
                <w:tcPr>
                  <w:tcW w:w="368" w:type="pct"/>
                  <w:vMerge w:val="restart"/>
                  <w:tcBorders>
                    <w:tl2br w:val="nil"/>
                    <w:tr2bl w:val="nil"/>
                  </w:tcBorders>
                  <w:noWrap w:val="0"/>
                  <w:vAlign w:val="center"/>
                </w:tcPr>
                <w:p w14:paraId="3D01C12C">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auto"/>
                      <w:sz w:val="21"/>
                      <w:szCs w:val="21"/>
                      <w:lang w:val="en-US" w:eastAsia="zh-CN"/>
                    </w:rPr>
                  </w:pPr>
                  <w:r>
                    <w:rPr>
                      <w:rFonts w:hint="default" w:ascii="Times New Roman" w:hAnsi="Times New Roman" w:eastAsia="宋体" w:cs="Times New Roman"/>
                      <w:b/>
                      <w:color w:val="auto"/>
                      <w:sz w:val="21"/>
                      <w:szCs w:val="21"/>
                      <w:lang w:val="en-US" w:eastAsia="zh-CN"/>
                    </w:rPr>
                    <w:t>/</w:t>
                  </w:r>
                </w:p>
              </w:tc>
            </w:tr>
            <w:tr w14:paraId="32F12A8B">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174" w:hRule="atLeast"/>
                <w:jc w:val="center"/>
              </w:trPr>
              <w:tc>
                <w:tcPr>
                  <w:tcW w:w="230" w:type="pct"/>
                  <w:vMerge w:val="continue"/>
                  <w:tcBorders>
                    <w:tl2br w:val="nil"/>
                    <w:tr2bl w:val="nil"/>
                  </w:tcBorders>
                  <w:noWrap w:val="0"/>
                  <w:vAlign w:val="center"/>
                </w:tcPr>
                <w:p w14:paraId="4ACB9F13">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val="0"/>
                      <w:bCs/>
                      <w:color w:val="0000FF"/>
                      <w:sz w:val="21"/>
                      <w:szCs w:val="21"/>
                    </w:rPr>
                  </w:pPr>
                </w:p>
              </w:tc>
              <w:tc>
                <w:tcPr>
                  <w:tcW w:w="268" w:type="pct"/>
                  <w:vMerge w:val="continue"/>
                  <w:tcBorders>
                    <w:tl2br w:val="nil"/>
                    <w:tr2bl w:val="nil"/>
                  </w:tcBorders>
                  <w:noWrap w:val="0"/>
                  <w:vAlign w:val="center"/>
                </w:tcPr>
                <w:p w14:paraId="611B0F66">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val="0"/>
                      <w:bCs/>
                      <w:color w:val="auto"/>
                      <w:sz w:val="21"/>
                      <w:szCs w:val="21"/>
                    </w:rPr>
                  </w:pPr>
                </w:p>
              </w:tc>
              <w:tc>
                <w:tcPr>
                  <w:tcW w:w="467" w:type="pct"/>
                  <w:tcBorders>
                    <w:tl2br w:val="nil"/>
                    <w:tr2bl w:val="nil"/>
                  </w:tcBorders>
                  <w:noWrap w:val="0"/>
                  <w:vAlign w:val="center"/>
                </w:tcPr>
                <w:p w14:paraId="1CD96807">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非甲烷总烃</w:t>
                  </w:r>
                </w:p>
              </w:tc>
              <w:tc>
                <w:tcPr>
                  <w:tcW w:w="334" w:type="pct"/>
                  <w:vMerge w:val="continue"/>
                  <w:tcBorders>
                    <w:tl2br w:val="nil"/>
                    <w:tr2bl w:val="nil"/>
                  </w:tcBorders>
                  <w:noWrap w:val="0"/>
                  <w:vAlign w:val="center"/>
                </w:tcPr>
                <w:p w14:paraId="312E2E9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sz w:val="21"/>
                      <w:szCs w:val="21"/>
                      <w:lang w:val="en-US" w:eastAsia="zh-CN"/>
                    </w:rPr>
                  </w:pPr>
                </w:p>
              </w:tc>
              <w:tc>
                <w:tcPr>
                  <w:tcW w:w="347" w:type="pct"/>
                  <w:tcBorders>
                    <w:tl2br w:val="nil"/>
                    <w:tr2bl w:val="nil"/>
                  </w:tcBorders>
                  <w:noWrap w:val="0"/>
                  <w:vAlign w:val="center"/>
                </w:tcPr>
                <w:p w14:paraId="5C252E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310" w:type="pct"/>
                  <w:tcBorders>
                    <w:tl2br w:val="nil"/>
                    <w:tr2bl w:val="nil"/>
                  </w:tcBorders>
                  <w:noWrap w:val="0"/>
                  <w:vAlign w:val="center"/>
                </w:tcPr>
                <w:p w14:paraId="0C3B5B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0.001 </w:t>
                  </w:r>
                </w:p>
              </w:tc>
              <w:tc>
                <w:tcPr>
                  <w:tcW w:w="328" w:type="pct"/>
                  <w:tcBorders>
                    <w:tl2br w:val="nil"/>
                    <w:tr2bl w:val="nil"/>
                  </w:tcBorders>
                  <w:noWrap w:val="0"/>
                  <w:vAlign w:val="center"/>
                </w:tcPr>
                <w:p w14:paraId="4480836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0.004 </w:t>
                  </w:r>
                </w:p>
              </w:tc>
              <w:tc>
                <w:tcPr>
                  <w:tcW w:w="896" w:type="pct"/>
                  <w:vMerge w:val="continue"/>
                  <w:tcBorders>
                    <w:tl2br w:val="nil"/>
                    <w:tr2bl w:val="nil"/>
                  </w:tcBorders>
                  <w:noWrap w:val="0"/>
                  <w:vAlign w:val="center"/>
                </w:tcPr>
                <w:p w14:paraId="7D7D688A">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Times New Roman" w:cs="Times New Roman"/>
                      <w:color w:val="auto"/>
                      <w:sz w:val="21"/>
                      <w:szCs w:val="21"/>
                      <w:lang w:val="en-US" w:eastAsia="zh-CN"/>
                    </w:rPr>
                  </w:pPr>
                </w:p>
              </w:tc>
              <w:tc>
                <w:tcPr>
                  <w:tcW w:w="266" w:type="pct"/>
                  <w:tcBorders>
                    <w:tl2br w:val="nil"/>
                    <w:tr2bl w:val="nil"/>
                  </w:tcBorders>
                  <w:noWrap w:val="0"/>
                  <w:vAlign w:val="center"/>
                </w:tcPr>
                <w:p w14:paraId="023A84D8">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w:t>
                  </w:r>
                </w:p>
              </w:tc>
              <w:tc>
                <w:tcPr>
                  <w:tcW w:w="401" w:type="pct"/>
                  <w:tcBorders>
                    <w:tl2br w:val="nil"/>
                    <w:tr2bl w:val="nil"/>
                  </w:tcBorders>
                  <w:noWrap w:val="0"/>
                  <w:vAlign w:val="center"/>
                </w:tcPr>
                <w:p w14:paraId="3DB40B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385" w:type="pct"/>
                  <w:tcBorders>
                    <w:tl2br w:val="nil"/>
                    <w:tr2bl w:val="nil"/>
                  </w:tcBorders>
                  <w:noWrap w:val="0"/>
                  <w:vAlign w:val="center"/>
                </w:tcPr>
                <w:p w14:paraId="1EB1CB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0.001 </w:t>
                  </w:r>
                </w:p>
              </w:tc>
              <w:tc>
                <w:tcPr>
                  <w:tcW w:w="396" w:type="pct"/>
                  <w:tcBorders>
                    <w:tl2br w:val="nil"/>
                    <w:tr2bl w:val="nil"/>
                  </w:tcBorders>
                  <w:noWrap w:val="0"/>
                  <w:vAlign w:val="center"/>
                </w:tcPr>
                <w:p w14:paraId="57D08E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0.004 </w:t>
                  </w:r>
                </w:p>
              </w:tc>
              <w:tc>
                <w:tcPr>
                  <w:tcW w:w="368" w:type="pct"/>
                  <w:vMerge w:val="continue"/>
                  <w:tcBorders>
                    <w:tl2br w:val="nil"/>
                    <w:tr2bl w:val="nil"/>
                  </w:tcBorders>
                  <w:noWrap w:val="0"/>
                  <w:vAlign w:val="center"/>
                </w:tcPr>
                <w:p w14:paraId="5D3934BC">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auto"/>
                      <w:sz w:val="21"/>
                      <w:szCs w:val="21"/>
                      <w:lang w:val="en-US" w:eastAsia="zh-CN"/>
                    </w:rPr>
                  </w:pPr>
                </w:p>
              </w:tc>
            </w:tr>
            <w:tr w14:paraId="3B341B27">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107" w:hRule="atLeast"/>
                <w:jc w:val="center"/>
              </w:trPr>
              <w:tc>
                <w:tcPr>
                  <w:tcW w:w="230" w:type="pct"/>
                  <w:vMerge w:val="restart"/>
                  <w:tcBorders>
                    <w:tl2br w:val="nil"/>
                    <w:tr2bl w:val="nil"/>
                  </w:tcBorders>
                  <w:noWrap w:val="0"/>
                  <w:vAlign w:val="center"/>
                </w:tcPr>
                <w:p w14:paraId="24C97DD8">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cs="Times New Roman"/>
                      <w:b w:val="0"/>
                      <w:bCs/>
                      <w:color w:val="auto"/>
                      <w:sz w:val="21"/>
                      <w:szCs w:val="21"/>
                      <w:lang w:val="en-US" w:eastAsia="zh-CN"/>
                    </w:rPr>
                    <w:t>天然气燃烧</w:t>
                  </w:r>
                </w:p>
              </w:tc>
              <w:tc>
                <w:tcPr>
                  <w:tcW w:w="268" w:type="pct"/>
                  <w:vMerge w:val="restart"/>
                  <w:tcBorders>
                    <w:tl2br w:val="nil"/>
                    <w:tr2bl w:val="nil"/>
                  </w:tcBorders>
                  <w:noWrap w:val="0"/>
                  <w:vAlign w:val="center"/>
                </w:tcPr>
                <w:p w14:paraId="128CCCBC">
                  <w:pPr>
                    <w:keepNext w:val="0"/>
                    <w:keepLines w:val="0"/>
                    <w:suppressLineNumbers w:val="0"/>
                    <w:spacing w:before="0" w:beforeAutospacing="0" w:after="0" w:afterAutospacing="0" w:line="240" w:lineRule="auto"/>
                    <w:ind w:left="-105" w:leftChars="-50" w:right="-105" w:rightChars="-50"/>
                    <w:jc w:val="center"/>
                    <w:rPr>
                      <w:rFonts w:hint="eastAsia" w:ascii="Times New Roman" w:hAnsi="Times New Roman" w:eastAsia="宋体" w:cs="Times New Roman"/>
                      <w:b w:val="0"/>
                      <w:bCs/>
                      <w:color w:val="auto"/>
                      <w:sz w:val="21"/>
                      <w:szCs w:val="21"/>
                      <w:lang w:val="en-US" w:eastAsia="zh-CN"/>
                    </w:rPr>
                  </w:pPr>
                  <w:r>
                    <w:rPr>
                      <w:rFonts w:hint="eastAsia" w:ascii="Times New Roman" w:hAnsi="Times New Roman" w:cs="Times New Roman"/>
                      <w:b w:val="0"/>
                      <w:bCs/>
                      <w:color w:val="auto"/>
                      <w:sz w:val="21"/>
                      <w:szCs w:val="21"/>
                      <w:lang w:val="en-US" w:eastAsia="zh-CN"/>
                    </w:rPr>
                    <w:t>有组织</w:t>
                  </w:r>
                </w:p>
              </w:tc>
              <w:tc>
                <w:tcPr>
                  <w:tcW w:w="467" w:type="pct"/>
                  <w:tcBorders>
                    <w:tl2br w:val="nil"/>
                    <w:tr2bl w:val="nil"/>
                  </w:tcBorders>
                  <w:noWrap w:val="0"/>
                  <w:vAlign w:val="center"/>
                </w:tcPr>
                <w:p w14:paraId="5B42862E">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color w:val="auto"/>
                      <w:szCs w:val="21"/>
                      <w:lang w:val="en-US" w:eastAsia="zh-CN"/>
                    </w:rPr>
                    <w:t>颗粒物</w:t>
                  </w:r>
                </w:p>
              </w:tc>
              <w:tc>
                <w:tcPr>
                  <w:tcW w:w="334" w:type="pct"/>
                  <w:vMerge w:val="restart"/>
                  <w:tcBorders>
                    <w:tl2br w:val="nil"/>
                    <w:tr2bl w:val="nil"/>
                  </w:tcBorders>
                  <w:noWrap w:val="0"/>
                  <w:vAlign w:val="center"/>
                </w:tcPr>
                <w:p w14:paraId="7D92D05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cs="Times New Roman"/>
                      <w:b w:val="0"/>
                      <w:bCs/>
                      <w:color w:val="auto"/>
                      <w:sz w:val="21"/>
                      <w:szCs w:val="21"/>
                      <w:lang w:val="en-US" w:eastAsia="zh-CN"/>
                    </w:rPr>
                    <w:t>489.6</w:t>
                  </w:r>
                </w:p>
              </w:tc>
              <w:tc>
                <w:tcPr>
                  <w:tcW w:w="347" w:type="pct"/>
                  <w:tcBorders>
                    <w:tl2br w:val="nil"/>
                    <w:tr2bl w:val="nil"/>
                  </w:tcBorders>
                  <w:noWrap w:val="0"/>
                  <w:vAlign w:val="center"/>
                </w:tcPr>
                <w:p w14:paraId="301348D9">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21.28 </w:t>
                  </w:r>
                </w:p>
              </w:tc>
              <w:tc>
                <w:tcPr>
                  <w:tcW w:w="310" w:type="pct"/>
                  <w:tcBorders>
                    <w:tl2br w:val="nil"/>
                    <w:tr2bl w:val="nil"/>
                  </w:tcBorders>
                  <w:noWrap w:val="0"/>
                  <w:vAlign w:val="center"/>
                </w:tcPr>
                <w:p w14:paraId="52191793">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0.010 </w:t>
                  </w:r>
                </w:p>
              </w:tc>
              <w:tc>
                <w:tcPr>
                  <w:tcW w:w="328" w:type="pct"/>
                  <w:tcBorders>
                    <w:tl2br w:val="nil"/>
                    <w:tr2bl w:val="nil"/>
                  </w:tcBorders>
                  <w:noWrap w:val="0"/>
                  <w:vAlign w:val="center"/>
                </w:tcPr>
                <w:p w14:paraId="5079BB58">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0.025 </w:t>
                  </w:r>
                </w:p>
              </w:tc>
              <w:tc>
                <w:tcPr>
                  <w:tcW w:w="896" w:type="pct"/>
                  <w:vMerge w:val="restart"/>
                  <w:tcBorders>
                    <w:tl2br w:val="nil"/>
                    <w:tr2bl w:val="nil"/>
                  </w:tcBorders>
                  <w:noWrap w:val="0"/>
                  <w:vAlign w:val="center"/>
                </w:tcPr>
                <w:p w14:paraId="3F38F091">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Times New Roman" w:cs="Times New Roman"/>
                      <w:color w:val="auto"/>
                      <w:sz w:val="21"/>
                      <w:szCs w:val="21"/>
                      <w:lang w:val="en-US" w:eastAsia="zh-CN"/>
                    </w:rPr>
                  </w:pPr>
                  <w:r>
                    <w:rPr>
                      <w:rFonts w:hint="default" w:ascii="Times New Roman" w:hAnsi="Times New Roman" w:eastAsia="Times New Roman" w:cs="Times New Roman"/>
                      <w:color w:val="auto"/>
                      <w:sz w:val="21"/>
                      <w:szCs w:val="21"/>
                      <w:lang w:val="en-US" w:eastAsia="zh-CN"/>
                    </w:rPr>
                    <w:t>FGR低氮燃烧器</w:t>
                  </w:r>
                  <w:r>
                    <w:rPr>
                      <w:rFonts w:hint="eastAsia" w:ascii="Times New Roman" w:hAnsi="Times New Roman" w:eastAsia="Times New Roman" w:cs="Times New Roman"/>
                      <w:color w:val="auto"/>
                      <w:sz w:val="21"/>
                      <w:szCs w:val="21"/>
                      <w:lang w:val="en-US" w:eastAsia="zh-CN"/>
                    </w:rPr>
                    <w:t>+</w:t>
                  </w:r>
                  <w:r>
                    <w:rPr>
                      <w:rFonts w:hint="eastAsia" w:ascii="Times New Roman" w:hAnsi="Times New Roman" w:eastAsia="宋体" w:cs="Times New Roman"/>
                      <w:bCs/>
                      <w:color w:val="auto"/>
                      <w:kern w:val="0"/>
                      <w:sz w:val="21"/>
                      <w:szCs w:val="21"/>
                      <w:highlight w:val="none"/>
                      <w:lang w:val="en-US" w:eastAsia="zh-CN"/>
                    </w:rPr>
                    <w:t>1根15m高排气筒</w:t>
                  </w:r>
                </w:p>
              </w:tc>
              <w:tc>
                <w:tcPr>
                  <w:tcW w:w="266" w:type="pct"/>
                  <w:tcBorders>
                    <w:tl2br w:val="nil"/>
                    <w:tr2bl w:val="nil"/>
                  </w:tcBorders>
                  <w:noWrap w:val="0"/>
                  <w:vAlign w:val="center"/>
                </w:tcPr>
                <w:p w14:paraId="3967E5BE">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cs="Times New Roman"/>
                      <w:b w:val="0"/>
                      <w:bCs/>
                      <w:color w:val="auto"/>
                      <w:sz w:val="21"/>
                      <w:szCs w:val="21"/>
                      <w:lang w:val="en-US" w:eastAsia="zh-CN"/>
                    </w:rPr>
                    <w:t>0</w:t>
                  </w:r>
                </w:p>
              </w:tc>
              <w:tc>
                <w:tcPr>
                  <w:tcW w:w="401" w:type="pct"/>
                  <w:tcBorders>
                    <w:tl2br w:val="nil"/>
                    <w:tr2bl w:val="nil"/>
                  </w:tcBorders>
                  <w:noWrap w:val="0"/>
                  <w:vAlign w:val="center"/>
                </w:tcPr>
                <w:p w14:paraId="75E652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21.28 </w:t>
                  </w:r>
                </w:p>
              </w:tc>
              <w:tc>
                <w:tcPr>
                  <w:tcW w:w="385" w:type="pct"/>
                  <w:tcBorders>
                    <w:tl2br w:val="nil"/>
                    <w:tr2bl w:val="nil"/>
                  </w:tcBorders>
                  <w:noWrap w:val="0"/>
                  <w:vAlign w:val="center"/>
                </w:tcPr>
                <w:p w14:paraId="0207C548">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0.010 </w:t>
                  </w:r>
                </w:p>
              </w:tc>
              <w:tc>
                <w:tcPr>
                  <w:tcW w:w="396" w:type="pct"/>
                  <w:tcBorders>
                    <w:tl2br w:val="nil"/>
                    <w:tr2bl w:val="nil"/>
                  </w:tcBorders>
                  <w:noWrap w:val="0"/>
                  <w:vAlign w:val="center"/>
                </w:tcPr>
                <w:p w14:paraId="43CD9636">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0.025 </w:t>
                  </w:r>
                </w:p>
              </w:tc>
              <w:tc>
                <w:tcPr>
                  <w:tcW w:w="368" w:type="pct"/>
                  <w:vMerge w:val="restart"/>
                  <w:tcBorders>
                    <w:tl2br w:val="nil"/>
                    <w:tr2bl w:val="nil"/>
                  </w:tcBorders>
                  <w:noWrap w:val="0"/>
                  <w:vAlign w:val="center"/>
                </w:tcPr>
                <w:p w14:paraId="16252370">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auto"/>
                      <w:sz w:val="21"/>
                      <w:szCs w:val="21"/>
                      <w:lang w:val="en-US" w:eastAsia="zh-CN"/>
                    </w:rPr>
                  </w:pPr>
                  <w:r>
                    <w:rPr>
                      <w:rFonts w:hint="default" w:ascii="Times New Roman" w:hAnsi="Times New Roman" w:eastAsia="宋体" w:cs="Times New Roman"/>
                      <w:color w:val="auto"/>
                      <w:sz w:val="21"/>
                      <w:szCs w:val="21"/>
                    </w:rPr>
                    <w:t>DA00</w:t>
                  </w:r>
                  <w:r>
                    <w:rPr>
                      <w:rFonts w:hint="eastAsia" w:ascii="Times New Roman" w:hAnsi="Times New Roman" w:eastAsia="Times New Roman" w:cs="Times New Roman"/>
                      <w:color w:val="auto"/>
                      <w:sz w:val="21"/>
                      <w:szCs w:val="21"/>
                      <w:lang w:val="en-US" w:eastAsia="zh-CN"/>
                    </w:rPr>
                    <w:t>2</w:t>
                  </w:r>
                </w:p>
              </w:tc>
            </w:tr>
            <w:tr w14:paraId="608806ED">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107" w:hRule="atLeast"/>
                <w:jc w:val="center"/>
              </w:trPr>
              <w:tc>
                <w:tcPr>
                  <w:tcW w:w="230" w:type="pct"/>
                  <w:vMerge w:val="continue"/>
                  <w:tcBorders>
                    <w:tl2br w:val="nil"/>
                    <w:tr2bl w:val="nil"/>
                  </w:tcBorders>
                  <w:noWrap w:val="0"/>
                  <w:vAlign w:val="center"/>
                </w:tcPr>
                <w:p w14:paraId="2C6F3A3E">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val="0"/>
                      <w:bCs/>
                      <w:color w:val="auto"/>
                      <w:sz w:val="21"/>
                      <w:szCs w:val="21"/>
                    </w:rPr>
                  </w:pPr>
                </w:p>
              </w:tc>
              <w:tc>
                <w:tcPr>
                  <w:tcW w:w="268" w:type="pct"/>
                  <w:vMerge w:val="continue"/>
                  <w:tcBorders>
                    <w:tl2br w:val="nil"/>
                    <w:tr2bl w:val="nil"/>
                  </w:tcBorders>
                  <w:noWrap w:val="0"/>
                  <w:vAlign w:val="center"/>
                </w:tcPr>
                <w:p w14:paraId="239A9BC0">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val="0"/>
                      <w:bCs/>
                      <w:color w:val="auto"/>
                      <w:sz w:val="21"/>
                      <w:szCs w:val="21"/>
                    </w:rPr>
                  </w:pPr>
                </w:p>
              </w:tc>
              <w:tc>
                <w:tcPr>
                  <w:tcW w:w="467" w:type="pct"/>
                  <w:tcBorders>
                    <w:tl2br w:val="nil"/>
                    <w:tr2bl w:val="nil"/>
                  </w:tcBorders>
                  <w:noWrap w:val="0"/>
                  <w:vAlign w:val="center"/>
                </w:tcPr>
                <w:p w14:paraId="04BF3052">
                  <w:pPr>
                    <w:pStyle w:val="224"/>
                    <w:keepNext w:val="0"/>
                    <w:keepLines w:val="0"/>
                    <w:suppressLineNumbers w:val="0"/>
                    <w:spacing w:before="0" w:beforeAutospacing="0" w:after="0" w:afterAutospacing="0" w:line="240" w:lineRule="auto"/>
                    <w:ind w:left="-63" w:leftChars="-30" w:right="-63" w:rightChars="-30"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bCs/>
                      <w:color w:val="auto"/>
                      <w:sz w:val="21"/>
                      <w:szCs w:val="21"/>
                    </w:rPr>
                    <w:t>SO</w:t>
                  </w:r>
                  <w:r>
                    <w:rPr>
                      <w:rFonts w:hint="default" w:ascii="Times New Roman" w:hAnsi="Times New Roman" w:cs="Times New Roman"/>
                      <w:bCs/>
                      <w:color w:val="auto"/>
                      <w:sz w:val="21"/>
                      <w:szCs w:val="21"/>
                      <w:vertAlign w:val="subscript"/>
                    </w:rPr>
                    <w:t>2</w:t>
                  </w:r>
                </w:p>
              </w:tc>
              <w:tc>
                <w:tcPr>
                  <w:tcW w:w="334" w:type="pct"/>
                  <w:vMerge w:val="continue"/>
                  <w:tcBorders>
                    <w:tl2br w:val="nil"/>
                    <w:tr2bl w:val="nil"/>
                  </w:tcBorders>
                  <w:noWrap w:val="0"/>
                  <w:vAlign w:val="center"/>
                </w:tcPr>
                <w:p w14:paraId="46FFDAF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sz w:val="21"/>
                      <w:szCs w:val="21"/>
                      <w:lang w:val="en-US" w:eastAsia="zh-CN"/>
                    </w:rPr>
                  </w:pPr>
                </w:p>
              </w:tc>
              <w:tc>
                <w:tcPr>
                  <w:tcW w:w="347" w:type="pct"/>
                  <w:tcBorders>
                    <w:tl2br w:val="nil"/>
                    <w:tr2bl w:val="nil"/>
                  </w:tcBorders>
                  <w:noWrap w:val="0"/>
                  <w:vAlign w:val="center"/>
                </w:tcPr>
                <w:p w14:paraId="6B6D8D28">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14.47 </w:t>
                  </w:r>
                </w:p>
              </w:tc>
              <w:tc>
                <w:tcPr>
                  <w:tcW w:w="310" w:type="pct"/>
                  <w:tcBorders>
                    <w:tl2br w:val="nil"/>
                    <w:tr2bl w:val="nil"/>
                  </w:tcBorders>
                  <w:noWrap w:val="0"/>
                  <w:vAlign w:val="center"/>
                </w:tcPr>
                <w:p w14:paraId="77CE37B3">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0.007 </w:t>
                  </w:r>
                </w:p>
              </w:tc>
              <w:tc>
                <w:tcPr>
                  <w:tcW w:w="328" w:type="pct"/>
                  <w:tcBorders>
                    <w:tl2br w:val="nil"/>
                    <w:tr2bl w:val="nil"/>
                  </w:tcBorders>
                  <w:noWrap w:val="0"/>
                  <w:vAlign w:val="center"/>
                </w:tcPr>
                <w:p w14:paraId="47BFCBCB">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0.017 </w:t>
                  </w:r>
                </w:p>
              </w:tc>
              <w:tc>
                <w:tcPr>
                  <w:tcW w:w="896" w:type="pct"/>
                  <w:vMerge w:val="continue"/>
                  <w:tcBorders>
                    <w:tl2br w:val="nil"/>
                    <w:tr2bl w:val="nil"/>
                  </w:tcBorders>
                  <w:noWrap w:val="0"/>
                  <w:vAlign w:val="center"/>
                </w:tcPr>
                <w:p w14:paraId="36A2360C">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Times New Roman" w:cs="Times New Roman"/>
                      <w:color w:val="auto"/>
                      <w:sz w:val="21"/>
                      <w:szCs w:val="21"/>
                      <w:lang w:val="en-US" w:eastAsia="zh-CN"/>
                    </w:rPr>
                  </w:pPr>
                </w:p>
              </w:tc>
              <w:tc>
                <w:tcPr>
                  <w:tcW w:w="266" w:type="pct"/>
                  <w:tcBorders>
                    <w:tl2br w:val="nil"/>
                    <w:tr2bl w:val="nil"/>
                  </w:tcBorders>
                  <w:noWrap w:val="0"/>
                  <w:vAlign w:val="center"/>
                </w:tcPr>
                <w:p w14:paraId="43ECBADA">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cs="Times New Roman"/>
                      <w:b w:val="0"/>
                      <w:bCs/>
                      <w:color w:val="auto"/>
                      <w:sz w:val="21"/>
                      <w:szCs w:val="21"/>
                      <w:lang w:val="en-US" w:eastAsia="zh-CN"/>
                    </w:rPr>
                    <w:t>0</w:t>
                  </w:r>
                </w:p>
              </w:tc>
              <w:tc>
                <w:tcPr>
                  <w:tcW w:w="401" w:type="pct"/>
                  <w:tcBorders>
                    <w:tl2br w:val="nil"/>
                    <w:tr2bl w:val="nil"/>
                  </w:tcBorders>
                  <w:noWrap w:val="0"/>
                  <w:vAlign w:val="center"/>
                </w:tcPr>
                <w:p w14:paraId="2D28BA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14.47 </w:t>
                  </w:r>
                </w:p>
              </w:tc>
              <w:tc>
                <w:tcPr>
                  <w:tcW w:w="385" w:type="pct"/>
                  <w:tcBorders>
                    <w:tl2br w:val="nil"/>
                    <w:tr2bl w:val="nil"/>
                  </w:tcBorders>
                  <w:noWrap w:val="0"/>
                  <w:vAlign w:val="center"/>
                </w:tcPr>
                <w:p w14:paraId="16514985">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0.007 </w:t>
                  </w:r>
                </w:p>
              </w:tc>
              <w:tc>
                <w:tcPr>
                  <w:tcW w:w="396" w:type="pct"/>
                  <w:tcBorders>
                    <w:tl2br w:val="nil"/>
                    <w:tr2bl w:val="nil"/>
                  </w:tcBorders>
                  <w:noWrap w:val="0"/>
                  <w:vAlign w:val="center"/>
                </w:tcPr>
                <w:p w14:paraId="70F0C954">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0.017 </w:t>
                  </w:r>
                </w:p>
              </w:tc>
              <w:tc>
                <w:tcPr>
                  <w:tcW w:w="368" w:type="pct"/>
                  <w:vMerge w:val="continue"/>
                  <w:tcBorders>
                    <w:tl2br w:val="nil"/>
                    <w:tr2bl w:val="nil"/>
                  </w:tcBorders>
                  <w:noWrap w:val="0"/>
                  <w:vAlign w:val="center"/>
                </w:tcPr>
                <w:p w14:paraId="066C4ABE">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0000FF"/>
                      <w:sz w:val="21"/>
                      <w:szCs w:val="21"/>
                      <w:lang w:val="en-US" w:eastAsia="zh-CN"/>
                    </w:rPr>
                  </w:pPr>
                </w:p>
              </w:tc>
            </w:tr>
            <w:tr w14:paraId="0BF4EBD2">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107" w:hRule="atLeast"/>
                <w:jc w:val="center"/>
              </w:trPr>
              <w:tc>
                <w:tcPr>
                  <w:tcW w:w="230" w:type="pct"/>
                  <w:vMerge w:val="continue"/>
                  <w:tcBorders>
                    <w:tl2br w:val="nil"/>
                    <w:tr2bl w:val="nil"/>
                  </w:tcBorders>
                  <w:noWrap w:val="0"/>
                  <w:vAlign w:val="center"/>
                </w:tcPr>
                <w:p w14:paraId="7D248D35">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val="0"/>
                      <w:bCs/>
                      <w:color w:val="auto"/>
                      <w:sz w:val="21"/>
                      <w:szCs w:val="21"/>
                    </w:rPr>
                  </w:pPr>
                </w:p>
              </w:tc>
              <w:tc>
                <w:tcPr>
                  <w:tcW w:w="268" w:type="pct"/>
                  <w:vMerge w:val="continue"/>
                  <w:tcBorders>
                    <w:tl2br w:val="nil"/>
                    <w:tr2bl w:val="nil"/>
                  </w:tcBorders>
                  <w:noWrap w:val="0"/>
                  <w:vAlign w:val="center"/>
                </w:tcPr>
                <w:p w14:paraId="51709C1B">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val="0"/>
                      <w:bCs/>
                      <w:color w:val="auto"/>
                      <w:sz w:val="21"/>
                      <w:szCs w:val="21"/>
                    </w:rPr>
                  </w:pPr>
                </w:p>
              </w:tc>
              <w:tc>
                <w:tcPr>
                  <w:tcW w:w="467" w:type="pct"/>
                  <w:tcBorders>
                    <w:tl2br w:val="nil"/>
                    <w:tr2bl w:val="nil"/>
                  </w:tcBorders>
                  <w:noWrap w:val="0"/>
                  <w:vAlign w:val="center"/>
                </w:tcPr>
                <w:p w14:paraId="0699D59A">
                  <w:pPr>
                    <w:pStyle w:val="224"/>
                    <w:keepNext w:val="0"/>
                    <w:keepLines w:val="0"/>
                    <w:suppressLineNumbers w:val="0"/>
                    <w:spacing w:before="0" w:beforeAutospacing="0" w:after="0" w:afterAutospacing="0" w:line="240" w:lineRule="auto"/>
                    <w:ind w:left="-63" w:leftChars="-30" w:right="-63" w:rightChars="-30"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bCs/>
                      <w:color w:val="auto"/>
                      <w:sz w:val="21"/>
                      <w:szCs w:val="21"/>
                    </w:rPr>
                    <w:t>NO</w:t>
                  </w:r>
                  <w:r>
                    <w:rPr>
                      <w:rFonts w:hint="default" w:ascii="Times New Roman" w:hAnsi="Times New Roman" w:cs="Times New Roman"/>
                      <w:bCs/>
                      <w:color w:val="auto"/>
                      <w:sz w:val="21"/>
                      <w:szCs w:val="21"/>
                      <w:vertAlign w:val="subscript"/>
                    </w:rPr>
                    <w:t>X</w:t>
                  </w:r>
                </w:p>
              </w:tc>
              <w:tc>
                <w:tcPr>
                  <w:tcW w:w="334" w:type="pct"/>
                  <w:vMerge w:val="continue"/>
                  <w:tcBorders>
                    <w:tl2br w:val="nil"/>
                    <w:tr2bl w:val="nil"/>
                  </w:tcBorders>
                  <w:noWrap w:val="0"/>
                  <w:vAlign w:val="center"/>
                </w:tcPr>
                <w:p w14:paraId="31E998C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sz w:val="21"/>
                      <w:szCs w:val="21"/>
                      <w:lang w:val="en-US" w:eastAsia="zh-CN"/>
                    </w:rPr>
                  </w:pPr>
                </w:p>
              </w:tc>
              <w:tc>
                <w:tcPr>
                  <w:tcW w:w="347" w:type="pct"/>
                  <w:tcBorders>
                    <w:tl2br w:val="nil"/>
                    <w:tr2bl w:val="nil"/>
                  </w:tcBorders>
                  <w:noWrap w:val="0"/>
                  <w:vAlign w:val="center"/>
                </w:tcPr>
                <w:p w14:paraId="5007D966">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137.87 </w:t>
                  </w:r>
                </w:p>
              </w:tc>
              <w:tc>
                <w:tcPr>
                  <w:tcW w:w="310" w:type="pct"/>
                  <w:tcBorders>
                    <w:tl2br w:val="nil"/>
                    <w:tr2bl w:val="nil"/>
                  </w:tcBorders>
                  <w:noWrap w:val="0"/>
                  <w:vAlign w:val="center"/>
                </w:tcPr>
                <w:p w14:paraId="70563404">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0.068 </w:t>
                  </w:r>
                </w:p>
              </w:tc>
              <w:tc>
                <w:tcPr>
                  <w:tcW w:w="328" w:type="pct"/>
                  <w:tcBorders>
                    <w:tl2br w:val="nil"/>
                    <w:tr2bl w:val="nil"/>
                  </w:tcBorders>
                  <w:noWrap w:val="0"/>
                  <w:vAlign w:val="center"/>
                </w:tcPr>
                <w:p w14:paraId="7FDAD834">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0.162 </w:t>
                  </w:r>
                </w:p>
              </w:tc>
              <w:tc>
                <w:tcPr>
                  <w:tcW w:w="896" w:type="pct"/>
                  <w:vMerge w:val="continue"/>
                  <w:tcBorders>
                    <w:tl2br w:val="nil"/>
                    <w:tr2bl w:val="nil"/>
                  </w:tcBorders>
                  <w:noWrap w:val="0"/>
                  <w:vAlign w:val="center"/>
                </w:tcPr>
                <w:p w14:paraId="3ECAEE6D">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Times New Roman" w:cs="Times New Roman"/>
                      <w:color w:val="auto"/>
                      <w:sz w:val="21"/>
                      <w:szCs w:val="21"/>
                      <w:lang w:val="en-US" w:eastAsia="zh-CN"/>
                    </w:rPr>
                  </w:pPr>
                </w:p>
              </w:tc>
              <w:tc>
                <w:tcPr>
                  <w:tcW w:w="266" w:type="pct"/>
                  <w:tcBorders>
                    <w:tl2br w:val="nil"/>
                    <w:tr2bl w:val="nil"/>
                  </w:tcBorders>
                  <w:noWrap w:val="0"/>
                  <w:vAlign w:val="center"/>
                </w:tcPr>
                <w:p w14:paraId="29BE6B45">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cs="Times New Roman"/>
                      <w:b w:val="0"/>
                      <w:bCs/>
                      <w:color w:val="auto"/>
                      <w:sz w:val="21"/>
                      <w:szCs w:val="21"/>
                      <w:lang w:val="en-US" w:eastAsia="zh-CN"/>
                    </w:rPr>
                    <w:t>75%</w:t>
                  </w:r>
                </w:p>
              </w:tc>
              <w:tc>
                <w:tcPr>
                  <w:tcW w:w="401" w:type="pct"/>
                  <w:tcBorders>
                    <w:tl2br w:val="nil"/>
                    <w:tr2bl w:val="nil"/>
                  </w:tcBorders>
                  <w:noWrap w:val="0"/>
                  <w:vAlign w:val="center"/>
                </w:tcPr>
                <w:p w14:paraId="574CDE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34.47 </w:t>
                  </w:r>
                </w:p>
              </w:tc>
              <w:tc>
                <w:tcPr>
                  <w:tcW w:w="385" w:type="pct"/>
                  <w:tcBorders>
                    <w:tl2br w:val="nil"/>
                    <w:tr2bl w:val="nil"/>
                  </w:tcBorders>
                  <w:noWrap w:val="0"/>
                  <w:vAlign w:val="center"/>
                </w:tcPr>
                <w:p w14:paraId="3A52DB50">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0.017 </w:t>
                  </w:r>
                </w:p>
              </w:tc>
              <w:tc>
                <w:tcPr>
                  <w:tcW w:w="396" w:type="pct"/>
                  <w:tcBorders>
                    <w:tl2br w:val="nil"/>
                    <w:tr2bl w:val="nil"/>
                  </w:tcBorders>
                  <w:noWrap w:val="0"/>
                  <w:vAlign w:val="center"/>
                </w:tcPr>
                <w:p w14:paraId="76A3C5E3">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0.041 </w:t>
                  </w:r>
                </w:p>
              </w:tc>
              <w:tc>
                <w:tcPr>
                  <w:tcW w:w="368" w:type="pct"/>
                  <w:vMerge w:val="continue"/>
                  <w:tcBorders>
                    <w:tl2br w:val="nil"/>
                    <w:tr2bl w:val="nil"/>
                  </w:tcBorders>
                  <w:noWrap w:val="0"/>
                  <w:vAlign w:val="center"/>
                </w:tcPr>
                <w:p w14:paraId="4C9EC64A">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0000FF"/>
                      <w:sz w:val="21"/>
                      <w:szCs w:val="21"/>
                      <w:lang w:val="en-US" w:eastAsia="zh-CN"/>
                    </w:rPr>
                  </w:pPr>
                </w:p>
              </w:tc>
            </w:tr>
          </w:tbl>
          <w:p w14:paraId="7762405D">
            <w:pPr>
              <w:pStyle w:val="62"/>
              <w:keepNext w:val="0"/>
              <w:keepLines w:val="0"/>
              <w:suppressLineNumbers w:val="0"/>
              <w:bidi w:val="0"/>
              <w:spacing w:before="0" w:beforeAutospacing="0" w:after="0" w:afterAutospacing="0"/>
              <w:ind w:left="0" w:right="0"/>
              <w:rPr>
                <w:rFonts w:hint="default"/>
                <w:color w:val="auto"/>
              </w:rPr>
            </w:pPr>
            <w:r>
              <w:rPr>
                <w:rFonts w:hint="default"/>
                <w:color w:val="auto"/>
              </w:rPr>
              <w:t xml:space="preserve">根据《排污许可证申请与核发技术规范  </w:t>
            </w:r>
            <w:r>
              <w:rPr>
                <w:rFonts w:hint="eastAsia"/>
                <w:color w:val="auto"/>
              </w:rPr>
              <w:t>总则</w:t>
            </w:r>
            <w:r>
              <w:rPr>
                <w:rFonts w:hint="default"/>
                <w:color w:val="auto"/>
              </w:rPr>
              <w:t xml:space="preserve">》（HJ </w:t>
            </w:r>
            <w:r>
              <w:rPr>
                <w:rFonts w:hint="eastAsia"/>
                <w:color w:val="auto"/>
              </w:rPr>
              <w:t>942</w:t>
            </w:r>
            <w:r>
              <w:rPr>
                <w:rFonts w:hint="default"/>
                <w:color w:val="auto"/>
              </w:rPr>
              <w:t>—20</w:t>
            </w:r>
            <w:r>
              <w:rPr>
                <w:rFonts w:hint="eastAsia"/>
                <w:color w:val="auto"/>
              </w:rPr>
              <w:t>18</w:t>
            </w:r>
            <w:r>
              <w:rPr>
                <w:rFonts w:hint="default"/>
                <w:color w:val="auto"/>
              </w:rPr>
              <w:t>）4.5.</w:t>
            </w:r>
            <w:r>
              <w:rPr>
                <w:rFonts w:hint="eastAsia"/>
                <w:color w:val="auto"/>
              </w:rPr>
              <w:t>2.4</w:t>
            </w:r>
            <w:r>
              <w:rPr>
                <w:rFonts w:hint="default"/>
                <w:color w:val="auto"/>
              </w:rPr>
              <w:t>节</w:t>
            </w:r>
            <w:r>
              <w:rPr>
                <w:rFonts w:hint="eastAsia"/>
                <w:color w:val="auto"/>
              </w:rPr>
              <w:t>，</w:t>
            </w:r>
            <w:r>
              <w:rPr>
                <w:rFonts w:hint="default"/>
                <w:color w:val="auto"/>
              </w:rPr>
              <w:t>项目废气排放口为一般排放口，项目废气产排污节点、污染物及污染治理设施信息见表4-</w:t>
            </w:r>
            <w:r>
              <w:rPr>
                <w:rFonts w:hint="eastAsia"/>
                <w:color w:val="auto"/>
              </w:rPr>
              <w:t>2</w:t>
            </w:r>
            <w:r>
              <w:rPr>
                <w:rFonts w:hint="default"/>
                <w:color w:val="auto"/>
              </w:rPr>
              <w:t>；</w:t>
            </w:r>
          </w:p>
          <w:p w14:paraId="243124FE">
            <w:pPr>
              <w:keepNext w:val="0"/>
              <w:keepLines w:val="0"/>
              <w:suppressLineNumbers w:val="0"/>
              <w:adjustRightInd w:val="0"/>
              <w:snapToGrid w:val="0"/>
              <w:spacing w:before="0" w:beforeAutospacing="0" w:after="0" w:afterAutospacing="0" w:line="440" w:lineRule="exact"/>
              <w:ind w:left="0" w:right="0"/>
              <w:jc w:val="center"/>
              <w:rPr>
                <w:rFonts w:hint="default" w:hAnsi="宋体" w:eastAsia="宋体"/>
                <w:b/>
                <w:bCs/>
                <w:color w:val="0000FF"/>
                <w:szCs w:val="21"/>
              </w:rPr>
            </w:pPr>
          </w:p>
          <w:p w14:paraId="15F092D8">
            <w:pPr>
              <w:pStyle w:val="63"/>
              <w:keepNext w:val="0"/>
              <w:keepLines w:val="0"/>
              <w:suppressLineNumbers w:val="0"/>
              <w:bidi w:val="0"/>
              <w:spacing w:before="0" w:beforeAutospacing="0" w:after="0" w:afterAutospacing="0"/>
              <w:ind w:left="0" w:right="0"/>
              <w:rPr>
                <w:color w:val="auto"/>
              </w:rPr>
            </w:pPr>
            <w:r>
              <w:rPr>
                <w:color w:val="auto"/>
              </w:rPr>
              <w:t>表4-</w:t>
            </w:r>
            <w:r>
              <w:rPr>
                <w:rFonts w:hint="eastAsia"/>
                <w:color w:val="auto"/>
              </w:rPr>
              <w:t>2</w:t>
            </w:r>
            <w:r>
              <w:rPr>
                <w:color w:val="auto"/>
              </w:rPr>
              <w:t xml:space="preserve">  项目废气产排污节点、污染物种类及污染防治设施一览表</w:t>
            </w:r>
          </w:p>
          <w:tbl>
            <w:tblPr>
              <w:tblStyle w:val="52"/>
              <w:tblW w:w="496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30"/>
              <w:gridCol w:w="1300"/>
              <w:gridCol w:w="845"/>
              <w:gridCol w:w="782"/>
              <w:gridCol w:w="2827"/>
              <w:gridCol w:w="546"/>
              <w:gridCol w:w="636"/>
              <w:gridCol w:w="600"/>
              <w:gridCol w:w="1196"/>
              <w:gridCol w:w="847"/>
              <w:gridCol w:w="606"/>
              <w:gridCol w:w="737"/>
              <w:gridCol w:w="787"/>
              <w:gridCol w:w="767"/>
            </w:tblGrid>
            <w:tr w14:paraId="352359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 w:hRule="atLeast"/>
                <w:jc w:val="center"/>
              </w:trPr>
              <w:tc>
                <w:tcPr>
                  <w:tcW w:w="240" w:type="pct"/>
                  <w:vMerge w:val="restart"/>
                  <w:noWrap w:val="0"/>
                  <w:vAlign w:val="center"/>
                </w:tcPr>
                <w:p w14:paraId="385700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b/>
                      <w:color w:val="auto"/>
                      <w:sz w:val="21"/>
                      <w:szCs w:val="21"/>
                    </w:rPr>
                  </w:pPr>
                  <w:r>
                    <w:rPr>
                      <w:rFonts w:hint="default" w:ascii="Times New Roman" w:hAnsi="Times New Roman" w:eastAsia="Times New Roman" w:cs="Times New Roman"/>
                      <w:b/>
                      <w:color w:val="auto"/>
                      <w:sz w:val="21"/>
                      <w:szCs w:val="21"/>
                    </w:rPr>
                    <w:t>生产</w:t>
                  </w:r>
                </w:p>
                <w:p w14:paraId="612FB1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b/>
                      <w:color w:val="auto"/>
                      <w:sz w:val="21"/>
                      <w:szCs w:val="21"/>
                    </w:rPr>
                  </w:pPr>
                  <w:r>
                    <w:rPr>
                      <w:rFonts w:hint="default" w:ascii="Times New Roman" w:hAnsi="Times New Roman" w:eastAsia="Times New Roman" w:cs="Times New Roman"/>
                      <w:b/>
                      <w:color w:val="auto"/>
                      <w:sz w:val="21"/>
                      <w:szCs w:val="21"/>
                    </w:rPr>
                    <w:t>单元</w:t>
                  </w:r>
                </w:p>
              </w:tc>
              <w:tc>
                <w:tcPr>
                  <w:tcW w:w="495" w:type="pct"/>
                  <w:vMerge w:val="restart"/>
                  <w:noWrap w:val="0"/>
                  <w:vAlign w:val="center"/>
                </w:tcPr>
                <w:p w14:paraId="1B41BE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b/>
                      <w:color w:val="auto"/>
                      <w:sz w:val="21"/>
                      <w:szCs w:val="21"/>
                    </w:rPr>
                  </w:pPr>
                  <w:r>
                    <w:rPr>
                      <w:rFonts w:hint="default" w:ascii="Times New Roman" w:hAnsi="Times New Roman" w:eastAsia="Times New Roman" w:cs="Times New Roman"/>
                      <w:b/>
                      <w:color w:val="auto"/>
                      <w:sz w:val="21"/>
                      <w:szCs w:val="21"/>
                    </w:rPr>
                    <w:t>生产</w:t>
                  </w:r>
                </w:p>
                <w:p w14:paraId="20BE9B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b/>
                      <w:color w:val="auto"/>
                      <w:sz w:val="21"/>
                      <w:szCs w:val="21"/>
                    </w:rPr>
                  </w:pPr>
                  <w:r>
                    <w:rPr>
                      <w:rFonts w:hint="default" w:ascii="Times New Roman" w:hAnsi="Times New Roman" w:eastAsia="Times New Roman" w:cs="Times New Roman"/>
                      <w:b/>
                      <w:color w:val="auto"/>
                      <w:sz w:val="21"/>
                      <w:szCs w:val="21"/>
                    </w:rPr>
                    <w:t>设施</w:t>
                  </w:r>
                </w:p>
              </w:tc>
              <w:tc>
                <w:tcPr>
                  <w:tcW w:w="322" w:type="pct"/>
                  <w:vMerge w:val="restart"/>
                  <w:noWrap w:val="0"/>
                  <w:vAlign w:val="center"/>
                </w:tcPr>
                <w:p w14:paraId="3985E8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b/>
                      <w:color w:val="auto"/>
                      <w:sz w:val="21"/>
                      <w:szCs w:val="21"/>
                    </w:rPr>
                  </w:pPr>
                  <w:r>
                    <w:rPr>
                      <w:rFonts w:hint="default" w:ascii="Times New Roman" w:hAnsi="Times New Roman" w:eastAsia="Times New Roman" w:cs="Times New Roman"/>
                      <w:b/>
                      <w:color w:val="auto"/>
                      <w:sz w:val="21"/>
                      <w:szCs w:val="21"/>
                    </w:rPr>
                    <w:t>废气产污环节</w:t>
                  </w:r>
                </w:p>
              </w:tc>
              <w:tc>
                <w:tcPr>
                  <w:tcW w:w="298" w:type="pct"/>
                  <w:vMerge w:val="restart"/>
                  <w:noWrap w:val="0"/>
                  <w:vAlign w:val="center"/>
                </w:tcPr>
                <w:p w14:paraId="1929C4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b/>
                      <w:color w:val="auto"/>
                      <w:sz w:val="21"/>
                      <w:szCs w:val="21"/>
                    </w:rPr>
                  </w:pPr>
                  <w:r>
                    <w:rPr>
                      <w:rFonts w:hint="default" w:ascii="Times New Roman" w:hAnsi="Times New Roman" w:eastAsia="Times New Roman" w:cs="Times New Roman"/>
                      <w:b/>
                      <w:color w:val="auto"/>
                      <w:sz w:val="21"/>
                      <w:szCs w:val="21"/>
                    </w:rPr>
                    <w:t>污染物</w:t>
                  </w:r>
                </w:p>
                <w:p w14:paraId="122A41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b/>
                      <w:color w:val="auto"/>
                      <w:sz w:val="21"/>
                      <w:szCs w:val="21"/>
                    </w:rPr>
                  </w:pPr>
                  <w:r>
                    <w:rPr>
                      <w:rFonts w:hint="default" w:ascii="Times New Roman" w:hAnsi="Times New Roman" w:eastAsia="Times New Roman" w:cs="Times New Roman"/>
                      <w:b/>
                      <w:color w:val="auto"/>
                      <w:sz w:val="21"/>
                      <w:szCs w:val="21"/>
                    </w:rPr>
                    <w:t>种类</w:t>
                  </w:r>
                </w:p>
              </w:tc>
              <w:tc>
                <w:tcPr>
                  <w:tcW w:w="1078" w:type="pct"/>
                  <w:vMerge w:val="restart"/>
                  <w:noWrap w:val="0"/>
                  <w:vAlign w:val="center"/>
                </w:tcPr>
                <w:p w14:paraId="6B92AB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63" w:rightChars="-30"/>
                    <w:jc w:val="center"/>
                    <w:textAlignment w:val="auto"/>
                    <w:rPr>
                      <w:rFonts w:hint="default" w:ascii="Times New Roman" w:hAnsi="Times New Roman" w:eastAsia="Times New Roman" w:cs="Times New Roman"/>
                      <w:b/>
                      <w:color w:val="auto"/>
                      <w:sz w:val="21"/>
                      <w:szCs w:val="21"/>
                    </w:rPr>
                  </w:pPr>
                  <w:r>
                    <w:rPr>
                      <w:rFonts w:hint="default" w:ascii="Times New Roman" w:hAnsi="Times New Roman" w:eastAsia="Times New Roman" w:cs="Times New Roman"/>
                      <w:b/>
                      <w:color w:val="auto"/>
                      <w:sz w:val="21"/>
                      <w:szCs w:val="21"/>
                    </w:rPr>
                    <w:t>执行标准</w:t>
                  </w:r>
                </w:p>
              </w:tc>
              <w:tc>
                <w:tcPr>
                  <w:tcW w:w="208" w:type="pct"/>
                  <w:vMerge w:val="restart"/>
                  <w:noWrap w:val="0"/>
                  <w:vAlign w:val="center"/>
                </w:tcPr>
                <w:p w14:paraId="484823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b/>
                      <w:color w:val="auto"/>
                      <w:sz w:val="21"/>
                      <w:szCs w:val="21"/>
                    </w:rPr>
                  </w:pPr>
                  <w:r>
                    <w:rPr>
                      <w:rFonts w:hint="default" w:ascii="Times New Roman" w:hAnsi="Times New Roman" w:eastAsia="Times New Roman" w:cs="Times New Roman"/>
                      <w:b/>
                      <w:color w:val="auto"/>
                      <w:sz w:val="21"/>
                      <w:szCs w:val="21"/>
                    </w:rPr>
                    <w:t>排放形式</w:t>
                  </w:r>
                </w:p>
              </w:tc>
              <w:tc>
                <w:tcPr>
                  <w:tcW w:w="2063" w:type="pct"/>
                  <w:gridSpan w:val="7"/>
                  <w:noWrap w:val="0"/>
                  <w:vAlign w:val="center"/>
                </w:tcPr>
                <w:p w14:paraId="53AEAA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b/>
                      <w:color w:val="auto"/>
                      <w:sz w:val="21"/>
                      <w:szCs w:val="21"/>
                    </w:rPr>
                  </w:pPr>
                  <w:r>
                    <w:rPr>
                      <w:rFonts w:hint="default" w:ascii="Times New Roman" w:hAnsi="Times New Roman" w:eastAsia="Times New Roman" w:cs="Times New Roman"/>
                      <w:b/>
                      <w:color w:val="auto"/>
                      <w:sz w:val="21"/>
                      <w:szCs w:val="21"/>
                    </w:rPr>
                    <w:t>污染治理设施</w:t>
                  </w:r>
                </w:p>
              </w:tc>
              <w:tc>
                <w:tcPr>
                  <w:tcW w:w="292" w:type="pct"/>
                  <w:vMerge w:val="restart"/>
                  <w:noWrap w:val="0"/>
                  <w:vAlign w:val="center"/>
                </w:tcPr>
                <w:p w14:paraId="565F20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b/>
                      <w:color w:val="auto"/>
                      <w:sz w:val="21"/>
                      <w:szCs w:val="21"/>
                    </w:rPr>
                  </w:pPr>
                  <w:r>
                    <w:rPr>
                      <w:rFonts w:hint="default" w:ascii="Times New Roman" w:hAnsi="Times New Roman" w:eastAsia="Times New Roman" w:cs="Times New Roman"/>
                      <w:b/>
                      <w:color w:val="auto"/>
                      <w:sz w:val="21"/>
                      <w:szCs w:val="21"/>
                    </w:rPr>
                    <w:t>排放口类型</w:t>
                  </w:r>
                </w:p>
              </w:tc>
            </w:tr>
            <w:tr w14:paraId="6582B7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 w:hRule="atLeast"/>
                <w:jc w:val="center"/>
              </w:trPr>
              <w:tc>
                <w:tcPr>
                  <w:tcW w:w="240" w:type="pct"/>
                  <w:vMerge w:val="continue"/>
                  <w:noWrap w:val="0"/>
                  <w:vAlign w:val="center"/>
                </w:tcPr>
                <w:p w14:paraId="5DA495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b/>
                      <w:color w:val="auto"/>
                      <w:sz w:val="21"/>
                      <w:szCs w:val="21"/>
                    </w:rPr>
                  </w:pPr>
                </w:p>
              </w:tc>
              <w:tc>
                <w:tcPr>
                  <w:tcW w:w="495" w:type="pct"/>
                  <w:vMerge w:val="continue"/>
                  <w:noWrap w:val="0"/>
                  <w:vAlign w:val="center"/>
                </w:tcPr>
                <w:p w14:paraId="0396C7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b/>
                      <w:color w:val="auto"/>
                      <w:sz w:val="21"/>
                      <w:szCs w:val="21"/>
                    </w:rPr>
                  </w:pPr>
                </w:p>
              </w:tc>
              <w:tc>
                <w:tcPr>
                  <w:tcW w:w="322" w:type="pct"/>
                  <w:vMerge w:val="continue"/>
                  <w:noWrap w:val="0"/>
                  <w:vAlign w:val="center"/>
                </w:tcPr>
                <w:p w14:paraId="7ED8A3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b/>
                      <w:color w:val="auto"/>
                      <w:sz w:val="21"/>
                      <w:szCs w:val="21"/>
                    </w:rPr>
                  </w:pPr>
                </w:p>
              </w:tc>
              <w:tc>
                <w:tcPr>
                  <w:tcW w:w="298" w:type="pct"/>
                  <w:vMerge w:val="continue"/>
                  <w:noWrap w:val="0"/>
                  <w:vAlign w:val="center"/>
                </w:tcPr>
                <w:p w14:paraId="15A94D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b/>
                      <w:color w:val="auto"/>
                      <w:sz w:val="21"/>
                      <w:szCs w:val="21"/>
                    </w:rPr>
                  </w:pPr>
                </w:p>
              </w:tc>
              <w:tc>
                <w:tcPr>
                  <w:tcW w:w="1078" w:type="pct"/>
                  <w:vMerge w:val="continue"/>
                  <w:noWrap w:val="0"/>
                  <w:vAlign w:val="center"/>
                </w:tcPr>
                <w:p w14:paraId="57F3AE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b/>
                      <w:color w:val="auto"/>
                      <w:sz w:val="21"/>
                      <w:szCs w:val="21"/>
                    </w:rPr>
                  </w:pPr>
                </w:p>
              </w:tc>
              <w:tc>
                <w:tcPr>
                  <w:tcW w:w="208" w:type="pct"/>
                  <w:vMerge w:val="continue"/>
                  <w:noWrap w:val="0"/>
                  <w:vAlign w:val="center"/>
                </w:tcPr>
                <w:p w14:paraId="75EF76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b/>
                      <w:color w:val="auto"/>
                      <w:sz w:val="21"/>
                      <w:szCs w:val="21"/>
                    </w:rPr>
                  </w:pPr>
                </w:p>
              </w:tc>
              <w:tc>
                <w:tcPr>
                  <w:tcW w:w="242" w:type="pct"/>
                  <w:tcBorders>
                    <w:right w:val="single" w:color="auto" w:sz="4" w:space="0"/>
                  </w:tcBorders>
                  <w:noWrap w:val="0"/>
                  <w:vAlign w:val="center"/>
                </w:tcPr>
                <w:p w14:paraId="0CCF48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b/>
                      <w:color w:val="auto"/>
                      <w:sz w:val="21"/>
                      <w:szCs w:val="21"/>
                    </w:rPr>
                  </w:pPr>
                  <w:r>
                    <w:rPr>
                      <w:rFonts w:hint="default" w:ascii="Times New Roman" w:hAnsi="Times New Roman" w:eastAsia="Times New Roman" w:cs="Times New Roman"/>
                      <w:b/>
                      <w:color w:val="auto"/>
                      <w:sz w:val="21"/>
                      <w:szCs w:val="21"/>
                    </w:rPr>
                    <w:t>废气收集方式</w:t>
                  </w:r>
                </w:p>
              </w:tc>
              <w:tc>
                <w:tcPr>
                  <w:tcW w:w="685" w:type="pct"/>
                  <w:gridSpan w:val="2"/>
                  <w:tcBorders>
                    <w:left w:val="single" w:color="auto" w:sz="4" w:space="0"/>
                  </w:tcBorders>
                  <w:noWrap w:val="0"/>
                  <w:vAlign w:val="center"/>
                </w:tcPr>
                <w:p w14:paraId="4631E5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b/>
                      <w:color w:val="auto"/>
                      <w:sz w:val="21"/>
                      <w:szCs w:val="21"/>
                    </w:rPr>
                  </w:pPr>
                  <w:r>
                    <w:rPr>
                      <w:rFonts w:hint="default" w:ascii="Times New Roman" w:hAnsi="Times New Roman" w:eastAsia="Times New Roman" w:cs="Times New Roman"/>
                      <w:b/>
                      <w:color w:val="auto"/>
                      <w:sz w:val="21"/>
                      <w:szCs w:val="21"/>
                    </w:rPr>
                    <w:t>污染治理设施工艺</w:t>
                  </w:r>
                </w:p>
              </w:tc>
              <w:tc>
                <w:tcPr>
                  <w:tcW w:w="323" w:type="pct"/>
                  <w:noWrap w:val="0"/>
                  <w:vAlign w:val="center"/>
                </w:tcPr>
                <w:p w14:paraId="1C25CA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b/>
                      <w:color w:val="auto"/>
                      <w:sz w:val="21"/>
                      <w:szCs w:val="21"/>
                    </w:rPr>
                  </w:pPr>
                  <w:r>
                    <w:rPr>
                      <w:rFonts w:hint="default" w:ascii="Times New Roman" w:hAnsi="Times New Roman" w:eastAsia="Times New Roman" w:cs="Times New Roman"/>
                      <w:b/>
                      <w:color w:val="auto"/>
                      <w:sz w:val="21"/>
                      <w:szCs w:val="21"/>
                    </w:rPr>
                    <w:t>处理能力</w:t>
                  </w:r>
                </w:p>
              </w:tc>
              <w:tc>
                <w:tcPr>
                  <w:tcW w:w="231" w:type="pct"/>
                  <w:noWrap w:val="0"/>
                  <w:vAlign w:val="center"/>
                </w:tcPr>
                <w:p w14:paraId="74E609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eastAsia="Times New Roman" w:cs="Times New Roman"/>
                      <w:b/>
                      <w:color w:val="auto"/>
                      <w:sz w:val="21"/>
                      <w:szCs w:val="21"/>
                    </w:rPr>
                  </w:pPr>
                  <w:r>
                    <w:rPr>
                      <w:rFonts w:hint="default" w:ascii="Times New Roman" w:hAnsi="Times New Roman" w:eastAsia="Times New Roman" w:cs="Times New Roman"/>
                      <w:b/>
                      <w:color w:val="auto"/>
                      <w:sz w:val="21"/>
                      <w:szCs w:val="21"/>
                    </w:rPr>
                    <w:t>废气收集效率</w:t>
                  </w:r>
                </w:p>
              </w:tc>
              <w:tc>
                <w:tcPr>
                  <w:tcW w:w="281" w:type="pct"/>
                  <w:noWrap w:val="0"/>
                  <w:vAlign w:val="center"/>
                </w:tcPr>
                <w:p w14:paraId="078597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eastAsia="Times New Roman" w:cs="Times New Roman"/>
                      <w:b/>
                      <w:color w:val="auto"/>
                      <w:sz w:val="21"/>
                      <w:szCs w:val="21"/>
                    </w:rPr>
                  </w:pPr>
                  <w:r>
                    <w:rPr>
                      <w:rFonts w:hint="default" w:ascii="Times New Roman" w:hAnsi="Times New Roman" w:eastAsia="Times New Roman" w:cs="Times New Roman"/>
                      <w:b/>
                      <w:color w:val="auto"/>
                      <w:sz w:val="21"/>
                      <w:szCs w:val="21"/>
                    </w:rPr>
                    <w:t>治理工艺去除率</w:t>
                  </w:r>
                </w:p>
              </w:tc>
              <w:tc>
                <w:tcPr>
                  <w:tcW w:w="300" w:type="pct"/>
                  <w:noWrap w:val="0"/>
                  <w:vAlign w:val="center"/>
                </w:tcPr>
                <w:p w14:paraId="0DF7F0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b/>
                      <w:color w:val="auto"/>
                      <w:sz w:val="21"/>
                      <w:szCs w:val="21"/>
                    </w:rPr>
                  </w:pPr>
                  <w:r>
                    <w:rPr>
                      <w:rFonts w:hint="default" w:ascii="Times New Roman" w:hAnsi="Times New Roman" w:eastAsia="Times New Roman" w:cs="Times New Roman"/>
                      <w:b/>
                      <w:color w:val="auto"/>
                      <w:sz w:val="21"/>
                      <w:szCs w:val="21"/>
                    </w:rPr>
                    <w:t>是否为可行技术</w:t>
                  </w:r>
                </w:p>
              </w:tc>
              <w:tc>
                <w:tcPr>
                  <w:tcW w:w="292" w:type="pct"/>
                  <w:vMerge w:val="continue"/>
                  <w:noWrap w:val="0"/>
                  <w:vAlign w:val="center"/>
                </w:tcPr>
                <w:p w14:paraId="22F2A8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b/>
                      <w:color w:val="auto"/>
                      <w:sz w:val="21"/>
                      <w:szCs w:val="21"/>
                    </w:rPr>
                  </w:pPr>
                </w:p>
              </w:tc>
            </w:tr>
            <w:tr w14:paraId="50FD69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9" w:hRule="atLeast"/>
                <w:jc w:val="center"/>
              </w:trPr>
              <w:tc>
                <w:tcPr>
                  <w:tcW w:w="240" w:type="pct"/>
                  <w:vMerge w:val="restart"/>
                  <w:tcBorders>
                    <w:top w:val="single" w:color="auto" w:sz="4" w:space="0"/>
                  </w:tcBorders>
                  <w:noWrap w:val="0"/>
                  <w:vAlign w:val="center"/>
                </w:tcPr>
                <w:p w14:paraId="431AB1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生产车间</w:t>
                  </w:r>
                </w:p>
              </w:tc>
              <w:tc>
                <w:tcPr>
                  <w:tcW w:w="495" w:type="pct"/>
                  <w:vMerge w:val="restart"/>
                  <w:tcBorders>
                    <w:top w:val="single" w:color="auto" w:sz="4" w:space="0"/>
                  </w:tcBorders>
                  <w:noWrap w:val="0"/>
                  <w:vAlign w:val="center"/>
                </w:tcPr>
                <w:p w14:paraId="41A6540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密封箱式可控气氛多用炉、燃气淬火炉、电加热回火炉、燃气回火炉</w:t>
                  </w:r>
                </w:p>
              </w:tc>
              <w:tc>
                <w:tcPr>
                  <w:tcW w:w="322" w:type="pct"/>
                  <w:vMerge w:val="restart"/>
                  <w:tcBorders>
                    <w:top w:val="single" w:color="auto" w:sz="4" w:space="0"/>
                    <w:bottom w:val="single" w:color="auto" w:sz="4" w:space="0"/>
                  </w:tcBorders>
                  <w:noWrap w:val="0"/>
                  <w:vAlign w:val="center"/>
                </w:tcPr>
                <w:p w14:paraId="161D10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箱式渗碳、淬火回火</w:t>
                  </w:r>
                </w:p>
              </w:tc>
              <w:tc>
                <w:tcPr>
                  <w:tcW w:w="298" w:type="pct"/>
                  <w:tcBorders>
                    <w:top w:val="single" w:color="auto" w:sz="4" w:space="0"/>
                    <w:bottom w:val="single" w:color="auto" w:sz="4" w:space="0"/>
                  </w:tcBorders>
                  <w:noWrap w:val="0"/>
                  <w:vAlign w:val="center"/>
                </w:tcPr>
                <w:p w14:paraId="77D45389">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颗粒物</w:t>
                  </w:r>
                </w:p>
              </w:tc>
              <w:tc>
                <w:tcPr>
                  <w:tcW w:w="1078" w:type="pct"/>
                  <w:vMerge w:val="restart"/>
                  <w:tcBorders>
                    <w:top w:val="single" w:color="auto" w:sz="4" w:space="0"/>
                  </w:tcBorders>
                  <w:noWrap w:val="0"/>
                  <w:vAlign w:val="center"/>
                </w:tcPr>
                <w:p w14:paraId="6F47D8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lang w:val="en-US" w:eastAsia="zh-CN"/>
                    </w:rPr>
                  </w:pPr>
                  <w:r>
                    <w:rPr>
                      <w:rFonts w:hint="default" w:ascii="Times New Roman" w:hAnsi="Times New Roman" w:eastAsia="宋体" w:cs="Times New Roman"/>
                      <w:bCs/>
                      <w:color w:val="auto"/>
                      <w:kern w:val="0"/>
                      <w:sz w:val="21"/>
                      <w:szCs w:val="21"/>
                      <w:highlight w:val="none"/>
                      <w:lang w:eastAsia="zh-CN"/>
                    </w:rPr>
                    <w:t>《大</w:t>
                  </w:r>
                  <w:r>
                    <w:rPr>
                      <w:rFonts w:hint="default" w:ascii="Times New Roman" w:hAnsi="Times New Roman" w:eastAsia="宋体" w:cs="Times New Roman"/>
                      <w:bCs/>
                      <w:color w:val="auto"/>
                      <w:kern w:val="0"/>
                      <w:sz w:val="21"/>
                      <w:szCs w:val="21"/>
                      <w:highlight w:val="none"/>
                      <w:lang w:val="en-US" w:eastAsia="zh-CN"/>
                    </w:rPr>
                    <w:t>气污染物综合排放标准》（GB16297-1996）</w:t>
                  </w:r>
                </w:p>
              </w:tc>
              <w:tc>
                <w:tcPr>
                  <w:tcW w:w="208" w:type="pct"/>
                  <w:vMerge w:val="restart"/>
                  <w:tcBorders>
                    <w:top w:val="single" w:color="auto" w:sz="4" w:space="0"/>
                  </w:tcBorders>
                  <w:noWrap w:val="0"/>
                  <w:vAlign w:val="center"/>
                </w:tcPr>
                <w:p w14:paraId="6859B1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有组织</w:t>
                  </w:r>
                </w:p>
              </w:tc>
              <w:tc>
                <w:tcPr>
                  <w:tcW w:w="242" w:type="pct"/>
                  <w:vMerge w:val="restart"/>
                  <w:tcBorders>
                    <w:top w:val="single" w:color="auto" w:sz="4" w:space="0"/>
                    <w:right w:val="single" w:color="auto" w:sz="4" w:space="0"/>
                  </w:tcBorders>
                  <w:noWrap w:val="0"/>
                  <w:vAlign w:val="center"/>
                </w:tcPr>
                <w:p w14:paraId="70D1F3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lang w:val="en-US" w:eastAsia="zh-CN"/>
                    </w:rPr>
                  </w:pPr>
                  <w:r>
                    <w:rPr>
                      <w:rFonts w:hint="default" w:ascii="Times New Roman" w:hAnsi="Times New Roman" w:eastAsia="Times New Roman" w:cs="Times New Roman"/>
                      <w:color w:val="auto"/>
                      <w:sz w:val="21"/>
                      <w:szCs w:val="21"/>
                      <w:lang w:val="en-US" w:eastAsia="zh-CN"/>
                    </w:rPr>
                    <w:t>集气罩收集</w:t>
                  </w:r>
                </w:p>
              </w:tc>
              <w:tc>
                <w:tcPr>
                  <w:tcW w:w="228" w:type="pct"/>
                  <w:vMerge w:val="restart"/>
                  <w:tcBorders>
                    <w:top w:val="single" w:color="auto" w:sz="4" w:space="0"/>
                    <w:left w:val="single" w:color="auto" w:sz="4" w:space="0"/>
                    <w:right w:val="single" w:color="auto" w:sz="4" w:space="0"/>
                  </w:tcBorders>
                  <w:noWrap w:val="0"/>
                  <w:vAlign w:val="center"/>
                </w:tcPr>
                <w:p w14:paraId="60A4DE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Times New Roman" w:cs="Times New Roman"/>
                      <w:color w:val="auto"/>
                      <w:sz w:val="21"/>
                      <w:szCs w:val="21"/>
                      <w:lang w:val="en-US" w:eastAsia="zh-CN"/>
                    </w:rPr>
                    <w:t>过滤</w:t>
                  </w:r>
                  <w:r>
                    <w:rPr>
                      <w:rFonts w:hint="default" w:ascii="Times New Roman" w:hAnsi="Times New Roman" w:eastAsia="Times New Roman" w:cs="Times New Roman"/>
                      <w:color w:val="auto"/>
                      <w:sz w:val="21"/>
                      <w:szCs w:val="21"/>
                      <w:lang w:val="en-US" w:eastAsia="zh-CN"/>
                    </w:rPr>
                    <w:t>吸附</w:t>
                  </w:r>
                </w:p>
              </w:tc>
              <w:tc>
                <w:tcPr>
                  <w:tcW w:w="456" w:type="pct"/>
                  <w:vMerge w:val="restart"/>
                  <w:tcBorders>
                    <w:top w:val="single" w:color="auto" w:sz="4" w:space="0"/>
                    <w:left w:val="single" w:color="auto" w:sz="4" w:space="0"/>
                  </w:tcBorders>
                  <w:noWrap w:val="0"/>
                  <w:vAlign w:val="center"/>
                </w:tcPr>
                <w:p w14:paraId="722416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废气间接冷却装置+静电吸附油雾净化装置+三级干式过滤器+二级活性炭吸附装置</w:t>
                  </w:r>
                </w:p>
              </w:tc>
              <w:tc>
                <w:tcPr>
                  <w:tcW w:w="323" w:type="pct"/>
                  <w:vMerge w:val="restart"/>
                  <w:tcBorders>
                    <w:top w:val="single" w:color="auto" w:sz="4" w:space="0"/>
                  </w:tcBorders>
                  <w:noWrap w:val="0"/>
                  <w:vAlign w:val="center"/>
                </w:tcPr>
                <w:p w14:paraId="443460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风量</w:t>
                  </w:r>
                  <w:r>
                    <w:rPr>
                      <w:rFonts w:hint="default" w:ascii="Times New Roman" w:hAnsi="Times New Roman" w:eastAsia="Times New Roman" w:cs="Times New Roman"/>
                      <w:b w:val="0"/>
                      <w:bCs/>
                      <w:color w:val="auto"/>
                      <w:sz w:val="21"/>
                      <w:szCs w:val="21"/>
                      <w:lang w:val="en-US" w:eastAsia="zh-CN"/>
                    </w:rPr>
                    <w:t>180</w:t>
                  </w:r>
                  <w:r>
                    <w:rPr>
                      <w:rFonts w:hint="default" w:ascii="Times New Roman" w:hAnsi="Times New Roman" w:eastAsia="宋体" w:cs="Times New Roman"/>
                      <w:b w:val="0"/>
                      <w:bCs/>
                      <w:color w:val="auto"/>
                      <w:sz w:val="21"/>
                      <w:szCs w:val="21"/>
                      <w:lang w:val="en-US" w:eastAsia="zh-CN"/>
                    </w:rPr>
                    <w:t>00</w:t>
                  </w:r>
                </w:p>
                <w:p w14:paraId="0CE9F6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m</w:t>
                  </w:r>
                  <w:r>
                    <w:rPr>
                      <w:rFonts w:hint="default" w:ascii="Times New Roman" w:hAnsi="Times New Roman" w:eastAsia="Times New Roman" w:cs="Times New Roman"/>
                      <w:color w:val="auto"/>
                      <w:sz w:val="21"/>
                      <w:szCs w:val="21"/>
                      <w:vertAlign w:val="superscript"/>
                    </w:rPr>
                    <w:t>3</w:t>
                  </w:r>
                  <w:r>
                    <w:rPr>
                      <w:rFonts w:hint="default" w:ascii="Times New Roman" w:hAnsi="Times New Roman" w:eastAsia="Times New Roman" w:cs="Times New Roman"/>
                      <w:color w:val="auto"/>
                      <w:sz w:val="21"/>
                      <w:szCs w:val="21"/>
                    </w:rPr>
                    <w:t>/h</w:t>
                  </w:r>
                </w:p>
              </w:tc>
              <w:tc>
                <w:tcPr>
                  <w:tcW w:w="231" w:type="pct"/>
                  <w:vMerge w:val="restart"/>
                  <w:tcBorders>
                    <w:top w:val="single" w:color="auto" w:sz="4" w:space="0"/>
                  </w:tcBorders>
                  <w:noWrap w:val="0"/>
                  <w:vAlign w:val="center"/>
                </w:tcPr>
                <w:p w14:paraId="55D9EE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w:t>
                  </w:r>
                </w:p>
              </w:tc>
              <w:tc>
                <w:tcPr>
                  <w:tcW w:w="281" w:type="pct"/>
                  <w:tcBorders>
                    <w:top w:val="single" w:color="auto" w:sz="4" w:space="0"/>
                    <w:bottom w:val="single" w:color="auto" w:sz="4" w:space="0"/>
                  </w:tcBorders>
                  <w:noWrap w:val="0"/>
                  <w:vAlign w:val="center"/>
                </w:tcPr>
                <w:p w14:paraId="765F8D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9</w:t>
                  </w:r>
                  <w:r>
                    <w:rPr>
                      <w:rFonts w:hint="default" w:ascii="Times New Roman" w:hAnsi="Times New Roman" w:cs="Times New Roman"/>
                      <w:color w:val="auto"/>
                      <w:sz w:val="21"/>
                      <w:szCs w:val="21"/>
                      <w:lang w:val="en-US" w:eastAsia="zh-CN"/>
                    </w:rPr>
                    <w:t>9</w:t>
                  </w:r>
                  <w:r>
                    <w:rPr>
                      <w:rFonts w:hint="default" w:ascii="Times New Roman" w:hAnsi="Times New Roman" w:eastAsia="宋体" w:cs="Times New Roman"/>
                      <w:color w:val="auto"/>
                      <w:sz w:val="21"/>
                      <w:szCs w:val="21"/>
                      <w:lang w:val="en-US" w:eastAsia="zh-CN"/>
                    </w:rPr>
                    <w:t>%</w:t>
                  </w:r>
                </w:p>
              </w:tc>
              <w:tc>
                <w:tcPr>
                  <w:tcW w:w="300" w:type="pct"/>
                  <w:vMerge w:val="restart"/>
                  <w:tcBorders>
                    <w:top w:val="single" w:color="auto" w:sz="4" w:space="0"/>
                  </w:tcBorders>
                  <w:noWrap w:val="0"/>
                  <w:vAlign w:val="center"/>
                </w:tcPr>
                <w:p w14:paraId="352C03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是</w:t>
                  </w:r>
                </w:p>
              </w:tc>
              <w:tc>
                <w:tcPr>
                  <w:tcW w:w="292" w:type="pct"/>
                  <w:vMerge w:val="restart"/>
                  <w:tcBorders>
                    <w:top w:val="single" w:color="auto" w:sz="4" w:space="0"/>
                  </w:tcBorders>
                  <w:noWrap w:val="0"/>
                  <w:vAlign w:val="center"/>
                </w:tcPr>
                <w:p w14:paraId="3A5779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一般排放口</w:t>
                  </w:r>
                </w:p>
              </w:tc>
            </w:tr>
            <w:tr w14:paraId="268C85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5" w:hRule="atLeast"/>
                <w:jc w:val="center"/>
              </w:trPr>
              <w:tc>
                <w:tcPr>
                  <w:tcW w:w="240" w:type="pct"/>
                  <w:vMerge w:val="continue"/>
                  <w:noWrap w:val="0"/>
                  <w:vAlign w:val="center"/>
                </w:tcPr>
                <w:p w14:paraId="25C3D2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rPr>
                  </w:pPr>
                </w:p>
              </w:tc>
              <w:tc>
                <w:tcPr>
                  <w:tcW w:w="495" w:type="pct"/>
                  <w:vMerge w:val="continue"/>
                  <w:tcBorders>
                    <w:top w:val="single" w:color="auto" w:sz="4" w:space="0"/>
                    <w:bottom w:val="single" w:color="auto" w:sz="4" w:space="0"/>
                  </w:tcBorders>
                  <w:noWrap w:val="0"/>
                  <w:vAlign w:val="center"/>
                </w:tcPr>
                <w:p w14:paraId="2A093F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lang w:val="en-US" w:eastAsia="zh-CN"/>
                    </w:rPr>
                  </w:pPr>
                </w:p>
              </w:tc>
              <w:tc>
                <w:tcPr>
                  <w:tcW w:w="322" w:type="pct"/>
                  <w:vMerge w:val="continue"/>
                  <w:tcBorders>
                    <w:top w:val="single" w:color="auto" w:sz="4" w:space="0"/>
                    <w:bottom w:val="single" w:color="auto" w:sz="4" w:space="0"/>
                  </w:tcBorders>
                  <w:noWrap w:val="0"/>
                  <w:vAlign w:val="center"/>
                </w:tcPr>
                <w:p w14:paraId="291FC1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lang w:val="en-US" w:eastAsia="zh-CN"/>
                    </w:rPr>
                  </w:pPr>
                </w:p>
              </w:tc>
              <w:tc>
                <w:tcPr>
                  <w:tcW w:w="298" w:type="pct"/>
                  <w:tcBorders>
                    <w:top w:val="single" w:color="auto" w:sz="4" w:space="0"/>
                    <w:bottom w:val="single" w:color="auto" w:sz="4" w:space="0"/>
                  </w:tcBorders>
                  <w:noWrap w:val="0"/>
                  <w:vAlign w:val="center"/>
                </w:tcPr>
                <w:p w14:paraId="68F42362">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Times New Roman"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非甲烷总烃</w:t>
                  </w:r>
                </w:p>
              </w:tc>
              <w:tc>
                <w:tcPr>
                  <w:tcW w:w="1078" w:type="pct"/>
                  <w:vMerge w:val="continue"/>
                  <w:tcBorders>
                    <w:bottom w:val="single" w:color="auto" w:sz="4" w:space="0"/>
                  </w:tcBorders>
                  <w:noWrap w:val="0"/>
                  <w:vAlign w:val="center"/>
                </w:tcPr>
                <w:p w14:paraId="410ABD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lang w:val="en-US" w:eastAsia="zh-CN"/>
                    </w:rPr>
                  </w:pPr>
                </w:p>
              </w:tc>
              <w:tc>
                <w:tcPr>
                  <w:tcW w:w="208" w:type="pct"/>
                  <w:vMerge w:val="continue"/>
                  <w:noWrap w:val="0"/>
                  <w:vAlign w:val="center"/>
                </w:tcPr>
                <w:p w14:paraId="05ED81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rPr>
                  </w:pPr>
                </w:p>
              </w:tc>
              <w:tc>
                <w:tcPr>
                  <w:tcW w:w="242" w:type="pct"/>
                  <w:vMerge w:val="continue"/>
                  <w:tcBorders>
                    <w:right w:val="single" w:color="auto" w:sz="4" w:space="0"/>
                  </w:tcBorders>
                  <w:noWrap w:val="0"/>
                  <w:vAlign w:val="center"/>
                </w:tcPr>
                <w:p w14:paraId="586558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lang w:val="en-US" w:eastAsia="zh-CN"/>
                    </w:rPr>
                  </w:pPr>
                </w:p>
              </w:tc>
              <w:tc>
                <w:tcPr>
                  <w:tcW w:w="228" w:type="pct"/>
                  <w:vMerge w:val="continue"/>
                  <w:tcBorders>
                    <w:left w:val="single" w:color="auto" w:sz="4" w:space="0"/>
                    <w:right w:val="single" w:color="auto" w:sz="4" w:space="0"/>
                  </w:tcBorders>
                  <w:noWrap w:val="0"/>
                  <w:vAlign w:val="center"/>
                </w:tcPr>
                <w:p w14:paraId="6A5739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lang w:val="en-US" w:eastAsia="zh-CN"/>
                    </w:rPr>
                  </w:pPr>
                </w:p>
              </w:tc>
              <w:tc>
                <w:tcPr>
                  <w:tcW w:w="456" w:type="pct"/>
                  <w:vMerge w:val="continue"/>
                  <w:tcBorders>
                    <w:left w:val="single" w:color="auto" w:sz="4" w:space="0"/>
                  </w:tcBorders>
                  <w:noWrap w:val="0"/>
                  <w:vAlign w:val="center"/>
                </w:tcPr>
                <w:p w14:paraId="190594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lang w:val="en-US" w:eastAsia="zh-CN"/>
                    </w:rPr>
                  </w:pPr>
                </w:p>
              </w:tc>
              <w:tc>
                <w:tcPr>
                  <w:tcW w:w="323" w:type="pct"/>
                  <w:vMerge w:val="continue"/>
                  <w:noWrap w:val="0"/>
                  <w:vAlign w:val="center"/>
                </w:tcPr>
                <w:p w14:paraId="418DD4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rPr>
                  </w:pPr>
                </w:p>
              </w:tc>
              <w:tc>
                <w:tcPr>
                  <w:tcW w:w="231" w:type="pct"/>
                  <w:vMerge w:val="continue"/>
                  <w:noWrap w:val="0"/>
                  <w:vAlign w:val="center"/>
                </w:tcPr>
                <w:p w14:paraId="5FCE24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lang w:val="en-US" w:eastAsia="zh-CN"/>
                    </w:rPr>
                  </w:pPr>
                </w:p>
              </w:tc>
              <w:tc>
                <w:tcPr>
                  <w:tcW w:w="281" w:type="pct"/>
                  <w:tcBorders>
                    <w:top w:val="single" w:color="auto" w:sz="4" w:space="0"/>
                    <w:bottom w:val="single" w:color="auto" w:sz="4" w:space="0"/>
                  </w:tcBorders>
                  <w:noWrap w:val="0"/>
                  <w:vAlign w:val="center"/>
                </w:tcPr>
                <w:p w14:paraId="4DB62E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9</w:t>
                  </w:r>
                  <w:r>
                    <w:rPr>
                      <w:rFonts w:hint="default" w:ascii="Times New Roman" w:hAnsi="Times New Roman" w:eastAsia="宋体" w:cs="Times New Roman"/>
                      <w:color w:val="auto"/>
                      <w:sz w:val="21"/>
                      <w:szCs w:val="21"/>
                      <w:lang w:val="en-US" w:eastAsia="zh-CN"/>
                    </w:rPr>
                    <w:t>0%</w:t>
                  </w:r>
                </w:p>
              </w:tc>
              <w:tc>
                <w:tcPr>
                  <w:tcW w:w="300" w:type="pct"/>
                  <w:vMerge w:val="continue"/>
                  <w:noWrap w:val="0"/>
                  <w:vAlign w:val="center"/>
                </w:tcPr>
                <w:p w14:paraId="7DBCA1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0000FF"/>
                      <w:sz w:val="21"/>
                      <w:szCs w:val="21"/>
                    </w:rPr>
                  </w:pPr>
                </w:p>
              </w:tc>
              <w:tc>
                <w:tcPr>
                  <w:tcW w:w="292" w:type="pct"/>
                  <w:vMerge w:val="continue"/>
                  <w:noWrap w:val="0"/>
                  <w:vAlign w:val="center"/>
                </w:tcPr>
                <w:p w14:paraId="00A07E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0000FF"/>
                      <w:sz w:val="21"/>
                      <w:szCs w:val="21"/>
                    </w:rPr>
                  </w:pPr>
                </w:p>
              </w:tc>
            </w:tr>
            <w:tr w14:paraId="0EF256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3" w:hRule="atLeast"/>
                <w:jc w:val="center"/>
              </w:trPr>
              <w:tc>
                <w:tcPr>
                  <w:tcW w:w="240" w:type="pct"/>
                  <w:vMerge w:val="continue"/>
                  <w:noWrap w:val="0"/>
                  <w:vAlign w:val="center"/>
                </w:tcPr>
                <w:p w14:paraId="65B1E6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lang w:val="en-US" w:eastAsia="zh-CN"/>
                    </w:rPr>
                  </w:pPr>
                </w:p>
              </w:tc>
              <w:tc>
                <w:tcPr>
                  <w:tcW w:w="495" w:type="pct"/>
                  <w:vMerge w:val="restart"/>
                  <w:tcBorders>
                    <w:top w:val="single" w:color="auto" w:sz="4" w:space="0"/>
                  </w:tcBorders>
                  <w:noWrap w:val="0"/>
                  <w:vAlign w:val="center"/>
                </w:tcPr>
                <w:p w14:paraId="7F4498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燃气淬火炉、燃气回火炉、燃气正火炉、燃气退火炉</w:t>
                  </w:r>
                </w:p>
              </w:tc>
              <w:tc>
                <w:tcPr>
                  <w:tcW w:w="322" w:type="pct"/>
                  <w:vMerge w:val="restart"/>
                  <w:tcBorders>
                    <w:top w:val="single" w:color="auto" w:sz="4" w:space="0"/>
                  </w:tcBorders>
                  <w:noWrap w:val="0"/>
                  <w:vAlign w:val="center"/>
                </w:tcPr>
                <w:p w14:paraId="2C650D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天然气燃烧</w:t>
                  </w:r>
                </w:p>
              </w:tc>
              <w:tc>
                <w:tcPr>
                  <w:tcW w:w="298" w:type="pct"/>
                  <w:tcBorders>
                    <w:top w:val="single" w:color="auto" w:sz="4" w:space="0"/>
                    <w:bottom w:val="single" w:color="auto" w:sz="4" w:space="0"/>
                  </w:tcBorders>
                  <w:noWrap w:val="0"/>
                  <w:vAlign w:val="center"/>
                </w:tcPr>
                <w:p w14:paraId="2EE2435C">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Cs w:val="21"/>
                      <w:lang w:val="en-US" w:eastAsia="zh-CN"/>
                    </w:rPr>
                    <w:t>颗粒物</w:t>
                  </w:r>
                </w:p>
              </w:tc>
              <w:tc>
                <w:tcPr>
                  <w:tcW w:w="1078" w:type="pct"/>
                  <w:vMerge w:val="restart"/>
                  <w:tcBorders>
                    <w:top w:val="single" w:color="auto" w:sz="4" w:space="0"/>
                  </w:tcBorders>
                  <w:noWrap w:val="0"/>
                  <w:vAlign w:val="center"/>
                </w:tcPr>
                <w:p w14:paraId="7CD885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kern w:val="0"/>
                      <w:sz w:val="21"/>
                      <w:szCs w:val="21"/>
                      <w:lang w:bidi="ar"/>
                    </w:rPr>
                  </w:pPr>
                  <w:r>
                    <w:rPr>
                      <w:rFonts w:hint="default" w:ascii="Times New Roman" w:hAnsi="Times New Roman" w:cs="Times New Roman"/>
                      <w:color w:val="auto"/>
                      <w:sz w:val="21"/>
                      <w:szCs w:val="21"/>
                    </w:rPr>
                    <w:t>《关于印发&lt;工业炉窑大气污染综合治理方案&gt;的通知》（环大气[2019]56号）</w:t>
                  </w:r>
                </w:p>
              </w:tc>
              <w:tc>
                <w:tcPr>
                  <w:tcW w:w="208" w:type="pct"/>
                  <w:vMerge w:val="restart"/>
                  <w:noWrap w:val="0"/>
                  <w:vAlign w:val="center"/>
                </w:tcPr>
                <w:p w14:paraId="77B93E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有组织</w:t>
                  </w:r>
                </w:p>
              </w:tc>
              <w:tc>
                <w:tcPr>
                  <w:tcW w:w="242" w:type="pct"/>
                  <w:vMerge w:val="restart"/>
                  <w:tcBorders>
                    <w:right w:val="single" w:color="auto" w:sz="4" w:space="0"/>
                  </w:tcBorders>
                  <w:noWrap w:val="0"/>
                  <w:vAlign w:val="center"/>
                </w:tcPr>
                <w:p w14:paraId="2B1DFF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lang w:val="en-US" w:eastAsia="zh-CN"/>
                    </w:rPr>
                  </w:pPr>
                  <w:r>
                    <w:rPr>
                      <w:rFonts w:hint="default" w:ascii="Times New Roman" w:hAnsi="Times New Roman" w:eastAsia="Times New Roman" w:cs="Times New Roman"/>
                      <w:color w:val="auto"/>
                      <w:sz w:val="21"/>
                      <w:szCs w:val="21"/>
                      <w:lang w:val="en-US" w:eastAsia="zh-CN"/>
                    </w:rPr>
                    <w:t>烟气管道</w:t>
                  </w:r>
                </w:p>
              </w:tc>
              <w:tc>
                <w:tcPr>
                  <w:tcW w:w="228" w:type="pct"/>
                  <w:tcBorders>
                    <w:left w:val="single" w:color="auto" w:sz="4" w:space="0"/>
                    <w:right w:val="single" w:color="auto" w:sz="4" w:space="0"/>
                  </w:tcBorders>
                  <w:noWrap w:val="0"/>
                  <w:vAlign w:val="center"/>
                </w:tcPr>
                <w:p w14:paraId="0FBADF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lang w:val="en-US" w:eastAsia="zh-CN"/>
                    </w:rPr>
                  </w:pPr>
                  <w:r>
                    <w:rPr>
                      <w:rFonts w:hint="default" w:ascii="Times New Roman" w:hAnsi="Times New Roman" w:eastAsia="Times New Roman" w:cs="Times New Roman"/>
                      <w:color w:val="auto"/>
                      <w:sz w:val="21"/>
                      <w:szCs w:val="21"/>
                      <w:lang w:val="en-US" w:eastAsia="zh-CN"/>
                    </w:rPr>
                    <w:t>/</w:t>
                  </w:r>
                </w:p>
              </w:tc>
              <w:tc>
                <w:tcPr>
                  <w:tcW w:w="456" w:type="pct"/>
                  <w:vMerge w:val="restart"/>
                  <w:tcBorders>
                    <w:left w:val="single" w:color="auto" w:sz="4" w:space="0"/>
                  </w:tcBorders>
                  <w:noWrap w:val="0"/>
                  <w:vAlign w:val="center"/>
                </w:tcPr>
                <w:p w14:paraId="51E106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lang w:val="en-US" w:eastAsia="zh-CN"/>
                    </w:rPr>
                  </w:pPr>
                  <w:r>
                    <w:rPr>
                      <w:rFonts w:hint="default" w:ascii="Times New Roman" w:hAnsi="Times New Roman" w:eastAsia="Times New Roman" w:cs="Times New Roman"/>
                      <w:color w:val="auto"/>
                      <w:sz w:val="21"/>
                      <w:szCs w:val="21"/>
                      <w:lang w:val="en-US" w:eastAsia="zh-CN"/>
                    </w:rPr>
                    <w:t>FGR低氮燃烧器</w:t>
                  </w:r>
                </w:p>
              </w:tc>
              <w:tc>
                <w:tcPr>
                  <w:tcW w:w="323" w:type="pct"/>
                  <w:vMerge w:val="restart"/>
                  <w:noWrap w:val="0"/>
                  <w:vAlign w:val="center"/>
                </w:tcPr>
                <w:p w14:paraId="357A37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风量</w:t>
                  </w:r>
                  <w:r>
                    <w:rPr>
                      <w:rFonts w:hint="default" w:ascii="Times New Roman" w:hAnsi="Times New Roman" w:cs="Times New Roman"/>
                      <w:b w:val="0"/>
                      <w:bCs/>
                      <w:color w:val="auto"/>
                      <w:sz w:val="21"/>
                      <w:szCs w:val="21"/>
                      <w:lang w:val="en-US" w:eastAsia="zh-CN"/>
                    </w:rPr>
                    <w:t>489.6</w:t>
                  </w:r>
                </w:p>
                <w:p w14:paraId="3142BF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m</w:t>
                  </w:r>
                  <w:r>
                    <w:rPr>
                      <w:rFonts w:hint="default" w:ascii="Times New Roman" w:hAnsi="Times New Roman" w:eastAsia="Times New Roman" w:cs="Times New Roman"/>
                      <w:color w:val="auto"/>
                      <w:sz w:val="21"/>
                      <w:szCs w:val="21"/>
                      <w:vertAlign w:val="superscript"/>
                    </w:rPr>
                    <w:t>3</w:t>
                  </w:r>
                  <w:r>
                    <w:rPr>
                      <w:rFonts w:hint="default" w:ascii="Times New Roman" w:hAnsi="Times New Roman" w:eastAsia="Times New Roman" w:cs="Times New Roman"/>
                      <w:color w:val="auto"/>
                      <w:sz w:val="21"/>
                      <w:szCs w:val="21"/>
                    </w:rPr>
                    <w:t>/h</w:t>
                  </w:r>
                </w:p>
              </w:tc>
              <w:tc>
                <w:tcPr>
                  <w:tcW w:w="231" w:type="pct"/>
                  <w:vMerge w:val="restart"/>
                  <w:noWrap w:val="0"/>
                  <w:vAlign w:val="center"/>
                </w:tcPr>
                <w:p w14:paraId="3C1CA1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100%</w:t>
                  </w:r>
                </w:p>
              </w:tc>
              <w:tc>
                <w:tcPr>
                  <w:tcW w:w="281" w:type="pct"/>
                  <w:tcBorders>
                    <w:top w:val="single" w:color="auto" w:sz="4" w:space="0"/>
                    <w:bottom w:val="single" w:color="auto" w:sz="4" w:space="0"/>
                  </w:tcBorders>
                  <w:noWrap w:val="0"/>
                  <w:vAlign w:val="center"/>
                </w:tcPr>
                <w:p w14:paraId="37EB4C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0</w:t>
                  </w:r>
                </w:p>
              </w:tc>
              <w:tc>
                <w:tcPr>
                  <w:tcW w:w="300" w:type="pct"/>
                  <w:vMerge w:val="restart"/>
                  <w:noWrap w:val="0"/>
                  <w:vAlign w:val="center"/>
                </w:tcPr>
                <w:p w14:paraId="024B65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0000FF"/>
                      <w:sz w:val="21"/>
                      <w:szCs w:val="21"/>
                    </w:rPr>
                  </w:pPr>
                  <w:r>
                    <w:rPr>
                      <w:rFonts w:hint="default" w:ascii="Times New Roman" w:hAnsi="Times New Roman" w:eastAsia="Times New Roman" w:cs="Times New Roman"/>
                      <w:color w:val="auto"/>
                      <w:sz w:val="21"/>
                      <w:szCs w:val="21"/>
                    </w:rPr>
                    <w:t>是</w:t>
                  </w:r>
                </w:p>
              </w:tc>
              <w:tc>
                <w:tcPr>
                  <w:tcW w:w="292" w:type="pct"/>
                  <w:vMerge w:val="restart"/>
                  <w:noWrap w:val="0"/>
                  <w:vAlign w:val="center"/>
                </w:tcPr>
                <w:p w14:paraId="11622B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0000FF"/>
                      <w:sz w:val="21"/>
                      <w:szCs w:val="21"/>
                    </w:rPr>
                  </w:pPr>
                  <w:r>
                    <w:rPr>
                      <w:rFonts w:hint="default" w:ascii="Times New Roman" w:hAnsi="Times New Roman" w:eastAsia="Times New Roman" w:cs="Times New Roman"/>
                      <w:color w:val="auto"/>
                      <w:sz w:val="21"/>
                      <w:szCs w:val="21"/>
                    </w:rPr>
                    <w:t>一般排放口</w:t>
                  </w:r>
                </w:p>
              </w:tc>
            </w:tr>
            <w:tr w14:paraId="135983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5" w:hRule="atLeast"/>
                <w:jc w:val="center"/>
              </w:trPr>
              <w:tc>
                <w:tcPr>
                  <w:tcW w:w="240" w:type="pct"/>
                  <w:vMerge w:val="continue"/>
                  <w:noWrap w:val="0"/>
                  <w:vAlign w:val="center"/>
                </w:tcPr>
                <w:p w14:paraId="7BE7B4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lang w:val="en-US" w:eastAsia="zh-CN"/>
                    </w:rPr>
                  </w:pPr>
                </w:p>
              </w:tc>
              <w:tc>
                <w:tcPr>
                  <w:tcW w:w="495" w:type="pct"/>
                  <w:vMerge w:val="continue"/>
                  <w:noWrap w:val="0"/>
                  <w:vAlign w:val="center"/>
                </w:tcPr>
                <w:p w14:paraId="270667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cs="Times New Roman"/>
                      <w:color w:val="auto"/>
                      <w:sz w:val="21"/>
                      <w:szCs w:val="21"/>
                      <w:lang w:val="en-US" w:eastAsia="zh-CN"/>
                    </w:rPr>
                  </w:pPr>
                </w:p>
              </w:tc>
              <w:tc>
                <w:tcPr>
                  <w:tcW w:w="322" w:type="pct"/>
                  <w:vMerge w:val="continue"/>
                  <w:noWrap w:val="0"/>
                  <w:vAlign w:val="center"/>
                </w:tcPr>
                <w:p w14:paraId="6C847F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cs="Times New Roman"/>
                      <w:color w:val="auto"/>
                      <w:sz w:val="21"/>
                      <w:szCs w:val="21"/>
                      <w:lang w:val="en-US" w:eastAsia="zh-CN"/>
                    </w:rPr>
                  </w:pPr>
                </w:p>
              </w:tc>
              <w:tc>
                <w:tcPr>
                  <w:tcW w:w="298" w:type="pct"/>
                  <w:tcBorders>
                    <w:top w:val="single" w:color="auto" w:sz="4" w:space="0"/>
                    <w:bottom w:val="single" w:color="auto" w:sz="4" w:space="0"/>
                  </w:tcBorders>
                  <w:noWrap w:val="0"/>
                  <w:vAlign w:val="center"/>
                </w:tcPr>
                <w:p w14:paraId="22BA1615">
                  <w:pPr>
                    <w:pStyle w:val="224"/>
                    <w:keepNext w:val="0"/>
                    <w:keepLines w:val="0"/>
                    <w:suppressLineNumbers w:val="0"/>
                    <w:spacing w:before="0" w:beforeAutospacing="0" w:after="0" w:afterAutospacing="0" w:line="240" w:lineRule="auto"/>
                    <w:ind w:left="-63" w:leftChars="-30" w:right="-63" w:rightChars="-3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bCs/>
                      <w:color w:val="auto"/>
                      <w:sz w:val="21"/>
                      <w:szCs w:val="21"/>
                    </w:rPr>
                    <w:t>SO</w:t>
                  </w:r>
                  <w:r>
                    <w:rPr>
                      <w:rFonts w:hint="default" w:ascii="Times New Roman" w:hAnsi="Times New Roman" w:cs="Times New Roman"/>
                      <w:bCs/>
                      <w:color w:val="auto"/>
                      <w:sz w:val="21"/>
                      <w:szCs w:val="21"/>
                      <w:vertAlign w:val="subscript"/>
                    </w:rPr>
                    <w:t>2</w:t>
                  </w:r>
                </w:p>
              </w:tc>
              <w:tc>
                <w:tcPr>
                  <w:tcW w:w="1078" w:type="pct"/>
                  <w:vMerge w:val="continue"/>
                  <w:tcBorders>
                    <w:bottom w:val="single" w:color="auto" w:sz="4" w:space="0"/>
                  </w:tcBorders>
                  <w:noWrap w:val="0"/>
                  <w:vAlign w:val="center"/>
                </w:tcPr>
                <w:p w14:paraId="6E643B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kern w:val="0"/>
                      <w:sz w:val="21"/>
                      <w:szCs w:val="21"/>
                      <w:lang w:bidi="ar"/>
                    </w:rPr>
                  </w:pPr>
                </w:p>
              </w:tc>
              <w:tc>
                <w:tcPr>
                  <w:tcW w:w="208" w:type="pct"/>
                  <w:vMerge w:val="continue"/>
                  <w:noWrap w:val="0"/>
                  <w:vAlign w:val="center"/>
                </w:tcPr>
                <w:p w14:paraId="1F4F9C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rPr>
                  </w:pPr>
                </w:p>
              </w:tc>
              <w:tc>
                <w:tcPr>
                  <w:tcW w:w="242" w:type="pct"/>
                  <w:vMerge w:val="continue"/>
                  <w:tcBorders>
                    <w:right w:val="single" w:color="auto" w:sz="4" w:space="0"/>
                  </w:tcBorders>
                  <w:noWrap w:val="0"/>
                  <w:vAlign w:val="center"/>
                </w:tcPr>
                <w:p w14:paraId="4515B2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lang w:val="en-US" w:eastAsia="zh-CN"/>
                    </w:rPr>
                  </w:pPr>
                </w:p>
              </w:tc>
              <w:tc>
                <w:tcPr>
                  <w:tcW w:w="228" w:type="pct"/>
                  <w:tcBorders>
                    <w:left w:val="single" w:color="auto" w:sz="4" w:space="0"/>
                    <w:right w:val="single" w:color="auto" w:sz="4" w:space="0"/>
                  </w:tcBorders>
                  <w:noWrap w:val="0"/>
                  <w:vAlign w:val="center"/>
                </w:tcPr>
                <w:p w14:paraId="42A31F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lang w:val="en-US" w:eastAsia="zh-CN"/>
                    </w:rPr>
                  </w:pPr>
                  <w:r>
                    <w:rPr>
                      <w:rFonts w:hint="default" w:ascii="Times New Roman" w:hAnsi="Times New Roman" w:eastAsia="Times New Roman" w:cs="Times New Roman"/>
                      <w:color w:val="auto"/>
                      <w:sz w:val="21"/>
                      <w:szCs w:val="21"/>
                      <w:lang w:val="en-US" w:eastAsia="zh-CN"/>
                    </w:rPr>
                    <w:t>/</w:t>
                  </w:r>
                </w:p>
              </w:tc>
              <w:tc>
                <w:tcPr>
                  <w:tcW w:w="456" w:type="pct"/>
                  <w:vMerge w:val="continue"/>
                  <w:tcBorders>
                    <w:left w:val="single" w:color="auto" w:sz="4" w:space="0"/>
                  </w:tcBorders>
                  <w:noWrap w:val="0"/>
                  <w:vAlign w:val="center"/>
                </w:tcPr>
                <w:p w14:paraId="18C178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lang w:val="en-US" w:eastAsia="zh-CN"/>
                    </w:rPr>
                  </w:pPr>
                </w:p>
              </w:tc>
              <w:tc>
                <w:tcPr>
                  <w:tcW w:w="323" w:type="pct"/>
                  <w:vMerge w:val="continue"/>
                  <w:noWrap w:val="0"/>
                  <w:vAlign w:val="center"/>
                </w:tcPr>
                <w:p w14:paraId="1C2A21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rPr>
                  </w:pPr>
                </w:p>
              </w:tc>
              <w:tc>
                <w:tcPr>
                  <w:tcW w:w="231" w:type="pct"/>
                  <w:vMerge w:val="continue"/>
                  <w:noWrap w:val="0"/>
                  <w:vAlign w:val="center"/>
                </w:tcPr>
                <w:p w14:paraId="7ACF37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lang w:val="en-US" w:eastAsia="zh-CN"/>
                    </w:rPr>
                  </w:pPr>
                </w:p>
              </w:tc>
              <w:tc>
                <w:tcPr>
                  <w:tcW w:w="281" w:type="pct"/>
                  <w:tcBorders>
                    <w:top w:val="single" w:color="auto" w:sz="4" w:space="0"/>
                    <w:bottom w:val="single" w:color="auto" w:sz="4" w:space="0"/>
                  </w:tcBorders>
                  <w:noWrap w:val="0"/>
                  <w:vAlign w:val="center"/>
                </w:tcPr>
                <w:p w14:paraId="6D89EA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0</w:t>
                  </w:r>
                </w:p>
              </w:tc>
              <w:tc>
                <w:tcPr>
                  <w:tcW w:w="300" w:type="pct"/>
                  <w:vMerge w:val="continue"/>
                  <w:noWrap w:val="0"/>
                  <w:vAlign w:val="center"/>
                </w:tcPr>
                <w:p w14:paraId="7C730F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0000FF"/>
                      <w:sz w:val="21"/>
                      <w:szCs w:val="21"/>
                    </w:rPr>
                  </w:pPr>
                </w:p>
              </w:tc>
              <w:tc>
                <w:tcPr>
                  <w:tcW w:w="292" w:type="pct"/>
                  <w:vMerge w:val="continue"/>
                  <w:noWrap w:val="0"/>
                  <w:vAlign w:val="center"/>
                </w:tcPr>
                <w:p w14:paraId="69051F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0000FF"/>
                      <w:sz w:val="21"/>
                      <w:szCs w:val="21"/>
                    </w:rPr>
                  </w:pPr>
                </w:p>
              </w:tc>
            </w:tr>
            <w:tr w14:paraId="4086AD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5" w:hRule="atLeast"/>
                <w:jc w:val="center"/>
              </w:trPr>
              <w:tc>
                <w:tcPr>
                  <w:tcW w:w="240" w:type="pct"/>
                  <w:vMerge w:val="continue"/>
                  <w:noWrap w:val="0"/>
                  <w:vAlign w:val="center"/>
                </w:tcPr>
                <w:p w14:paraId="0D9C60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lang w:val="en-US" w:eastAsia="zh-CN"/>
                    </w:rPr>
                  </w:pPr>
                </w:p>
              </w:tc>
              <w:tc>
                <w:tcPr>
                  <w:tcW w:w="495" w:type="pct"/>
                  <w:vMerge w:val="continue"/>
                  <w:noWrap w:val="0"/>
                  <w:vAlign w:val="center"/>
                </w:tcPr>
                <w:p w14:paraId="02CCB3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cs="Times New Roman"/>
                      <w:color w:val="auto"/>
                      <w:sz w:val="21"/>
                      <w:szCs w:val="21"/>
                      <w:lang w:val="en-US" w:eastAsia="zh-CN"/>
                    </w:rPr>
                  </w:pPr>
                </w:p>
              </w:tc>
              <w:tc>
                <w:tcPr>
                  <w:tcW w:w="322" w:type="pct"/>
                  <w:vMerge w:val="continue"/>
                  <w:noWrap w:val="0"/>
                  <w:vAlign w:val="center"/>
                </w:tcPr>
                <w:p w14:paraId="194570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cs="Times New Roman"/>
                      <w:color w:val="auto"/>
                      <w:sz w:val="21"/>
                      <w:szCs w:val="21"/>
                      <w:lang w:val="en-US" w:eastAsia="zh-CN"/>
                    </w:rPr>
                  </w:pPr>
                </w:p>
              </w:tc>
              <w:tc>
                <w:tcPr>
                  <w:tcW w:w="298" w:type="pct"/>
                  <w:tcBorders>
                    <w:top w:val="single" w:color="auto" w:sz="4" w:space="0"/>
                    <w:bottom w:val="single" w:color="auto" w:sz="4" w:space="0"/>
                  </w:tcBorders>
                  <w:noWrap w:val="0"/>
                  <w:vAlign w:val="center"/>
                </w:tcPr>
                <w:p w14:paraId="563F1B65">
                  <w:pPr>
                    <w:pStyle w:val="224"/>
                    <w:keepNext w:val="0"/>
                    <w:keepLines w:val="0"/>
                    <w:suppressLineNumbers w:val="0"/>
                    <w:spacing w:before="0" w:beforeAutospacing="0" w:after="0" w:afterAutospacing="0" w:line="240" w:lineRule="auto"/>
                    <w:ind w:left="-63" w:leftChars="-30" w:right="-63" w:rightChars="-3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bCs/>
                      <w:color w:val="auto"/>
                      <w:sz w:val="21"/>
                      <w:szCs w:val="21"/>
                    </w:rPr>
                    <w:t>NO</w:t>
                  </w:r>
                  <w:r>
                    <w:rPr>
                      <w:rFonts w:hint="default" w:ascii="Times New Roman" w:hAnsi="Times New Roman" w:cs="Times New Roman"/>
                      <w:bCs/>
                      <w:color w:val="auto"/>
                      <w:sz w:val="21"/>
                      <w:szCs w:val="21"/>
                      <w:vertAlign w:val="subscript"/>
                    </w:rPr>
                    <w:t>X</w:t>
                  </w:r>
                </w:p>
              </w:tc>
              <w:tc>
                <w:tcPr>
                  <w:tcW w:w="1078" w:type="pct"/>
                  <w:tcBorders>
                    <w:top w:val="single" w:color="auto" w:sz="4" w:space="0"/>
                    <w:bottom w:val="single" w:color="auto" w:sz="4" w:space="0"/>
                  </w:tcBorders>
                  <w:noWrap w:val="0"/>
                  <w:vAlign w:val="center"/>
                </w:tcPr>
                <w:p w14:paraId="5B375D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kern w:val="0"/>
                      <w:sz w:val="21"/>
                      <w:szCs w:val="21"/>
                      <w:lang w:bidi="ar"/>
                    </w:rPr>
                  </w:pPr>
                  <w:r>
                    <w:rPr>
                      <w:rFonts w:hint="default" w:ascii="Times New Roman" w:hAnsi="Times New Roman" w:eastAsia="宋体" w:cs="Times New Roman"/>
                      <w:b w:val="0"/>
                      <w:bCs w:val="0"/>
                      <w:color w:val="auto"/>
                      <w:sz w:val="21"/>
                      <w:szCs w:val="21"/>
                    </w:rPr>
                    <w:t>《关于印发&lt;淮南市</w:t>
                  </w:r>
                  <w:r>
                    <w:rPr>
                      <w:rFonts w:hint="default" w:ascii="Times New Roman" w:hAnsi="Times New Roman" w:eastAsia="宋体" w:cs="Times New Roman"/>
                      <w:b w:val="0"/>
                      <w:bCs w:val="0"/>
                      <w:color w:val="auto"/>
                      <w:sz w:val="21"/>
                      <w:szCs w:val="21"/>
                      <w:lang w:val="en-US" w:eastAsia="zh-CN"/>
                    </w:rPr>
                    <w:t>“十四五”大气污染防治规划&gt;的通知</w:t>
                  </w:r>
                  <w:r>
                    <w:rPr>
                      <w:rFonts w:hint="default" w:ascii="Times New Roman" w:hAnsi="Times New Roman" w:eastAsia="宋体" w:cs="Times New Roman"/>
                      <w:b w:val="0"/>
                      <w:bCs w:val="0"/>
                      <w:color w:val="auto"/>
                      <w:sz w:val="21"/>
                      <w:szCs w:val="21"/>
                    </w:rPr>
                    <w:t>》（淮环委办</w:t>
                  </w:r>
                  <w:r>
                    <w:rPr>
                      <w:rFonts w:hint="default" w:ascii="Times New Roman" w:hAnsi="Times New Roman" w:cs="Times New Roman"/>
                      <w:b w:val="0"/>
                      <w:bCs w:val="0"/>
                      <w:color w:val="auto"/>
                      <w:sz w:val="21"/>
                      <w:szCs w:val="21"/>
                    </w:rPr>
                    <w:t>〔2022〕</w:t>
                  </w:r>
                  <w:r>
                    <w:rPr>
                      <w:rFonts w:hint="default" w:ascii="Times New Roman" w:hAnsi="Times New Roman" w:cs="Times New Roman"/>
                      <w:b w:val="0"/>
                      <w:bCs w:val="0"/>
                      <w:color w:val="auto"/>
                      <w:sz w:val="21"/>
                      <w:szCs w:val="21"/>
                      <w:lang w:val="en-US" w:eastAsia="zh-CN"/>
                    </w:rPr>
                    <w:t>4</w:t>
                  </w:r>
                  <w:r>
                    <w:rPr>
                      <w:rFonts w:hint="default" w:ascii="Times New Roman" w:hAnsi="Times New Roman" w:cs="Times New Roman"/>
                      <w:b w:val="0"/>
                      <w:bCs w:val="0"/>
                      <w:color w:val="auto"/>
                      <w:sz w:val="21"/>
                      <w:szCs w:val="21"/>
                    </w:rPr>
                    <w:t>9号）</w:t>
                  </w:r>
                </w:p>
              </w:tc>
              <w:tc>
                <w:tcPr>
                  <w:tcW w:w="208" w:type="pct"/>
                  <w:vMerge w:val="continue"/>
                  <w:noWrap w:val="0"/>
                  <w:vAlign w:val="center"/>
                </w:tcPr>
                <w:p w14:paraId="1B3B70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rPr>
                  </w:pPr>
                </w:p>
              </w:tc>
              <w:tc>
                <w:tcPr>
                  <w:tcW w:w="242" w:type="pct"/>
                  <w:vMerge w:val="continue"/>
                  <w:tcBorders>
                    <w:right w:val="single" w:color="auto" w:sz="4" w:space="0"/>
                  </w:tcBorders>
                  <w:noWrap w:val="0"/>
                  <w:vAlign w:val="center"/>
                </w:tcPr>
                <w:p w14:paraId="752528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lang w:val="en-US" w:eastAsia="zh-CN"/>
                    </w:rPr>
                  </w:pPr>
                </w:p>
              </w:tc>
              <w:tc>
                <w:tcPr>
                  <w:tcW w:w="228" w:type="pct"/>
                  <w:tcBorders>
                    <w:left w:val="single" w:color="auto" w:sz="4" w:space="0"/>
                    <w:right w:val="single" w:color="auto" w:sz="4" w:space="0"/>
                  </w:tcBorders>
                  <w:noWrap w:val="0"/>
                  <w:vAlign w:val="center"/>
                </w:tcPr>
                <w:p w14:paraId="128F44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lang w:val="en-US" w:eastAsia="zh-CN"/>
                    </w:rPr>
                  </w:pPr>
                  <w:r>
                    <w:rPr>
                      <w:rFonts w:hint="default" w:ascii="Times New Roman" w:hAnsi="Times New Roman" w:eastAsia="Times New Roman" w:cs="Times New Roman"/>
                      <w:color w:val="auto"/>
                      <w:sz w:val="21"/>
                      <w:szCs w:val="21"/>
                      <w:lang w:val="en-US" w:eastAsia="zh-CN"/>
                    </w:rPr>
                    <w:t>低氮燃烧</w:t>
                  </w:r>
                </w:p>
              </w:tc>
              <w:tc>
                <w:tcPr>
                  <w:tcW w:w="456" w:type="pct"/>
                  <w:vMerge w:val="continue"/>
                  <w:tcBorders>
                    <w:left w:val="single" w:color="auto" w:sz="4" w:space="0"/>
                  </w:tcBorders>
                  <w:noWrap w:val="0"/>
                  <w:vAlign w:val="center"/>
                </w:tcPr>
                <w:p w14:paraId="48BEF4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lang w:val="en-US" w:eastAsia="zh-CN"/>
                    </w:rPr>
                  </w:pPr>
                </w:p>
              </w:tc>
              <w:tc>
                <w:tcPr>
                  <w:tcW w:w="323" w:type="pct"/>
                  <w:vMerge w:val="continue"/>
                  <w:noWrap w:val="0"/>
                  <w:vAlign w:val="center"/>
                </w:tcPr>
                <w:p w14:paraId="330DAF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auto"/>
                      <w:sz w:val="21"/>
                      <w:szCs w:val="21"/>
                    </w:rPr>
                  </w:pPr>
                </w:p>
              </w:tc>
              <w:tc>
                <w:tcPr>
                  <w:tcW w:w="231" w:type="pct"/>
                  <w:vMerge w:val="continue"/>
                  <w:noWrap w:val="0"/>
                  <w:vAlign w:val="center"/>
                </w:tcPr>
                <w:p w14:paraId="760F64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lang w:val="en-US" w:eastAsia="zh-CN"/>
                    </w:rPr>
                  </w:pPr>
                </w:p>
              </w:tc>
              <w:tc>
                <w:tcPr>
                  <w:tcW w:w="281" w:type="pct"/>
                  <w:tcBorders>
                    <w:top w:val="single" w:color="auto" w:sz="4" w:space="0"/>
                    <w:bottom w:val="single" w:color="auto" w:sz="4" w:space="0"/>
                  </w:tcBorders>
                  <w:noWrap w:val="0"/>
                  <w:vAlign w:val="center"/>
                </w:tcPr>
                <w:p w14:paraId="79B983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75%</w:t>
                  </w:r>
                </w:p>
              </w:tc>
              <w:tc>
                <w:tcPr>
                  <w:tcW w:w="300" w:type="pct"/>
                  <w:vMerge w:val="continue"/>
                  <w:noWrap w:val="0"/>
                  <w:vAlign w:val="center"/>
                </w:tcPr>
                <w:p w14:paraId="143D3E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0000FF"/>
                      <w:sz w:val="21"/>
                      <w:szCs w:val="21"/>
                    </w:rPr>
                  </w:pPr>
                </w:p>
              </w:tc>
              <w:tc>
                <w:tcPr>
                  <w:tcW w:w="292" w:type="pct"/>
                  <w:vMerge w:val="continue"/>
                  <w:noWrap w:val="0"/>
                  <w:vAlign w:val="center"/>
                </w:tcPr>
                <w:p w14:paraId="160525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Times New Roman" w:cs="Times New Roman"/>
                      <w:color w:val="0000FF"/>
                      <w:sz w:val="21"/>
                      <w:szCs w:val="21"/>
                    </w:rPr>
                  </w:pPr>
                </w:p>
              </w:tc>
            </w:tr>
          </w:tbl>
          <w:p w14:paraId="10DF91C9">
            <w:pPr>
              <w:pStyle w:val="63"/>
              <w:keepNext w:val="0"/>
              <w:keepLines w:val="0"/>
              <w:suppressLineNumbers w:val="0"/>
              <w:bidi w:val="0"/>
              <w:spacing w:before="0" w:beforeAutospacing="0" w:after="0" w:afterAutospacing="0"/>
              <w:ind w:left="0" w:right="0"/>
              <w:rPr>
                <w:rFonts w:eastAsia="宋体"/>
                <w:b/>
                <w:bCs/>
                <w:color w:val="auto"/>
                <w:szCs w:val="21"/>
              </w:rPr>
            </w:pPr>
            <w:r>
              <w:rPr>
                <w:color w:val="auto"/>
              </w:rPr>
              <w:t>表4-</w:t>
            </w:r>
            <w:r>
              <w:rPr>
                <w:rFonts w:hint="eastAsia"/>
                <w:color w:val="auto"/>
              </w:rPr>
              <w:t>3</w:t>
            </w:r>
            <w:r>
              <w:rPr>
                <w:color w:val="auto"/>
              </w:rPr>
              <w:t xml:space="preserve">  项目有组织废气排放口一览表</w:t>
            </w:r>
          </w:p>
          <w:tbl>
            <w:tblPr>
              <w:tblStyle w:val="52"/>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31"/>
              <w:gridCol w:w="1104"/>
              <w:gridCol w:w="818"/>
              <w:gridCol w:w="946"/>
              <w:gridCol w:w="1136"/>
              <w:gridCol w:w="1309"/>
              <w:gridCol w:w="1264"/>
              <w:gridCol w:w="1035"/>
              <w:gridCol w:w="929"/>
              <w:gridCol w:w="773"/>
              <w:gridCol w:w="649"/>
              <w:gridCol w:w="1056"/>
              <w:gridCol w:w="570"/>
              <w:gridCol w:w="869"/>
            </w:tblGrid>
            <w:tr w14:paraId="2F2907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 w:hRule="atLeast"/>
                <w:jc w:val="center"/>
              </w:trPr>
              <w:tc>
                <w:tcPr>
                  <w:tcW w:w="277" w:type="pct"/>
                  <w:vMerge w:val="restart"/>
                  <w:tcBorders>
                    <w:tl2br w:val="nil"/>
                    <w:tr2bl w:val="nil"/>
                  </w:tcBorders>
                  <w:noWrap w:val="0"/>
                  <w:vAlign w:val="center"/>
                </w:tcPr>
                <w:p w14:paraId="7269C98F">
                  <w:pPr>
                    <w:pStyle w:val="217"/>
                    <w:keepNext w:val="0"/>
                    <w:keepLines w:val="0"/>
                    <w:suppressLineNumbers w:val="0"/>
                    <w:spacing w:before="0" w:beforeAutospacing="0" w:after="0" w:afterAutospacing="0" w:line="240" w:lineRule="auto"/>
                    <w:ind w:left="-63" w:leftChars="-30" w:right="-63" w:rightChars="-30"/>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排放口</w:t>
                  </w:r>
                </w:p>
                <w:p w14:paraId="1271FFF4">
                  <w:pPr>
                    <w:pStyle w:val="217"/>
                    <w:keepNext w:val="0"/>
                    <w:keepLines w:val="0"/>
                    <w:suppressLineNumbers w:val="0"/>
                    <w:spacing w:before="0" w:beforeAutospacing="0" w:after="0" w:afterAutospacing="0" w:line="240" w:lineRule="auto"/>
                    <w:ind w:left="-63" w:leftChars="-30" w:right="-63" w:rightChars="-30"/>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编号</w:t>
                  </w:r>
                </w:p>
              </w:tc>
              <w:tc>
                <w:tcPr>
                  <w:tcW w:w="418" w:type="pct"/>
                  <w:vMerge w:val="restart"/>
                  <w:tcBorders>
                    <w:tl2br w:val="nil"/>
                    <w:tr2bl w:val="nil"/>
                  </w:tcBorders>
                  <w:noWrap w:val="0"/>
                  <w:vAlign w:val="center"/>
                </w:tcPr>
                <w:p w14:paraId="5C90FB70">
                  <w:pPr>
                    <w:pStyle w:val="217"/>
                    <w:keepNext w:val="0"/>
                    <w:keepLines w:val="0"/>
                    <w:suppressLineNumbers w:val="0"/>
                    <w:spacing w:before="0" w:beforeAutospacing="0" w:after="0" w:afterAutospacing="0" w:line="240" w:lineRule="auto"/>
                    <w:ind w:left="-63" w:leftChars="-30" w:right="-63" w:rightChars="-30"/>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废气</w:t>
                  </w:r>
                </w:p>
                <w:p w14:paraId="702B9FA7">
                  <w:pPr>
                    <w:pStyle w:val="217"/>
                    <w:keepNext w:val="0"/>
                    <w:keepLines w:val="0"/>
                    <w:suppressLineNumbers w:val="0"/>
                    <w:spacing w:before="0" w:beforeAutospacing="0" w:after="0" w:afterAutospacing="0" w:line="240" w:lineRule="auto"/>
                    <w:ind w:left="-63" w:leftChars="-30" w:right="-63" w:rightChars="-30"/>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类型</w:t>
                  </w:r>
                </w:p>
              </w:tc>
              <w:tc>
                <w:tcPr>
                  <w:tcW w:w="668" w:type="pct"/>
                  <w:gridSpan w:val="2"/>
                  <w:tcBorders>
                    <w:tl2br w:val="nil"/>
                    <w:tr2bl w:val="nil"/>
                  </w:tcBorders>
                  <w:noWrap w:val="0"/>
                  <w:vAlign w:val="center"/>
                </w:tcPr>
                <w:p w14:paraId="473B3217">
                  <w:pPr>
                    <w:pStyle w:val="217"/>
                    <w:keepNext w:val="0"/>
                    <w:keepLines w:val="0"/>
                    <w:suppressLineNumbers w:val="0"/>
                    <w:spacing w:before="0" w:beforeAutospacing="0" w:after="0" w:afterAutospacing="0" w:line="240" w:lineRule="auto"/>
                    <w:ind w:left="-63" w:leftChars="-30" w:right="-63" w:rightChars="-30"/>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地理坐标</w:t>
                  </w:r>
                </w:p>
              </w:tc>
              <w:tc>
                <w:tcPr>
                  <w:tcW w:w="430" w:type="pct"/>
                  <w:vMerge w:val="restart"/>
                  <w:tcBorders>
                    <w:tl2br w:val="nil"/>
                    <w:tr2bl w:val="nil"/>
                  </w:tcBorders>
                  <w:noWrap w:val="0"/>
                  <w:vAlign w:val="center"/>
                </w:tcPr>
                <w:p w14:paraId="09D34FC2">
                  <w:pPr>
                    <w:pStyle w:val="217"/>
                    <w:keepNext w:val="0"/>
                    <w:keepLines w:val="0"/>
                    <w:suppressLineNumbers w:val="0"/>
                    <w:spacing w:before="0" w:beforeAutospacing="0" w:after="0" w:afterAutospacing="0" w:line="240" w:lineRule="auto"/>
                    <w:ind w:left="0" w:right="-63" w:rightChars="-30"/>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污染物</w:t>
                  </w:r>
                </w:p>
              </w:tc>
              <w:tc>
                <w:tcPr>
                  <w:tcW w:w="1367" w:type="pct"/>
                  <w:gridSpan w:val="3"/>
                  <w:tcBorders>
                    <w:tl2br w:val="nil"/>
                    <w:tr2bl w:val="nil"/>
                  </w:tcBorders>
                  <w:noWrap w:val="0"/>
                  <w:vAlign w:val="center"/>
                </w:tcPr>
                <w:p w14:paraId="5158C27D">
                  <w:pPr>
                    <w:pStyle w:val="217"/>
                    <w:keepNext w:val="0"/>
                    <w:keepLines w:val="0"/>
                    <w:suppressLineNumbers w:val="0"/>
                    <w:spacing w:before="0" w:beforeAutospacing="0" w:after="0" w:afterAutospacing="0" w:line="240" w:lineRule="auto"/>
                    <w:ind w:left="-63" w:leftChars="-30" w:right="-63" w:rightChars="-30"/>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排放标准</w:t>
                  </w:r>
                </w:p>
              </w:tc>
              <w:tc>
                <w:tcPr>
                  <w:tcW w:w="1291" w:type="pct"/>
                  <w:gridSpan w:val="4"/>
                  <w:tcBorders>
                    <w:tl2br w:val="nil"/>
                    <w:tr2bl w:val="nil"/>
                  </w:tcBorders>
                  <w:noWrap w:val="0"/>
                  <w:vAlign w:val="center"/>
                </w:tcPr>
                <w:p w14:paraId="57CDD916">
                  <w:pPr>
                    <w:pStyle w:val="217"/>
                    <w:keepNext w:val="0"/>
                    <w:keepLines w:val="0"/>
                    <w:suppressLineNumbers w:val="0"/>
                    <w:spacing w:before="0" w:beforeAutospacing="0" w:after="0" w:afterAutospacing="0" w:line="240" w:lineRule="auto"/>
                    <w:ind w:left="-63" w:leftChars="-30" w:right="-63" w:rightChars="-30"/>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排气筒参数</w:t>
                  </w:r>
                </w:p>
              </w:tc>
              <w:tc>
                <w:tcPr>
                  <w:tcW w:w="216" w:type="pct"/>
                  <w:vMerge w:val="restart"/>
                  <w:tcBorders>
                    <w:tl2br w:val="nil"/>
                    <w:tr2bl w:val="nil"/>
                  </w:tcBorders>
                  <w:noWrap w:val="0"/>
                  <w:vAlign w:val="center"/>
                </w:tcPr>
                <w:p w14:paraId="243FAFA3">
                  <w:pPr>
                    <w:pStyle w:val="217"/>
                    <w:keepNext w:val="0"/>
                    <w:keepLines w:val="0"/>
                    <w:suppressLineNumbers w:val="0"/>
                    <w:spacing w:before="0" w:beforeAutospacing="0" w:after="0" w:afterAutospacing="0" w:line="240" w:lineRule="auto"/>
                    <w:ind w:left="-63" w:leftChars="-30" w:right="-63" w:rightChars="-30"/>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达标</w:t>
                  </w:r>
                </w:p>
                <w:p w14:paraId="7E6BD0F5">
                  <w:pPr>
                    <w:pStyle w:val="217"/>
                    <w:keepNext w:val="0"/>
                    <w:keepLines w:val="0"/>
                    <w:suppressLineNumbers w:val="0"/>
                    <w:spacing w:before="0" w:beforeAutospacing="0" w:after="0" w:afterAutospacing="0" w:line="240" w:lineRule="auto"/>
                    <w:ind w:left="-63" w:leftChars="-30" w:right="-63" w:rightChars="-30"/>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情况</w:t>
                  </w:r>
                </w:p>
              </w:tc>
              <w:tc>
                <w:tcPr>
                  <w:tcW w:w="329" w:type="pct"/>
                  <w:vMerge w:val="restart"/>
                  <w:tcBorders>
                    <w:tl2br w:val="nil"/>
                    <w:tr2bl w:val="nil"/>
                  </w:tcBorders>
                  <w:noWrap w:val="0"/>
                  <w:vAlign w:val="center"/>
                </w:tcPr>
                <w:p w14:paraId="30C8BA87">
                  <w:pPr>
                    <w:pStyle w:val="217"/>
                    <w:keepNext w:val="0"/>
                    <w:keepLines w:val="0"/>
                    <w:suppressLineNumbers w:val="0"/>
                    <w:spacing w:before="0" w:beforeAutospacing="0" w:after="0" w:afterAutospacing="0" w:line="240" w:lineRule="auto"/>
                    <w:ind w:left="-63" w:leftChars="-30" w:right="-63" w:rightChars="-30"/>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排放口类型</w:t>
                  </w:r>
                </w:p>
              </w:tc>
            </w:tr>
            <w:tr w14:paraId="0E390E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7" w:hRule="atLeast"/>
                <w:jc w:val="center"/>
              </w:trPr>
              <w:tc>
                <w:tcPr>
                  <w:tcW w:w="277" w:type="pct"/>
                  <w:vMerge w:val="continue"/>
                  <w:tcBorders>
                    <w:tl2br w:val="nil"/>
                    <w:tr2bl w:val="nil"/>
                  </w:tcBorders>
                  <w:noWrap w:val="0"/>
                  <w:vAlign w:val="center"/>
                </w:tcPr>
                <w:p w14:paraId="4805AC61">
                  <w:pPr>
                    <w:pStyle w:val="217"/>
                    <w:keepNext w:val="0"/>
                    <w:keepLines w:val="0"/>
                    <w:suppressLineNumbers w:val="0"/>
                    <w:spacing w:before="0" w:beforeAutospacing="0" w:after="0" w:afterAutospacing="0" w:line="240" w:lineRule="auto"/>
                    <w:ind w:left="-63" w:leftChars="-30" w:right="-63" w:rightChars="-30"/>
                    <w:rPr>
                      <w:rFonts w:hint="default" w:ascii="Times New Roman" w:hAnsi="Times New Roman" w:eastAsia="宋体" w:cs="Times New Roman"/>
                      <w:b/>
                      <w:color w:val="auto"/>
                      <w:sz w:val="21"/>
                      <w:szCs w:val="21"/>
                    </w:rPr>
                  </w:pPr>
                </w:p>
              </w:tc>
              <w:tc>
                <w:tcPr>
                  <w:tcW w:w="418" w:type="pct"/>
                  <w:vMerge w:val="continue"/>
                  <w:tcBorders>
                    <w:tl2br w:val="nil"/>
                    <w:tr2bl w:val="nil"/>
                  </w:tcBorders>
                  <w:noWrap w:val="0"/>
                  <w:vAlign w:val="center"/>
                </w:tcPr>
                <w:p w14:paraId="6FE080B3">
                  <w:pPr>
                    <w:pStyle w:val="217"/>
                    <w:keepNext w:val="0"/>
                    <w:keepLines w:val="0"/>
                    <w:suppressLineNumbers w:val="0"/>
                    <w:spacing w:before="0" w:beforeAutospacing="0" w:after="0" w:afterAutospacing="0" w:line="240" w:lineRule="auto"/>
                    <w:ind w:left="-63" w:leftChars="-30" w:right="-63" w:rightChars="-30"/>
                    <w:rPr>
                      <w:rFonts w:hint="default" w:ascii="Times New Roman" w:hAnsi="Times New Roman" w:eastAsia="宋体" w:cs="Times New Roman"/>
                      <w:b/>
                      <w:color w:val="auto"/>
                      <w:sz w:val="21"/>
                      <w:szCs w:val="21"/>
                    </w:rPr>
                  </w:pPr>
                </w:p>
              </w:tc>
              <w:tc>
                <w:tcPr>
                  <w:tcW w:w="310" w:type="pct"/>
                  <w:tcBorders>
                    <w:tl2br w:val="nil"/>
                    <w:tr2bl w:val="nil"/>
                  </w:tcBorders>
                  <w:noWrap w:val="0"/>
                  <w:vAlign w:val="center"/>
                </w:tcPr>
                <w:p w14:paraId="70E5D9C9">
                  <w:pPr>
                    <w:pStyle w:val="217"/>
                    <w:keepNext w:val="0"/>
                    <w:keepLines w:val="0"/>
                    <w:suppressLineNumbers w:val="0"/>
                    <w:spacing w:before="0" w:beforeAutospacing="0" w:after="0" w:afterAutospacing="0" w:line="240" w:lineRule="auto"/>
                    <w:ind w:left="-63" w:leftChars="-30" w:right="-63" w:rightChars="-30"/>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经度</w:t>
                  </w:r>
                </w:p>
              </w:tc>
              <w:tc>
                <w:tcPr>
                  <w:tcW w:w="358" w:type="pct"/>
                  <w:tcBorders>
                    <w:tl2br w:val="nil"/>
                    <w:tr2bl w:val="nil"/>
                  </w:tcBorders>
                  <w:noWrap w:val="0"/>
                  <w:vAlign w:val="center"/>
                </w:tcPr>
                <w:p w14:paraId="685B1074">
                  <w:pPr>
                    <w:pStyle w:val="217"/>
                    <w:keepNext w:val="0"/>
                    <w:keepLines w:val="0"/>
                    <w:suppressLineNumbers w:val="0"/>
                    <w:spacing w:before="0" w:beforeAutospacing="0" w:after="0" w:afterAutospacing="0" w:line="240" w:lineRule="auto"/>
                    <w:ind w:left="-63" w:leftChars="-30" w:right="-63" w:rightChars="-30"/>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纬度</w:t>
                  </w:r>
                </w:p>
              </w:tc>
              <w:tc>
                <w:tcPr>
                  <w:tcW w:w="430" w:type="pct"/>
                  <w:vMerge w:val="continue"/>
                  <w:tcBorders>
                    <w:tl2br w:val="nil"/>
                    <w:tr2bl w:val="nil"/>
                  </w:tcBorders>
                  <w:noWrap w:val="0"/>
                  <w:vAlign w:val="center"/>
                </w:tcPr>
                <w:p w14:paraId="0194BC47">
                  <w:pPr>
                    <w:pStyle w:val="217"/>
                    <w:keepNext w:val="0"/>
                    <w:keepLines w:val="0"/>
                    <w:suppressLineNumbers w:val="0"/>
                    <w:adjustRightInd w:val="0"/>
                    <w:spacing w:before="0" w:beforeAutospacing="0" w:after="0" w:afterAutospacing="0" w:line="240" w:lineRule="auto"/>
                    <w:ind w:left="-63" w:leftChars="-30" w:right="-63" w:rightChars="-30"/>
                    <w:rPr>
                      <w:rFonts w:hint="default" w:ascii="Times New Roman" w:hAnsi="Times New Roman" w:eastAsia="宋体" w:cs="Times New Roman"/>
                      <w:b/>
                      <w:color w:val="auto"/>
                      <w:sz w:val="21"/>
                      <w:szCs w:val="21"/>
                    </w:rPr>
                  </w:pPr>
                </w:p>
              </w:tc>
              <w:tc>
                <w:tcPr>
                  <w:tcW w:w="496" w:type="pct"/>
                  <w:tcBorders>
                    <w:right w:val="single" w:color="auto" w:sz="4" w:space="0"/>
                    <w:tl2br w:val="nil"/>
                    <w:tr2bl w:val="nil"/>
                  </w:tcBorders>
                  <w:noWrap w:val="0"/>
                  <w:vAlign w:val="center"/>
                </w:tcPr>
                <w:p w14:paraId="39450AE6">
                  <w:pPr>
                    <w:pStyle w:val="217"/>
                    <w:keepNext w:val="0"/>
                    <w:keepLines w:val="0"/>
                    <w:suppressLineNumbers w:val="0"/>
                    <w:spacing w:before="0" w:beforeAutospacing="0" w:after="0" w:afterAutospacing="0" w:line="240" w:lineRule="auto"/>
                    <w:ind w:left="-105" w:leftChars="-50" w:right="-105" w:rightChars="-50"/>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最高允许排放浓度(mg/m</w:t>
                  </w:r>
                  <w:r>
                    <w:rPr>
                      <w:rFonts w:hint="default" w:ascii="Times New Roman" w:hAnsi="Times New Roman" w:eastAsia="宋体" w:cs="Times New Roman"/>
                      <w:b/>
                      <w:color w:val="auto"/>
                      <w:sz w:val="21"/>
                      <w:szCs w:val="21"/>
                      <w:vertAlign w:val="superscript"/>
                    </w:rPr>
                    <w:t>3</w:t>
                  </w:r>
                  <w:r>
                    <w:rPr>
                      <w:rFonts w:hint="default" w:ascii="Times New Roman" w:hAnsi="Times New Roman" w:eastAsia="宋体" w:cs="Times New Roman"/>
                      <w:b/>
                      <w:color w:val="auto"/>
                      <w:sz w:val="21"/>
                      <w:szCs w:val="21"/>
                    </w:rPr>
                    <w:t>)</w:t>
                  </w:r>
                </w:p>
              </w:tc>
              <w:tc>
                <w:tcPr>
                  <w:tcW w:w="479" w:type="pct"/>
                  <w:tcBorders>
                    <w:left w:val="single" w:color="auto" w:sz="4" w:space="0"/>
                    <w:right w:val="single" w:color="auto" w:sz="4" w:space="0"/>
                    <w:tl2br w:val="nil"/>
                    <w:tr2bl w:val="nil"/>
                  </w:tcBorders>
                  <w:noWrap w:val="0"/>
                  <w:vAlign w:val="center"/>
                </w:tcPr>
                <w:p w14:paraId="0092E9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sz w:val="21"/>
                      <w:szCs w:val="21"/>
                    </w:rPr>
                  </w:pPr>
                  <w:r>
                    <w:rPr>
                      <w:rFonts w:hint="default" w:ascii="Times New Roman" w:hAnsi="Times New Roman" w:cs="Times New Roman"/>
                      <w:b/>
                      <w:bCs/>
                      <w:color w:val="auto"/>
                      <w:sz w:val="21"/>
                      <w:szCs w:val="21"/>
                      <w:lang w:val="en-US" w:eastAsia="zh-CN"/>
                    </w:rPr>
                    <w:t>排放速率</w:t>
                  </w:r>
                  <w:r>
                    <w:rPr>
                      <w:rFonts w:hint="default" w:ascii="Times New Roman" w:hAnsi="Times New Roman" w:cs="Times New Roman"/>
                      <w:b/>
                      <w:bCs/>
                      <w:color w:val="auto"/>
                      <w:sz w:val="21"/>
                      <w:szCs w:val="21"/>
                    </w:rPr>
                    <w:t>（kg/h）</w:t>
                  </w:r>
                </w:p>
              </w:tc>
              <w:tc>
                <w:tcPr>
                  <w:tcW w:w="392" w:type="pct"/>
                  <w:tcBorders>
                    <w:left w:val="single" w:color="auto" w:sz="4" w:space="0"/>
                    <w:tl2br w:val="nil"/>
                    <w:tr2bl w:val="nil"/>
                  </w:tcBorders>
                  <w:noWrap w:val="0"/>
                  <w:vAlign w:val="center"/>
                </w:tcPr>
                <w:p w14:paraId="78A1F5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严格50%排放速率</w:t>
                  </w:r>
                  <w:r>
                    <w:rPr>
                      <w:rFonts w:hint="default" w:ascii="Times New Roman" w:hAnsi="Times New Roman" w:cs="Times New Roman"/>
                      <w:b/>
                      <w:bCs/>
                      <w:color w:val="auto"/>
                      <w:szCs w:val="21"/>
                    </w:rPr>
                    <w:t>（kg/h）</w:t>
                  </w:r>
                </w:p>
              </w:tc>
              <w:tc>
                <w:tcPr>
                  <w:tcW w:w="352" w:type="pct"/>
                  <w:tcBorders>
                    <w:tl2br w:val="nil"/>
                    <w:tr2bl w:val="nil"/>
                  </w:tcBorders>
                  <w:noWrap w:val="0"/>
                  <w:vAlign w:val="center"/>
                </w:tcPr>
                <w:p w14:paraId="5FE98055">
                  <w:pPr>
                    <w:pStyle w:val="217"/>
                    <w:keepNext w:val="0"/>
                    <w:keepLines w:val="0"/>
                    <w:suppressLineNumbers w:val="0"/>
                    <w:spacing w:before="0" w:beforeAutospacing="0" w:after="0" w:afterAutospacing="0" w:line="240" w:lineRule="auto"/>
                    <w:ind w:left="-105" w:leftChars="-50" w:right="-105" w:rightChars="-50"/>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高度</w:t>
                  </w:r>
                </w:p>
                <w:p w14:paraId="31F09B9E">
                  <w:pPr>
                    <w:pStyle w:val="217"/>
                    <w:keepNext w:val="0"/>
                    <w:keepLines w:val="0"/>
                    <w:suppressLineNumbers w:val="0"/>
                    <w:spacing w:before="0" w:beforeAutospacing="0" w:after="0" w:afterAutospacing="0" w:line="240" w:lineRule="auto"/>
                    <w:ind w:left="-105" w:leftChars="-50" w:right="-105" w:rightChars="-50"/>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(m)</w:t>
                  </w:r>
                </w:p>
              </w:tc>
              <w:tc>
                <w:tcPr>
                  <w:tcW w:w="293" w:type="pct"/>
                  <w:tcBorders>
                    <w:tl2br w:val="nil"/>
                    <w:tr2bl w:val="nil"/>
                  </w:tcBorders>
                  <w:noWrap w:val="0"/>
                  <w:vAlign w:val="center"/>
                </w:tcPr>
                <w:p w14:paraId="5455CC93">
                  <w:pPr>
                    <w:pStyle w:val="217"/>
                    <w:keepNext w:val="0"/>
                    <w:keepLines w:val="0"/>
                    <w:suppressLineNumbers w:val="0"/>
                    <w:spacing w:before="0" w:beforeAutospacing="0" w:after="0" w:afterAutospacing="0" w:line="240" w:lineRule="auto"/>
                    <w:ind w:left="-105" w:leftChars="-50" w:right="-105" w:rightChars="-50"/>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内径</w:t>
                  </w:r>
                </w:p>
                <w:p w14:paraId="36E98401">
                  <w:pPr>
                    <w:pStyle w:val="217"/>
                    <w:keepNext w:val="0"/>
                    <w:keepLines w:val="0"/>
                    <w:suppressLineNumbers w:val="0"/>
                    <w:spacing w:before="0" w:beforeAutospacing="0" w:after="0" w:afterAutospacing="0" w:line="240" w:lineRule="auto"/>
                    <w:ind w:left="-105" w:leftChars="-50" w:right="-105" w:rightChars="-50"/>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(m)</w:t>
                  </w:r>
                </w:p>
              </w:tc>
              <w:tc>
                <w:tcPr>
                  <w:tcW w:w="246" w:type="pct"/>
                  <w:tcBorders>
                    <w:tl2br w:val="nil"/>
                    <w:tr2bl w:val="nil"/>
                  </w:tcBorders>
                  <w:noWrap w:val="0"/>
                  <w:vAlign w:val="center"/>
                </w:tcPr>
                <w:p w14:paraId="59EF5ABA">
                  <w:pPr>
                    <w:pStyle w:val="217"/>
                    <w:keepNext w:val="0"/>
                    <w:keepLines w:val="0"/>
                    <w:suppressLineNumbers w:val="0"/>
                    <w:spacing w:before="0" w:beforeAutospacing="0" w:after="0" w:afterAutospacing="0" w:line="240" w:lineRule="auto"/>
                    <w:ind w:left="-105" w:leftChars="-50" w:right="-105" w:rightChars="-50"/>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温度</w:t>
                  </w:r>
                </w:p>
                <w:p w14:paraId="1DA10C57">
                  <w:pPr>
                    <w:pStyle w:val="217"/>
                    <w:keepNext w:val="0"/>
                    <w:keepLines w:val="0"/>
                    <w:suppressLineNumbers w:val="0"/>
                    <w:spacing w:before="0" w:beforeAutospacing="0" w:after="0" w:afterAutospacing="0" w:line="240" w:lineRule="auto"/>
                    <w:ind w:left="-105" w:leftChars="-50" w:right="-105" w:rightChars="-50"/>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w:t>
                  </w:r>
                </w:p>
              </w:tc>
              <w:tc>
                <w:tcPr>
                  <w:tcW w:w="400" w:type="pct"/>
                  <w:tcBorders>
                    <w:tl2br w:val="nil"/>
                    <w:tr2bl w:val="nil"/>
                  </w:tcBorders>
                  <w:noWrap w:val="0"/>
                  <w:vAlign w:val="center"/>
                </w:tcPr>
                <w:p w14:paraId="384EC74E">
                  <w:pPr>
                    <w:pStyle w:val="217"/>
                    <w:keepNext w:val="0"/>
                    <w:keepLines w:val="0"/>
                    <w:suppressLineNumbers w:val="0"/>
                    <w:spacing w:before="0" w:beforeAutospacing="0" w:after="0" w:afterAutospacing="0" w:line="240" w:lineRule="auto"/>
                    <w:ind w:left="-105" w:leftChars="-50" w:right="-105" w:rightChars="-50"/>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烟气流速（m/s）</w:t>
                  </w:r>
                </w:p>
              </w:tc>
              <w:tc>
                <w:tcPr>
                  <w:tcW w:w="216" w:type="pct"/>
                  <w:vMerge w:val="continue"/>
                  <w:tcBorders>
                    <w:tl2br w:val="nil"/>
                    <w:tr2bl w:val="nil"/>
                  </w:tcBorders>
                  <w:noWrap w:val="0"/>
                  <w:vAlign w:val="center"/>
                </w:tcPr>
                <w:p w14:paraId="56403837">
                  <w:pPr>
                    <w:pStyle w:val="217"/>
                    <w:keepNext w:val="0"/>
                    <w:keepLines w:val="0"/>
                    <w:suppressLineNumbers w:val="0"/>
                    <w:spacing w:before="0" w:beforeAutospacing="0" w:after="0" w:afterAutospacing="0" w:line="240" w:lineRule="auto"/>
                    <w:ind w:left="-63" w:leftChars="-30" w:right="-63" w:rightChars="-30"/>
                    <w:rPr>
                      <w:rFonts w:hint="default" w:ascii="Times New Roman" w:hAnsi="Times New Roman" w:eastAsia="宋体" w:cs="Times New Roman"/>
                      <w:b/>
                      <w:color w:val="auto"/>
                      <w:sz w:val="21"/>
                      <w:szCs w:val="21"/>
                    </w:rPr>
                  </w:pPr>
                </w:p>
              </w:tc>
              <w:tc>
                <w:tcPr>
                  <w:tcW w:w="329" w:type="pct"/>
                  <w:vMerge w:val="continue"/>
                  <w:tcBorders>
                    <w:tl2br w:val="nil"/>
                    <w:tr2bl w:val="nil"/>
                  </w:tcBorders>
                  <w:noWrap w:val="0"/>
                  <w:vAlign w:val="center"/>
                </w:tcPr>
                <w:p w14:paraId="205AE91E">
                  <w:pPr>
                    <w:pStyle w:val="217"/>
                    <w:keepNext w:val="0"/>
                    <w:keepLines w:val="0"/>
                    <w:suppressLineNumbers w:val="0"/>
                    <w:spacing w:before="0" w:beforeAutospacing="0" w:after="0" w:afterAutospacing="0" w:line="240" w:lineRule="auto"/>
                    <w:ind w:left="-63" w:leftChars="-30" w:right="-63" w:rightChars="-30"/>
                    <w:rPr>
                      <w:rFonts w:hint="default" w:ascii="Times New Roman" w:hAnsi="Times New Roman" w:eastAsia="宋体" w:cs="Times New Roman"/>
                      <w:b/>
                      <w:color w:val="auto"/>
                      <w:sz w:val="21"/>
                      <w:szCs w:val="21"/>
                    </w:rPr>
                  </w:pPr>
                </w:p>
              </w:tc>
            </w:tr>
            <w:tr w14:paraId="150C1F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3" w:hRule="atLeast"/>
                <w:jc w:val="center"/>
              </w:trPr>
              <w:tc>
                <w:tcPr>
                  <w:tcW w:w="277" w:type="pct"/>
                  <w:vMerge w:val="restart"/>
                  <w:tcBorders>
                    <w:tl2br w:val="nil"/>
                    <w:tr2bl w:val="nil"/>
                  </w:tcBorders>
                  <w:noWrap w:val="0"/>
                  <w:vAlign w:val="center"/>
                </w:tcPr>
                <w:p w14:paraId="24064081">
                  <w:pPr>
                    <w:pStyle w:val="227"/>
                    <w:keepNext w:val="0"/>
                    <w:keepLines w:val="0"/>
                    <w:suppressLineNumbers w:val="0"/>
                    <w:spacing w:before="0" w:beforeAutospacing="0" w:after="0" w:afterAutospacing="0" w:line="240" w:lineRule="auto"/>
                    <w:ind w:left="-63" w:leftChars="-30" w:right="-63" w:rightChars="-3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DA00</w:t>
                  </w:r>
                  <w:r>
                    <w:rPr>
                      <w:rFonts w:hint="eastAsia" w:ascii="Times New Roman" w:hAnsi="Times New Roman" w:cs="Times New Roman"/>
                      <w:color w:val="auto"/>
                      <w:sz w:val="21"/>
                      <w:szCs w:val="21"/>
                      <w:lang w:val="en-US" w:eastAsia="zh-CN"/>
                    </w:rPr>
                    <w:t>1</w:t>
                  </w:r>
                </w:p>
              </w:tc>
              <w:tc>
                <w:tcPr>
                  <w:tcW w:w="418" w:type="pct"/>
                  <w:vMerge w:val="restart"/>
                  <w:tcBorders>
                    <w:tl2br w:val="nil"/>
                    <w:tr2bl w:val="nil"/>
                  </w:tcBorders>
                  <w:noWrap w:val="0"/>
                  <w:vAlign w:val="center"/>
                </w:tcPr>
                <w:p w14:paraId="4C7B2685">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箱式渗碳、淬火回火废气</w:t>
                  </w:r>
                </w:p>
              </w:tc>
              <w:tc>
                <w:tcPr>
                  <w:tcW w:w="310" w:type="pct"/>
                  <w:vMerge w:val="restart"/>
                  <w:tcBorders>
                    <w:tl2br w:val="nil"/>
                    <w:tr2bl w:val="nil"/>
                  </w:tcBorders>
                  <w:noWrap w:val="0"/>
                  <w:vAlign w:val="center"/>
                </w:tcPr>
                <w:p w14:paraId="1DD9DE69">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Times New Roman" w:cs="Times New Roman"/>
                      <w:color w:val="auto"/>
                      <w:sz w:val="21"/>
                      <w:szCs w:val="21"/>
                      <w:lang w:val="en-US" w:eastAsia="zh-CN"/>
                    </w:rPr>
                    <w:t>117.090318617</w:t>
                  </w:r>
                  <w:r>
                    <w:rPr>
                      <w:rFonts w:hint="default" w:ascii="Times New Roman" w:hAnsi="Times New Roman" w:eastAsia="宋体" w:cs="Times New Roman"/>
                      <w:color w:val="auto"/>
                      <w:sz w:val="21"/>
                      <w:szCs w:val="21"/>
                    </w:rPr>
                    <w:t>°</w:t>
                  </w:r>
                </w:p>
              </w:tc>
              <w:tc>
                <w:tcPr>
                  <w:tcW w:w="358" w:type="pct"/>
                  <w:vMerge w:val="restart"/>
                  <w:tcBorders>
                    <w:tl2br w:val="nil"/>
                    <w:tr2bl w:val="nil"/>
                  </w:tcBorders>
                  <w:noWrap w:val="0"/>
                  <w:vAlign w:val="center"/>
                </w:tcPr>
                <w:p w14:paraId="2D621669">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lang w:val="en-US" w:eastAsia="zh-CN"/>
                    </w:rPr>
                    <w:t>32.652171391</w:t>
                  </w:r>
                  <w:r>
                    <w:rPr>
                      <w:rFonts w:hint="default" w:ascii="Times New Roman" w:hAnsi="Times New Roman" w:eastAsia="宋体" w:cs="Times New Roman"/>
                      <w:color w:val="auto"/>
                      <w:sz w:val="21"/>
                      <w:szCs w:val="21"/>
                    </w:rPr>
                    <w:t>°</w:t>
                  </w:r>
                </w:p>
              </w:tc>
              <w:tc>
                <w:tcPr>
                  <w:tcW w:w="430" w:type="pct"/>
                  <w:tcBorders>
                    <w:bottom w:val="single" w:color="auto" w:sz="4" w:space="0"/>
                    <w:tl2br w:val="nil"/>
                    <w:tr2bl w:val="nil"/>
                  </w:tcBorders>
                  <w:noWrap w:val="0"/>
                  <w:vAlign w:val="center"/>
                </w:tcPr>
                <w:p w14:paraId="361362CE">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颗粒物</w:t>
                  </w:r>
                </w:p>
              </w:tc>
              <w:tc>
                <w:tcPr>
                  <w:tcW w:w="496" w:type="pct"/>
                  <w:tcBorders>
                    <w:bottom w:val="single" w:color="auto" w:sz="4" w:space="0"/>
                    <w:tl2br w:val="nil"/>
                    <w:tr2bl w:val="nil"/>
                  </w:tcBorders>
                  <w:noWrap w:val="0"/>
                  <w:vAlign w:val="center"/>
                </w:tcPr>
                <w:p w14:paraId="632A1D1E">
                  <w:pPr>
                    <w:keepNext w:val="0"/>
                    <w:keepLines w:val="0"/>
                    <w:suppressLineNumbers w:val="0"/>
                    <w:autoSpaceDN w:val="0"/>
                    <w:spacing w:before="0" w:beforeAutospacing="0" w:after="0" w:afterAutospacing="0" w:line="276" w:lineRule="auto"/>
                    <w:ind w:left="0" w:right="0"/>
                    <w:jc w:val="center"/>
                    <w:textAlignment w:val="center"/>
                    <w:rPr>
                      <w:rFonts w:hint="default" w:ascii="Times New Roman" w:hAnsi="Times New Roman" w:eastAsia="宋体" w:cs="Times New Roman"/>
                      <w:color w:val="auto"/>
                      <w:sz w:val="21"/>
                      <w:szCs w:val="21"/>
                      <w:lang w:val="en-US"/>
                    </w:rPr>
                  </w:pPr>
                  <w:r>
                    <w:rPr>
                      <w:rFonts w:hint="default" w:ascii="Times New Roman" w:hAnsi="Times New Roman" w:cs="Times New Roman"/>
                      <w:color w:val="auto"/>
                      <w:sz w:val="21"/>
                      <w:szCs w:val="21"/>
                      <w:lang w:val="en-US" w:eastAsia="zh-CN"/>
                    </w:rPr>
                    <w:t>120</w:t>
                  </w:r>
                </w:p>
              </w:tc>
              <w:tc>
                <w:tcPr>
                  <w:tcW w:w="479" w:type="pct"/>
                  <w:tcBorders>
                    <w:bottom w:val="single" w:color="auto" w:sz="4" w:space="0"/>
                    <w:right w:val="single" w:color="auto" w:sz="4" w:space="0"/>
                    <w:tl2br w:val="nil"/>
                    <w:tr2bl w:val="nil"/>
                  </w:tcBorders>
                  <w:noWrap w:val="0"/>
                  <w:vAlign w:val="center"/>
                </w:tcPr>
                <w:p w14:paraId="2BC0C70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3.5</w:t>
                  </w:r>
                </w:p>
              </w:tc>
              <w:tc>
                <w:tcPr>
                  <w:tcW w:w="392" w:type="pct"/>
                  <w:tcBorders>
                    <w:left w:val="single" w:color="auto" w:sz="4" w:space="0"/>
                    <w:bottom w:val="single" w:color="auto" w:sz="4" w:space="0"/>
                    <w:tl2br w:val="nil"/>
                    <w:tr2bl w:val="nil"/>
                  </w:tcBorders>
                  <w:noWrap w:val="0"/>
                  <w:vAlign w:val="center"/>
                </w:tcPr>
                <w:p w14:paraId="220529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Times New Roman" w:cs="Times New Roman"/>
                      <w:color w:val="auto"/>
                      <w:sz w:val="21"/>
                      <w:szCs w:val="21"/>
                      <w:lang w:val="en-US" w:eastAsia="zh-CN"/>
                    </w:rPr>
                  </w:pPr>
                  <w:r>
                    <w:rPr>
                      <w:rFonts w:hint="default" w:ascii="Times New Roman" w:hAnsi="Times New Roman" w:cs="Times New Roman"/>
                      <w:color w:val="auto"/>
                      <w:szCs w:val="21"/>
                      <w:lang w:val="en-US" w:eastAsia="zh-CN"/>
                    </w:rPr>
                    <w:t>1.75</w:t>
                  </w:r>
                </w:p>
              </w:tc>
              <w:tc>
                <w:tcPr>
                  <w:tcW w:w="352" w:type="pct"/>
                  <w:vMerge w:val="restart"/>
                  <w:tcBorders>
                    <w:tl2br w:val="nil"/>
                    <w:tr2bl w:val="nil"/>
                  </w:tcBorders>
                  <w:noWrap w:val="0"/>
                  <w:vAlign w:val="center"/>
                </w:tcPr>
                <w:p w14:paraId="6707D27B">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15</w:t>
                  </w:r>
                </w:p>
              </w:tc>
              <w:tc>
                <w:tcPr>
                  <w:tcW w:w="293" w:type="pct"/>
                  <w:vMerge w:val="restart"/>
                  <w:tcBorders>
                    <w:tl2br w:val="nil"/>
                    <w:tr2bl w:val="nil"/>
                  </w:tcBorders>
                  <w:noWrap w:val="0"/>
                  <w:vAlign w:val="center"/>
                </w:tcPr>
                <w:p w14:paraId="3BEE82EB">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0.8</w:t>
                  </w:r>
                </w:p>
              </w:tc>
              <w:tc>
                <w:tcPr>
                  <w:tcW w:w="246" w:type="pct"/>
                  <w:vMerge w:val="restart"/>
                  <w:tcBorders>
                    <w:tl2br w:val="nil"/>
                    <w:tr2bl w:val="nil"/>
                  </w:tcBorders>
                  <w:noWrap w:val="0"/>
                  <w:vAlign w:val="center"/>
                </w:tcPr>
                <w:p w14:paraId="419184A3">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w:t>
                  </w:r>
                </w:p>
              </w:tc>
              <w:tc>
                <w:tcPr>
                  <w:tcW w:w="400" w:type="pct"/>
                  <w:vMerge w:val="restart"/>
                  <w:tcBorders>
                    <w:top w:val="single" w:color="auto" w:sz="4" w:space="0"/>
                    <w:bottom w:val="single" w:color="auto" w:sz="4" w:space="0"/>
                    <w:tl2br w:val="nil"/>
                    <w:tr2bl w:val="nil"/>
                  </w:tcBorders>
                  <w:noWrap w:val="0"/>
                  <w:vAlign w:val="center"/>
                </w:tcPr>
                <w:p w14:paraId="20101DC7">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r>
                    <w:rPr>
                      <w:rFonts w:hint="eastAsia" w:ascii="Times New Roman" w:hAnsi="Times New Roman" w:cs="Times New Roman"/>
                      <w:color w:val="auto"/>
                      <w:sz w:val="21"/>
                      <w:szCs w:val="21"/>
                      <w:lang w:val="en-US" w:eastAsia="zh-CN"/>
                    </w:rPr>
                    <w:t>0</w:t>
                  </w:r>
                </w:p>
              </w:tc>
              <w:tc>
                <w:tcPr>
                  <w:tcW w:w="216" w:type="pct"/>
                  <w:vMerge w:val="restart"/>
                  <w:tcBorders>
                    <w:tl2br w:val="nil"/>
                    <w:tr2bl w:val="nil"/>
                  </w:tcBorders>
                  <w:noWrap w:val="0"/>
                  <w:vAlign w:val="center"/>
                </w:tcPr>
                <w:p w14:paraId="2A24FD38">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329" w:type="pct"/>
                  <w:vMerge w:val="restart"/>
                  <w:tcBorders>
                    <w:tl2br w:val="nil"/>
                    <w:tr2bl w:val="nil"/>
                  </w:tcBorders>
                  <w:noWrap w:val="0"/>
                  <w:vAlign w:val="center"/>
                </w:tcPr>
                <w:p w14:paraId="44C1F1F2">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一般排放口</w:t>
                  </w:r>
                </w:p>
              </w:tc>
            </w:tr>
            <w:tr w14:paraId="07A958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77" w:type="pct"/>
                  <w:vMerge w:val="continue"/>
                  <w:tcBorders>
                    <w:tl2br w:val="nil"/>
                    <w:tr2bl w:val="nil"/>
                  </w:tcBorders>
                  <w:noWrap w:val="0"/>
                  <w:vAlign w:val="center"/>
                </w:tcPr>
                <w:p w14:paraId="1F94C9BC">
                  <w:pPr>
                    <w:pStyle w:val="227"/>
                    <w:keepNext w:val="0"/>
                    <w:keepLines w:val="0"/>
                    <w:suppressLineNumbers w:val="0"/>
                    <w:spacing w:before="0" w:beforeAutospacing="0" w:after="0" w:afterAutospacing="0" w:line="240" w:lineRule="auto"/>
                    <w:ind w:left="-63" w:leftChars="-30" w:right="-63" w:rightChars="-30" w:firstLine="0" w:firstLineChars="0"/>
                    <w:jc w:val="center"/>
                    <w:rPr>
                      <w:rFonts w:hint="default" w:ascii="Times New Roman" w:hAnsi="Times New Roman" w:eastAsia="宋体" w:cs="Times New Roman"/>
                      <w:color w:val="auto"/>
                      <w:sz w:val="21"/>
                      <w:szCs w:val="21"/>
                    </w:rPr>
                  </w:pPr>
                </w:p>
              </w:tc>
              <w:tc>
                <w:tcPr>
                  <w:tcW w:w="418" w:type="pct"/>
                  <w:vMerge w:val="continue"/>
                  <w:tcBorders>
                    <w:tl2br w:val="nil"/>
                    <w:tr2bl w:val="nil"/>
                  </w:tcBorders>
                  <w:noWrap w:val="0"/>
                  <w:vAlign w:val="center"/>
                </w:tcPr>
                <w:p w14:paraId="446710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lang w:val="en-US" w:eastAsia="zh-CN"/>
                    </w:rPr>
                  </w:pPr>
                </w:p>
              </w:tc>
              <w:tc>
                <w:tcPr>
                  <w:tcW w:w="310" w:type="pct"/>
                  <w:vMerge w:val="continue"/>
                  <w:tcBorders>
                    <w:tl2br w:val="nil"/>
                    <w:tr2bl w:val="nil"/>
                  </w:tcBorders>
                  <w:noWrap w:val="0"/>
                  <w:vAlign w:val="center"/>
                </w:tcPr>
                <w:p w14:paraId="248E6414">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Times New Roman" w:cs="Times New Roman"/>
                      <w:color w:val="auto"/>
                      <w:sz w:val="21"/>
                      <w:szCs w:val="21"/>
                      <w:lang w:val="en-US" w:eastAsia="zh-CN"/>
                    </w:rPr>
                  </w:pPr>
                </w:p>
              </w:tc>
              <w:tc>
                <w:tcPr>
                  <w:tcW w:w="358" w:type="pct"/>
                  <w:vMerge w:val="continue"/>
                  <w:tcBorders>
                    <w:tl2br w:val="nil"/>
                    <w:tr2bl w:val="nil"/>
                  </w:tcBorders>
                  <w:noWrap w:val="0"/>
                  <w:vAlign w:val="center"/>
                </w:tcPr>
                <w:p w14:paraId="0F7297F4">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sz w:val="21"/>
                      <w:szCs w:val="21"/>
                    </w:rPr>
                  </w:pPr>
                </w:p>
              </w:tc>
              <w:tc>
                <w:tcPr>
                  <w:tcW w:w="430" w:type="pct"/>
                  <w:tcBorders>
                    <w:top w:val="single" w:color="auto" w:sz="4" w:space="0"/>
                    <w:bottom w:val="single" w:color="auto" w:sz="4" w:space="0"/>
                    <w:tl2br w:val="nil"/>
                    <w:tr2bl w:val="nil"/>
                  </w:tcBorders>
                  <w:noWrap w:val="0"/>
                  <w:vAlign w:val="center"/>
                </w:tcPr>
                <w:p w14:paraId="10C2FD3C">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Times New Roman" w:cs="Times New Roman"/>
                      <w:color w:val="auto"/>
                      <w:sz w:val="21"/>
                      <w:szCs w:val="21"/>
                    </w:rPr>
                  </w:pPr>
                  <w:r>
                    <w:rPr>
                      <w:rFonts w:hint="eastAsia" w:ascii="Times New Roman" w:hAnsi="Times New Roman" w:eastAsia="宋体" w:cs="Times New Roman"/>
                      <w:color w:val="auto"/>
                      <w:sz w:val="21"/>
                      <w:szCs w:val="21"/>
                      <w:lang w:val="en-US" w:eastAsia="zh-CN"/>
                    </w:rPr>
                    <w:t>非甲烷总烃</w:t>
                  </w:r>
                </w:p>
              </w:tc>
              <w:tc>
                <w:tcPr>
                  <w:tcW w:w="496" w:type="pct"/>
                  <w:tcBorders>
                    <w:top w:val="single" w:color="auto" w:sz="4" w:space="0"/>
                    <w:bottom w:val="single" w:color="auto" w:sz="4" w:space="0"/>
                    <w:right w:val="single" w:color="auto" w:sz="4" w:space="0"/>
                    <w:tl2br w:val="nil"/>
                    <w:tr2bl w:val="nil"/>
                  </w:tcBorders>
                  <w:noWrap w:val="0"/>
                  <w:vAlign w:val="center"/>
                </w:tcPr>
                <w:p w14:paraId="521D0F00">
                  <w:pPr>
                    <w:keepNext w:val="0"/>
                    <w:keepLines w:val="0"/>
                    <w:suppressLineNumbers w:val="0"/>
                    <w:autoSpaceDN w:val="0"/>
                    <w:spacing w:before="0" w:beforeAutospacing="0" w:after="0" w:afterAutospacing="0" w:line="276" w:lineRule="auto"/>
                    <w:ind w:left="0" w:right="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120</w:t>
                  </w:r>
                </w:p>
              </w:tc>
              <w:tc>
                <w:tcPr>
                  <w:tcW w:w="47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ED6A0BB">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10</w:t>
                  </w:r>
                </w:p>
              </w:tc>
              <w:tc>
                <w:tcPr>
                  <w:tcW w:w="392" w:type="pct"/>
                  <w:tcBorders>
                    <w:top w:val="single" w:color="auto" w:sz="4" w:space="0"/>
                    <w:left w:val="single" w:color="auto" w:sz="4" w:space="0"/>
                    <w:bottom w:val="single" w:color="auto" w:sz="4" w:space="0"/>
                    <w:tl2br w:val="nil"/>
                    <w:tr2bl w:val="nil"/>
                  </w:tcBorders>
                  <w:noWrap w:val="0"/>
                  <w:vAlign w:val="center"/>
                </w:tcPr>
                <w:p w14:paraId="3DBCAC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Times New Roman" w:cs="Times New Roman"/>
                      <w:color w:val="auto"/>
                      <w:sz w:val="21"/>
                      <w:szCs w:val="21"/>
                      <w:lang w:val="en-US" w:eastAsia="zh-CN"/>
                    </w:rPr>
                  </w:pPr>
                  <w:r>
                    <w:rPr>
                      <w:rFonts w:hint="default" w:ascii="Times New Roman" w:hAnsi="Times New Roman" w:cs="Times New Roman"/>
                      <w:color w:val="auto"/>
                      <w:szCs w:val="21"/>
                      <w:lang w:val="en-US" w:eastAsia="zh-CN"/>
                    </w:rPr>
                    <w:t>5</w:t>
                  </w:r>
                </w:p>
              </w:tc>
              <w:tc>
                <w:tcPr>
                  <w:tcW w:w="352" w:type="pct"/>
                  <w:vMerge w:val="continue"/>
                  <w:tcBorders>
                    <w:tl2br w:val="nil"/>
                    <w:tr2bl w:val="nil"/>
                  </w:tcBorders>
                  <w:noWrap w:val="0"/>
                  <w:vAlign w:val="center"/>
                </w:tcPr>
                <w:p w14:paraId="35065B0F">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lang w:val="en-US" w:eastAsia="zh-CN"/>
                    </w:rPr>
                  </w:pPr>
                </w:p>
              </w:tc>
              <w:tc>
                <w:tcPr>
                  <w:tcW w:w="293" w:type="pct"/>
                  <w:vMerge w:val="continue"/>
                  <w:tcBorders>
                    <w:tl2br w:val="nil"/>
                    <w:tr2bl w:val="nil"/>
                  </w:tcBorders>
                  <w:noWrap w:val="0"/>
                  <w:vAlign w:val="center"/>
                </w:tcPr>
                <w:p w14:paraId="4008A0F6">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lang w:val="en-US" w:eastAsia="zh-CN"/>
                    </w:rPr>
                  </w:pPr>
                </w:p>
              </w:tc>
              <w:tc>
                <w:tcPr>
                  <w:tcW w:w="246" w:type="pct"/>
                  <w:vMerge w:val="continue"/>
                  <w:tcBorders>
                    <w:tl2br w:val="nil"/>
                    <w:tr2bl w:val="nil"/>
                  </w:tcBorders>
                  <w:noWrap w:val="0"/>
                  <w:vAlign w:val="center"/>
                </w:tcPr>
                <w:p w14:paraId="1CA36115">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lang w:val="en-US" w:eastAsia="zh-CN"/>
                    </w:rPr>
                  </w:pPr>
                </w:p>
              </w:tc>
              <w:tc>
                <w:tcPr>
                  <w:tcW w:w="400" w:type="pct"/>
                  <w:vMerge w:val="continue"/>
                  <w:tcBorders>
                    <w:top w:val="single" w:color="auto" w:sz="4" w:space="0"/>
                    <w:bottom w:val="single" w:color="auto" w:sz="4" w:space="0"/>
                    <w:tl2br w:val="nil"/>
                    <w:tr2bl w:val="nil"/>
                  </w:tcBorders>
                  <w:noWrap w:val="0"/>
                  <w:vAlign w:val="center"/>
                </w:tcPr>
                <w:p w14:paraId="2C51CBF4">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lang w:val="en-US" w:eastAsia="zh-CN"/>
                    </w:rPr>
                  </w:pPr>
                </w:p>
              </w:tc>
              <w:tc>
                <w:tcPr>
                  <w:tcW w:w="216" w:type="pct"/>
                  <w:vMerge w:val="continue"/>
                  <w:tcBorders>
                    <w:tl2br w:val="nil"/>
                    <w:tr2bl w:val="nil"/>
                  </w:tcBorders>
                  <w:noWrap w:val="0"/>
                  <w:vAlign w:val="center"/>
                </w:tcPr>
                <w:p w14:paraId="5F0A7061">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rPr>
                  </w:pPr>
                </w:p>
              </w:tc>
              <w:tc>
                <w:tcPr>
                  <w:tcW w:w="329" w:type="pct"/>
                  <w:vMerge w:val="continue"/>
                  <w:tcBorders>
                    <w:tl2br w:val="nil"/>
                    <w:tr2bl w:val="nil"/>
                  </w:tcBorders>
                  <w:noWrap w:val="0"/>
                  <w:vAlign w:val="center"/>
                </w:tcPr>
                <w:p w14:paraId="4FAF87B6">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rPr>
                  </w:pPr>
                </w:p>
              </w:tc>
            </w:tr>
            <w:tr w14:paraId="0161113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34" w:hRule="atLeast"/>
                <w:jc w:val="center"/>
              </w:trPr>
              <w:tc>
                <w:tcPr>
                  <w:tcW w:w="277" w:type="pct"/>
                  <w:vMerge w:val="restart"/>
                  <w:tcBorders>
                    <w:tl2br w:val="nil"/>
                    <w:tr2bl w:val="nil"/>
                  </w:tcBorders>
                  <w:noWrap w:val="0"/>
                  <w:vAlign w:val="center"/>
                </w:tcPr>
                <w:p w14:paraId="1652942A">
                  <w:pPr>
                    <w:pStyle w:val="227"/>
                    <w:keepNext w:val="0"/>
                    <w:keepLines w:val="0"/>
                    <w:suppressLineNumbers w:val="0"/>
                    <w:spacing w:before="0" w:beforeAutospacing="0" w:after="0" w:afterAutospacing="0" w:line="240" w:lineRule="auto"/>
                    <w:ind w:left="-63" w:leftChars="-30" w:right="-63" w:rightChars="-30" w:firstLine="0" w:firstLineChars="0"/>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DA00</w:t>
                  </w:r>
                  <w:r>
                    <w:rPr>
                      <w:rFonts w:hint="eastAsia" w:ascii="Times New Roman" w:hAnsi="Times New Roman" w:eastAsia="宋体" w:cs="Times New Roman"/>
                      <w:color w:val="auto"/>
                      <w:sz w:val="21"/>
                      <w:szCs w:val="21"/>
                      <w:lang w:val="en-US" w:eastAsia="zh-CN"/>
                    </w:rPr>
                    <w:t>2</w:t>
                  </w:r>
                </w:p>
              </w:tc>
              <w:tc>
                <w:tcPr>
                  <w:tcW w:w="418" w:type="pct"/>
                  <w:vMerge w:val="restart"/>
                  <w:tcBorders>
                    <w:tl2br w:val="nil"/>
                    <w:tr2bl w:val="nil"/>
                  </w:tcBorders>
                  <w:noWrap w:val="0"/>
                  <w:vAlign w:val="center"/>
                </w:tcPr>
                <w:p w14:paraId="33AA43FC">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b w:val="0"/>
                      <w:bCs/>
                      <w:color w:val="auto"/>
                      <w:sz w:val="21"/>
                      <w:szCs w:val="21"/>
                      <w:lang w:val="en-US" w:eastAsia="zh-CN"/>
                    </w:rPr>
                    <w:t>天然气燃烧废气</w:t>
                  </w:r>
                </w:p>
              </w:tc>
              <w:tc>
                <w:tcPr>
                  <w:tcW w:w="818" w:type="dxa"/>
                  <w:vMerge w:val="restart"/>
                  <w:tcBorders>
                    <w:tl2br w:val="nil"/>
                    <w:tr2bl w:val="nil"/>
                  </w:tcBorders>
                  <w:noWrap w:val="0"/>
                  <w:vAlign w:val="center"/>
                </w:tcPr>
                <w:p w14:paraId="599FA7C3">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Times New Roman" w:cs="Times New Roman"/>
                      <w:color w:val="auto"/>
                      <w:sz w:val="21"/>
                      <w:szCs w:val="21"/>
                      <w:lang w:val="en-US" w:eastAsia="zh-CN"/>
                    </w:rPr>
                  </w:pPr>
                  <w:r>
                    <w:rPr>
                      <w:rFonts w:hint="default" w:ascii="Times New Roman" w:hAnsi="Times New Roman" w:eastAsia="宋体" w:cs="Times New Roman"/>
                      <w:bCs/>
                      <w:color w:val="auto"/>
                      <w:spacing w:val="-10"/>
                      <w:szCs w:val="21"/>
                    </w:rPr>
                    <w:t>117.090372261</w:t>
                  </w:r>
                  <w:r>
                    <w:rPr>
                      <w:rFonts w:hint="default" w:ascii="Times New Roman" w:hAnsi="Times New Roman" w:eastAsia="宋体" w:cs="Times New Roman"/>
                      <w:color w:val="auto"/>
                      <w:sz w:val="21"/>
                      <w:szCs w:val="21"/>
                    </w:rPr>
                    <w:t>°</w:t>
                  </w:r>
                </w:p>
              </w:tc>
              <w:tc>
                <w:tcPr>
                  <w:tcW w:w="946" w:type="dxa"/>
                  <w:vMerge w:val="restart"/>
                  <w:tcBorders>
                    <w:tl2br w:val="nil"/>
                    <w:tr2bl w:val="nil"/>
                  </w:tcBorders>
                  <w:noWrap w:val="0"/>
                  <w:vAlign w:val="center"/>
                </w:tcPr>
                <w:p w14:paraId="6928524E">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bCs/>
                      <w:color w:val="auto"/>
                      <w:spacing w:val="-10"/>
                      <w:szCs w:val="21"/>
                    </w:rPr>
                    <w:t>32.651699322</w:t>
                  </w:r>
                  <w:r>
                    <w:rPr>
                      <w:rFonts w:hint="default" w:ascii="Times New Roman" w:hAnsi="Times New Roman" w:eastAsia="宋体" w:cs="Times New Roman"/>
                      <w:color w:val="auto"/>
                      <w:sz w:val="21"/>
                      <w:szCs w:val="21"/>
                    </w:rPr>
                    <w:t>°</w:t>
                  </w:r>
                </w:p>
              </w:tc>
              <w:tc>
                <w:tcPr>
                  <w:tcW w:w="430" w:type="pct"/>
                  <w:tcBorders>
                    <w:top w:val="single" w:color="auto" w:sz="4" w:space="0"/>
                    <w:bottom w:val="single" w:color="auto" w:sz="4" w:space="0"/>
                    <w:tl2br w:val="nil"/>
                    <w:tr2bl w:val="nil"/>
                  </w:tcBorders>
                  <w:noWrap w:val="0"/>
                  <w:vAlign w:val="center"/>
                </w:tcPr>
                <w:p w14:paraId="7200B091">
                  <w:pPr>
                    <w:keepNext w:val="0"/>
                    <w:keepLines w:val="0"/>
                    <w:suppressLineNumbers w:val="0"/>
                    <w:spacing w:before="0" w:beforeAutospacing="0" w:after="0" w:afterAutospacing="0" w:line="240" w:lineRule="auto"/>
                    <w:ind w:left="-105" w:leftChars="-50" w:right="-105" w:rightChars="-50"/>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Cs w:val="21"/>
                      <w:lang w:val="en-US" w:eastAsia="zh-CN"/>
                    </w:rPr>
                    <w:t>颗粒物</w:t>
                  </w:r>
                </w:p>
              </w:tc>
              <w:tc>
                <w:tcPr>
                  <w:tcW w:w="496" w:type="pct"/>
                  <w:tcBorders>
                    <w:top w:val="single" w:color="auto" w:sz="4" w:space="0"/>
                    <w:bottom w:val="single" w:color="auto" w:sz="4" w:space="0"/>
                    <w:right w:val="single" w:color="auto" w:sz="4" w:space="0"/>
                    <w:tl2br w:val="nil"/>
                    <w:tr2bl w:val="nil"/>
                  </w:tcBorders>
                  <w:noWrap w:val="0"/>
                  <w:vAlign w:val="center"/>
                </w:tcPr>
                <w:p w14:paraId="19FD1F19">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30</w:t>
                  </w:r>
                </w:p>
              </w:tc>
              <w:tc>
                <w:tcPr>
                  <w:tcW w:w="47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622FFF">
                  <w:pPr>
                    <w:keepNext w:val="0"/>
                    <w:keepLines w:val="0"/>
                    <w:suppressLineNumbers w:val="0"/>
                    <w:spacing w:before="0" w:beforeAutospacing="0" w:after="0" w:afterAutospacing="0" w:line="240" w:lineRule="auto"/>
                    <w:ind w:left="-63" w:leftChars="-30" w:right="-63" w:rightChars="-30" w:firstLine="0" w:firstLine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392" w:type="pct"/>
                  <w:tcBorders>
                    <w:top w:val="single" w:color="auto" w:sz="4" w:space="0"/>
                    <w:left w:val="single" w:color="auto" w:sz="4" w:space="0"/>
                    <w:bottom w:val="single" w:color="auto" w:sz="4" w:space="0"/>
                    <w:tl2br w:val="nil"/>
                    <w:tr2bl w:val="nil"/>
                  </w:tcBorders>
                  <w:noWrap w:val="0"/>
                  <w:vAlign w:val="center"/>
                </w:tcPr>
                <w:p w14:paraId="377FB79E">
                  <w:pPr>
                    <w:keepNext w:val="0"/>
                    <w:keepLines w:val="0"/>
                    <w:suppressLineNumbers w:val="0"/>
                    <w:spacing w:before="0" w:beforeAutospacing="0" w:after="0" w:afterAutospacing="0" w:line="240" w:lineRule="auto"/>
                    <w:ind w:left="-63" w:leftChars="-30" w:right="-63" w:rightChars="-30" w:firstLine="0" w:firstLine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352" w:type="pct"/>
                  <w:vMerge w:val="restart"/>
                  <w:tcBorders>
                    <w:tl2br w:val="nil"/>
                    <w:tr2bl w:val="nil"/>
                  </w:tcBorders>
                  <w:noWrap w:val="0"/>
                  <w:vAlign w:val="center"/>
                </w:tcPr>
                <w:p w14:paraId="60CD6D51">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15</w:t>
                  </w:r>
                </w:p>
              </w:tc>
              <w:tc>
                <w:tcPr>
                  <w:tcW w:w="293" w:type="pct"/>
                  <w:vMerge w:val="restart"/>
                  <w:tcBorders>
                    <w:tl2br w:val="nil"/>
                    <w:tr2bl w:val="nil"/>
                  </w:tcBorders>
                  <w:noWrap w:val="0"/>
                  <w:vAlign w:val="center"/>
                </w:tcPr>
                <w:p w14:paraId="02E94E74">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0.3</w:t>
                  </w:r>
                </w:p>
              </w:tc>
              <w:tc>
                <w:tcPr>
                  <w:tcW w:w="246" w:type="pct"/>
                  <w:vMerge w:val="restart"/>
                  <w:tcBorders>
                    <w:tl2br w:val="nil"/>
                    <w:tr2bl w:val="nil"/>
                  </w:tcBorders>
                  <w:noWrap w:val="0"/>
                  <w:vAlign w:val="center"/>
                </w:tcPr>
                <w:p w14:paraId="2CC30E4C">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w:t>
                  </w:r>
                  <w:r>
                    <w:rPr>
                      <w:rFonts w:hint="default" w:ascii="Times New Roman" w:hAnsi="Times New Roman" w:eastAsia="宋体" w:cs="Times New Roman"/>
                      <w:color w:val="auto"/>
                      <w:sz w:val="21"/>
                      <w:szCs w:val="21"/>
                      <w:lang w:val="en-US" w:eastAsia="zh-CN"/>
                    </w:rPr>
                    <w:t>0</w:t>
                  </w:r>
                </w:p>
              </w:tc>
              <w:tc>
                <w:tcPr>
                  <w:tcW w:w="400" w:type="pct"/>
                  <w:vMerge w:val="restart"/>
                  <w:tcBorders>
                    <w:tl2br w:val="nil"/>
                    <w:tr2bl w:val="nil"/>
                  </w:tcBorders>
                  <w:noWrap w:val="0"/>
                  <w:vAlign w:val="center"/>
                </w:tcPr>
                <w:p w14:paraId="2901F269">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1.9</w:t>
                  </w:r>
                </w:p>
              </w:tc>
              <w:tc>
                <w:tcPr>
                  <w:tcW w:w="216" w:type="pct"/>
                  <w:vMerge w:val="restart"/>
                  <w:tcBorders>
                    <w:tl2br w:val="nil"/>
                    <w:tr2bl w:val="nil"/>
                  </w:tcBorders>
                  <w:noWrap w:val="0"/>
                  <w:vAlign w:val="center"/>
                </w:tcPr>
                <w:p w14:paraId="420E23E8">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329" w:type="pct"/>
                  <w:vMerge w:val="restart"/>
                  <w:tcBorders>
                    <w:tl2br w:val="nil"/>
                    <w:tr2bl w:val="nil"/>
                  </w:tcBorders>
                  <w:noWrap w:val="0"/>
                  <w:vAlign w:val="center"/>
                </w:tcPr>
                <w:p w14:paraId="66BC9E66">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一般排放口</w:t>
                  </w:r>
                </w:p>
              </w:tc>
            </w:tr>
            <w:tr w14:paraId="695F7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34" w:hRule="atLeast"/>
                <w:jc w:val="center"/>
              </w:trPr>
              <w:tc>
                <w:tcPr>
                  <w:tcW w:w="277" w:type="pct"/>
                  <w:vMerge w:val="continue"/>
                  <w:tcBorders>
                    <w:tl2br w:val="nil"/>
                    <w:tr2bl w:val="nil"/>
                  </w:tcBorders>
                  <w:noWrap w:val="0"/>
                  <w:vAlign w:val="center"/>
                </w:tcPr>
                <w:p w14:paraId="03EC8743">
                  <w:pPr>
                    <w:pStyle w:val="227"/>
                    <w:keepNext w:val="0"/>
                    <w:keepLines w:val="0"/>
                    <w:suppressLineNumbers w:val="0"/>
                    <w:spacing w:before="0" w:beforeAutospacing="0" w:after="0" w:afterAutospacing="0" w:line="240" w:lineRule="auto"/>
                    <w:ind w:left="-63" w:leftChars="-30" w:right="-63" w:rightChars="-30" w:firstLine="0" w:firstLineChars="0"/>
                    <w:jc w:val="center"/>
                    <w:rPr>
                      <w:rFonts w:hint="default" w:ascii="Times New Roman" w:hAnsi="Times New Roman" w:eastAsia="宋体" w:cs="Times New Roman"/>
                      <w:color w:val="auto"/>
                      <w:sz w:val="21"/>
                      <w:szCs w:val="21"/>
                    </w:rPr>
                  </w:pPr>
                </w:p>
              </w:tc>
              <w:tc>
                <w:tcPr>
                  <w:tcW w:w="418" w:type="pct"/>
                  <w:vMerge w:val="continue"/>
                  <w:tcBorders>
                    <w:tl2br w:val="nil"/>
                    <w:tr2bl w:val="nil"/>
                  </w:tcBorders>
                  <w:noWrap w:val="0"/>
                  <w:vAlign w:val="center"/>
                </w:tcPr>
                <w:p w14:paraId="0F92F0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lang w:val="en-US" w:eastAsia="zh-CN"/>
                    </w:rPr>
                  </w:pPr>
                </w:p>
              </w:tc>
              <w:tc>
                <w:tcPr>
                  <w:tcW w:w="310" w:type="pct"/>
                  <w:vMerge w:val="continue"/>
                  <w:tcBorders>
                    <w:tl2br w:val="nil"/>
                    <w:tr2bl w:val="nil"/>
                  </w:tcBorders>
                  <w:noWrap w:val="0"/>
                  <w:vAlign w:val="center"/>
                </w:tcPr>
                <w:p w14:paraId="24F15FF7">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Times New Roman" w:cs="Times New Roman"/>
                      <w:color w:val="auto"/>
                      <w:sz w:val="21"/>
                      <w:szCs w:val="21"/>
                      <w:lang w:val="en-US" w:eastAsia="zh-CN"/>
                    </w:rPr>
                  </w:pPr>
                </w:p>
              </w:tc>
              <w:tc>
                <w:tcPr>
                  <w:tcW w:w="358" w:type="pct"/>
                  <w:vMerge w:val="continue"/>
                  <w:tcBorders>
                    <w:tl2br w:val="nil"/>
                    <w:tr2bl w:val="nil"/>
                  </w:tcBorders>
                  <w:noWrap w:val="0"/>
                  <w:vAlign w:val="center"/>
                </w:tcPr>
                <w:p w14:paraId="51E524ED">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sz w:val="21"/>
                      <w:szCs w:val="21"/>
                    </w:rPr>
                  </w:pPr>
                </w:p>
              </w:tc>
              <w:tc>
                <w:tcPr>
                  <w:tcW w:w="430" w:type="pct"/>
                  <w:tcBorders>
                    <w:top w:val="single" w:color="auto" w:sz="4" w:space="0"/>
                    <w:bottom w:val="single" w:color="auto" w:sz="4" w:space="0"/>
                    <w:tl2br w:val="nil"/>
                    <w:tr2bl w:val="nil"/>
                  </w:tcBorders>
                  <w:noWrap w:val="0"/>
                  <w:vAlign w:val="center"/>
                </w:tcPr>
                <w:p w14:paraId="2CBD6900">
                  <w:pPr>
                    <w:pStyle w:val="224"/>
                    <w:keepNext w:val="0"/>
                    <w:keepLines w:val="0"/>
                    <w:suppressLineNumbers w:val="0"/>
                    <w:spacing w:before="0" w:beforeAutospacing="0" w:after="0" w:afterAutospacing="0" w:line="240" w:lineRule="auto"/>
                    <w:ind w:left="-63" w:leftChars="-30" w:right="-63" w:rightChars="-30" w:firstLine="0" w:firstLineChars="0"/>
                    <w:jc w:val="center"/>
                    <w:rPr>
                      <w:rFonts w:hint="eastAsia" w:ascii="Times New Roman" w:hAnsi="Times New Roman" w:eastAsia="宋体" w:cs="Times New Roman"/>
                      <w:color w:val="auto"/>
                      <w:sz w:val="21"/>
                      <w:szCs w:val="21"/>
                      <w:lang w:val="en-US" w:eastAsia="zh-CN"/>
                    </w:rPr>
                  </w:pPr>
                  <w:r>
                    <w:rPr>
                      <w:rFonts w:hint="default" w:ascii="Times New Roman" w:hAnsi="Times New Roman" w:cs="Times New Roman"/>
                      <w:bCs/>
                      <w:color w:val="auto"/>
                      <w:sz w:val="21"/>
                      <w:szCs w:val="21"/>
                    </w:rPr>
                    <w:t>SO</w:t>
                  </w:r>
                  <w:r>
                    <w:rPr>
                      <w:rFonts w:hint="default" w:ascii="Times New Roman" w:hAnsi="Times New Roman" w:cs="Times New Roman"/>
                      <w:bCs/>
                      <w:color w:val="auto"/>
                      <w:sz w:val="21"/>
                      <w:szCs w:val="21"/>
                      <w:vertAlign w:val="subscript"/>
                    </w:rPr>
                    <w:t>2</w:t>
                  </w:r>
                </w:p>
              </w:tc>
              <w:tc>
                <w:tcPr>
                  <w:tcW w:w="496" w:type="pct"/>
                  <w:tcBorders>
                    <w:top w:val="single" w:color="auto" w:sz="4" w:space="0"/>
                    <w:bottom w:val="single" w:color="auto" w:sz="4" w:space="0"/>
                    <w:right w:val="single" w:color="auto" w:sz="4" w:space="0"/>
                    <w:tl2br w:val="nil"/>
                    <w:tr2bl w:val="nil"/>
                  </w:tcBorders>
                  <w:noWrap w:val="0"/>
                  <w:vAlign w:val="center"/>
                </w:tcPr>
                <w:p w14:paraId="5C78F0DC">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200</w:t>
                  </w:r>
                </w:p>
              </w:tc>
              <w:tc>
                <w:tcPr>
                  <w:tcW w:w="47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61786C">
                  <w:pPr>
                    <w:keepNext w:val="0"/>
                    <w:keepLines w:val="0"/>
                    <w:suppressLineNumbers w:val="0"/>
                    <w:spacing w:before="0" w:beforeAutospacing="0" w:after="0" w:afterAutospacing="0" w:line="240" w:lineRule="auto"/>
                    <w:ind w:left="-63" w:leftChars="-30" w:right="-63" w:rightChars="-30" w:firstLine="0" w:firstLine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392" w:type="pct"/>
                  <w:tcBorders>
                    <w:top w:val="single" w:color="auto" w:sz="4" w:space="0"/>
                    <w:left w:val="single" w:color="auto" w:sz="4" w:space="0"/>
                    <w:bottom w:val="single" w:color="auto" w:sz="4" w:space="0"/>
                    <w:tl2br w:val="nil"/>
                    <w:tr2bl w:val="nil"/>
                  </w:tcBorders>
                  <w:noWrap w:val="0"/>
                  <w:vAlign w:val="center"/>
                </w:tcPr>
                <w:p w14:paraId="01BB593F">
                  <w:pPr>
                    <w:keepNext w:val="0"/>
                    <w:keepLines w:val="0"/>
                    <w:suppressLineNumbers w:val="0"/>
                    <w:spacing w:before="0" w:beforeAutospacing="0" w:after="0" w:afterAutospacing="0" w:line="240" w:lineRule="auto"/>
                    <w:ind w:left="-63" w:leftChars="-30" w:right="-63" w:rightChars="-30" w:firstLine="0" w:firstLine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352" w:type="pct"/>
                  <w:vMerge w:val="continue"/>
                  <w:tcBorders>
                    <w:tl2br w:val="nil"/>
                    <w:tr2bl w:val="nil"/>
                  </w:tcBorders>
                  <w:noWrap w:val="0"/>
                  <w:vAlign w:val="center"/>
                </w:tcPr>
                <w:p w14:paraId="03B168F3">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lang w:val="en-US" w:eastAsia="zh-CN"/>
                    </w:rPr>
                  </w:pPr>
                </w:p>
              </w:tc>
              <w:tc>
                <w:tcPr>
                  <w:tcW w:w="293" w:type="pct"/>
                  <w:vMerge w:val="continue"/>
                  <w:tcBorders>
                    <w:tl2br w:val="nil"/>
                    <w:tr2bl w:val="nil"/>
                  </w:tcBorders>
                  <w:noWrap w:val="0"/>
                  <w:vAlign w:val="center"/>
                </w:tcPr>
                <w:p w14:paraId="5D0FFA44">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lang w:val="en-US" w:eastAsia="zh-CN"/>
                    </w:rPr>
                  </w:pPr>
                </w:p>
              </w:tc>
              <w:tc>
                <w:tcPr>
                  <w:tcW w:w="246" w:type="pct"/>
                  <w:vMerge w:val="continue"/>
                  <w:tcBorders>
                    <w:tl2br w:val="nil"/>
                    <w:tr2bl w:val="nil"/>
                  </w:tcBorders>
                  <w:noWrap w:val="0"/>
                  <w:vAlign w:val="center"/>
                </w:tcPr>
                <w:p w14:paraId="71B545E3">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lang w:val="en-US" w:eastAsia="zh-CN"/>
                    </w:rPr>
                  </w:pPr>
                </w:p>
              </w:tc>
              <w:tc>
                <w:tcPr>
                  <w:tcW w:w="400" w:type="pct"/>
                  <w:vMerge w:val="continue"/>
                  <w:tcBorders>
                    <w:tl2br w:val="nil"/>
                    <w:tr2bl w:val="nil"/>
                  </w:tcBorders>
                  <w:noWrap w:val="0"/>
                  <w:vAlign w:val="center"/>
                </w:tcPr>
                <w:p w14:paraId="6C8732D8">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lang w:val="en-US" w:eastAsia="zh-CN"/>
                    </w:rPr>
                  </w:pPr>
                </w:p>
              </w:tc>
              <w:tc>
                <w:tcPr>
                  <w:tcW w:w="216" w:type="pct"/>
                  <w:vMerge w:val="continue"/>
                  <w:tcBorders>
                    <w:tl2br w:val="nil"/>
                    <w:tr2bl w:val="nil"/>
                  </w:tcBorders>
                  <w:noWrap w:val="0"/>
                  <w:vAlign w:val="center"/>
                </w:tcPr>
                <w:p w14:paraId="2B2D7D2F">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rPr>
                  </w:pPr>
                </w:p>
              </w:tc>
              <w:tc>
                <w:tcPr>
                  <w:tcW w:w="329" w:type="pct"/>
                  <w:vMerge w:val="continue"/>
                  <w:tcBorders>
                    <w:tl2br w:val="nil"/>
                    <w:tr2bl w:val="nil"/>
                  </w:tcBorders>
                  <w:noWrap w:val="0"/>
                  <w:vAlign w:val="center"/>
                </w:tcPr>
                <w:p w14:paraId="288B0973">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rPr>
                  </w:pPr>
                </w:p>
              </w:tc>
            </w:tr>
            <w:tr w14:paraId="4595B3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34" w:hRule="atLeast"/>
                <w:jc w:val="center"/>
              </w:trPr>
              <w:tc>
                <w:tcPr>
                  <w:tcW w:w="277" w:type="pct"/>
                  <w:vMerge w:val="continue"/>
                  <w:tcBorders>
                    <w:tl2br w:val="nil"/>
                    <w:tr2bl w:val="nil"/>
                  </w:tcBorders>
                  <w:noWrap w:val="0"/>
                  <w:vAlign w:val="center"/>
                </w:tcPr>
                <w:p w14:paraId="2664B3B7">
                  <w:pPr>
                    <w:pStyle w:val="227"/>
                    <w:keepNext w:val="0"/>
                    <w:keepLines w:val="0"/>
                    <w:suppressLineNumbers w:val="0"/>
                    <w:spacing w:before="0" w:beforeAutospacing="0" w:after="0" w:afterAutospacing="0" w:line="240" w:lineRule="auto"/>
                    <w:ind w:left="-63" w:leftChars="-30" w:right="-63" w:rightChars="-30" w:firstLine="0" w:firstLineChars="0"/>
                    <w:jc w:val="center"/>
                    <w:rPr>
                      <w:rFonts w:hint="default" w:ascii="Times New Roman" w:hAnsi="Times New Roman" w:eastAsia="宋体" w:cs="Times New Roman"/>
                      <w:color w:val="auto"/>
                      <w:sz w:val="21"/>
                      <w:szCs w:val="21"/>
                    </w:rPr>
                  </w:pPr>
                </w:p>
              </w:tc>
              <w:tc>
                <w:tcPr>
                  <w:tcW w:w="418" w:type="pct"/>
                  <w:vMerge w:val="continue"/>
                  <w:tcBorders>
                    <w:tl2br w:val="nil"/>
                    <w:tr2bl w:val="nil"/>
                  </w:tcBorders>
                  <w:noWrap w:val="0"/>
                  <w:vAlign w:val="center"/>
                </w:tcPr>
                <w:p w14:paraId="4B1B02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lang w:val="en-US" w:eastAsia="zh-CN"/>
                    </w:rPr>
                  </w:pPr>
                </w:p>
              </w:tc>
              <w:tc>
                <w:tcPr>
                  <w:tcW w:w="310" w:type="pct"/>
                  <w:vMerge w:val="continue"/>
                  <w:tcBorders>
                    <w:tl2br w:val="nil"/>
                    <w:tr2bl w:val="nil"/>
                  </w:tcBorders>
                  <w:noWrap w:val="0"/>
                  <w:vAlign w:val="center"/>
                </w:tcPr>
                <w:p w14:paraId="455C0107">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Times New Roman" w:cs="Times New Roman"/>
                      <w:color w:val="auto"/>
                      <w:sz w:val="21"/>
                      <w:szCs w:val="21"/>
                      <w:lang w:val="en-US" w:eastAsia="zh-CN"/>
                    </w:rPr>
                  </w:pPr>
                </w:p>
              </w:tc>
              <w:tc>
                <w:tcPr>
                  <w:tcW w:w="358" w:type="pct"/>
                  <w:vMerge w:val="continue"/>
                  <w:tcBorders>
                    <w:tl2br w:val="nil"/>
                    <w:tr2bl w:val="nil"/>
                  </w:tcBorders>
                  <w:noWrap w:val="0"/>
                  <w:vAlign w:val="center"/>
                </w:tcPr>
                <w:p w14:paraId="03193B6A">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sz w:val="21"/>
                      <w:szCs w:val="21"/>
                    </w:rPr>
                  </w:pPr>
                </w:p>
              </w:tc>
              <w:tc>
                <w:tcPr>
                  <w:tcW w:w="430" w:type="pct"/>
                  <w:tcBorders>
                    <w:top w:val="single" w:color="auto" w:sz="4" w:space="0"/>
                    <w:bottom w:val="single" w:color="auto" w:sz="4" w:space="0"/>
                    <w:tl2br w:val="nil"/>
                    <w:tr2bl w:val="nil"/>
                  </w:tcBorders>
                  <w:noWrap w:val="0"/>
                  <w:vAlign w:val="center"/>
                </w:tcPr>
                <w:p w14:paraId="0084F5E5">
                  <w:pPr>
                    <w:pStyle w:val="224"/>
                    <w:keepNext w:val="0"/>
                    <w:keepLines w:val="0"/>
                    <w:suppressLineNumbers w:val="0"/>
                    <w:spacing w:before="0" w:beforeAutospacing="0" w:after="0" w:afterAutospacing="0" w:line="240" w:lineRule="auto"/>
                    <w:ind w:left="-63" w:leftChars="-30" w:right="-63" w:rightChars="-30" w:firstLine="0" w:firstLineChars="0"/>
                    <w:jc w:val="center"/>
                    <w:rPr>
                      <w:rFonts w:hint="eastAsia" w:ascii="Times New Roman" w:hAnsi="Times New Roman" w:eastAsia="宋体" w:cs="Times New Roman"/>
                      <w:color w:val="auto"/>
                      <w:sz w:val="21"/>
                      <w:szCs w:val="21"/>
                      <w:lang w:val="en-US" w:eastAsia="zh-CN"/>
                    </w:rPr>
                  </w:pPr>
                  <w:r>
                    <w:rPr>
                      <w:rFonts w:hint="default" w:ascii="Times New Roman" w:hAnsi="Times New Roman" w:cs="Times New Roman"/>
                      <w:bCs/>
                      <w:color w:val="auto"/>
                      <w:sz w:val="21"/>
                      <w:szCs w:val="21"/>
                    </w:rPr>
                    <w:t>NO</w:t>
                  </w:r>
                  <w:r>
                    <w:rPr>
                      <w:rFonts w:hint="default" w:ascii="Times New Roman" w:hAnsi="Times New Roman" w:cs="Times New Roman"/>
                      <w:bCs/>
                      <w:color w:val="auto"/>
                      <w:sz w:val="21"/>
                      <w:szCs w:val="21"/>
                      <w:vertAlign w:val="subscript"/>
                    </w:rPr>
                    <w:t>X</w:t>
                  </w:r>
                </w:p>
              </w:tc>
              <w:tc>
                <w:tcPr>
                  <w:tcW w:w="496" w:type="pct"/>
                  <w:tcBorders>
                    <w:top w:val="single" w:color="auto" w:sz="4" w:space="0"/>
                    <w:bottom w:val="single" w:color="auto" w:sz="4" w:space="0"/>
                    <w:right w:val="single" w:color="auto" w:sz="4" w:space="0"/>
                    <w:tl2br w:val="nil"/>
                    <w:tr2bl w:val="nil"/>
                  </w:tcBorders>
                  <w:noWrap w:val="0"/>
                  <w:vAlign w:val="center"/>
                </w:tcPr>
                <w:p w14:paraId="4B8A17FB">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50</w:t>
                  </w:r>
                </w:p>
              </w:tc>
              <w:tc>
                <w:tcPr>
                  <w:tcW w:w="47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9815743">
                  <w:pPr>
                    <w:keepNext w:val="0"/>
                    <w:keepLines w:val="0"/>
                    <w:suppressLineNumbers w:val="0"/>
                    <w:spacing w:before="0" w:beforeAutospacing="0" w:after="0" w:afterAutospacing="0" w:line="240" w:lineRule="auto"/>
                    <w:ind w:left="-63" w:leftChars="-30" w:right="-63" w:rightChars="-30" w:firstLine="0" w:firstLine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392" w:type="pct"/>
                  <w:tcBorders>
                    <w:top w:val="single" w:color="auto" w:sz="4" w:space="0"/>
                    <w:left w:val="single" w:color="auto" w:sz="4" w:space="0"/>
                    <w:bottom w:val="single" w:color="auto" w:sz="4" w:space="0"/>
                    <w:tl2br w:val="nil"/>
                    <w:tr2bl w:val="nil"/>
                  </w:tcBorders>
                  <w:noWrap w:val="0"/>
                  <w:vAlign w:val="center"/>
                </w:tcPr>
                <w:p w14:paraId="23B2CBE1">
                  <w:pPr>
                    <w:keepNext w:val="0"/>
                    <w:keepLines w:val="0"/>
                    <w:suppressLineNumbers w:val="0"/>
                    <w:spacing w:before="0" w:beforeAutospacing="0" w:after="0" w:afterAutospacing="0" w:line="240" w:lineRule="auto"/>
                    <w:ind w:left="-63" w:leftChars="-30" w:right="-63" w:rightChars="-30" w:firstLine="0" w:firstLine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352" w:type="pct"/>
                  <w:vMerge w:val="continue"/>
                  <w:tcBorders>
                    <w:tl2br w:val="nil"/>
                    <w:tr2bl w:val="nil"/>
                  </w:tcBorders>
                  <w:noWrap w:val="0"/>
                  <w:vAlign w:val="center"/>
                </w:tcPr>
                <w:p w14:paraId="6C5AA417">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lang w:val="en-US" w:eastAsia="zh-CN"/>
                    </w:rPr>
                  </w:pPr>
                </w:p>
              </w:tc>
              <w:tc>
                <w:tcPr>
                  <w:tcW w:w="293" w:type="pct"/>
                  <w:vMerge w:val="continue"/>
                  <w:tcBorders>
                    <w:tl2br w:val="nil"/>
                    <w:tr2bl w:val="nil"/>
                  </w:tcBorders>
                  <w:noWrap w:val="0"/>
                  <w:vAlign w:val="center"/>
                </w:tcPr>
                <w:p w14:paraId="33399096">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lang w:val="en-US" w:eastAsia="zh-CN"/>
                    </w:rPr>
                  </w:pPr>
                </w:p>
              </w:tc>
              <w:tc>
                <w:tcPr>
                  <w:tcW w:w="246" w:type="pct"/>
                  <w:vMerge w:val="continue"/>
                  <w:tcBorders>
                    <w:tl2br w:val="nil"/>
                    <w:tr2bl w:val="nil"/>
                  </w:tcBorders>
                  <w:noWrap w:val="0"/>
                  <w:vAlign w:val="center"/>
                </w:tcPr>
                <w:p w14:paraId="113742D9">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lang w:val="en-US" w:eastAsia="zh-CN"/>
                    </w:rPr>
                  </w:pPr>
                </w:p>
              </w:tc>
              <w:tc>
                <w:tcPr>
                  <w:tcW w:w="400" w:type="pct"/>
                  <w:vMerge w:val="continue"/>
                  <w:tcBorders>
                    <w:bottom w:val="single" w:color="auto" w:sz="4" w:space="0"/>
                    <w:tl2br w:val="nil"/>
                    <w:tr2bl w:val="nil"/>
                  </w:tcBorders>
                  <w:noWrap w:val="0"/>
                  <w:vAlign w:val="center"/>
                </w:tcPr>
                <w:p w14:paraId="7A57DE28">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lang w:val="en-US" w:eastAsia="zh-CN"/>
                    </w:rPr>
                  </w:pPr>
                </w:p>
              </w:tc>
              <w:tc>
                <w:tcPr>
                  <w:tcW w:w="216" w:type="pct"/>
                  <w:vMerge w:val="continue"/>
                  <w:tcBorders>
                    <w:tl2br w:val="nil"/>
                    <w:tr2bl w:val="nil"/>
                  </w:tcBorders>
                  <w:noWrap w:val="0"/>
                  <w:vAlign w:val="center"/>
                </w:tcPr>
                <w:p w14:paraId="7A4A2CDC">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rPr>
                  </w:pPr>
                </w:p>
              </w:tc>
              <w:tc>
                <w:tcPr>
                  <w:tcW w:w="329" w:type="pct"/>
                  <w:vMerge w:val="continue"/>
                  <w:tcBorders>
                    <w:tl2br w:val="nil"/>
                    <w:tr2bl w:val="nil"/>
                  </w:tcBorders>
                  <w:noWrap w:val="0"/>
                  <w:vAlign w:val="center"/>
                </w:tcPr>
                <w:p w14:paraId="00089397">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rPr>
                  </w:pPr>
                </w:p>
              </w:tc>
            </w:tr>
          </w:tbl>
          <w:p w14:paraId="25FA8A77">
            <w:pPr>
              <w:keepNext w:val="0"/>
              <w:keepLines w:val="0"/>
              <w:suppressLineNumbers w:val="0"/>
              <w:snapToGrid w:val="0"/>
              <w:spacing w:before="0" w:beforeAutospacing="0" w:after="0" w:afterAutospacing="0"/>
              <w:ind w:left="0" w:right="0" w:firstLine="380" w:firstLineChars="200"/>
              <w:rPr>
                <w:rFonts w:hint="default" w:eastAsia="宋体"/>
                <w:bCs/>
                <w:color w:val="0000FF"/>
                <w:spacing w:val="-10"/>
                <w:szCs w:val="21"/>
              </w:rPr>
            </w:pPr>
          </w:p>
        </w:tc>
      </w:tr>
    </w:tbl>
    <w:p w14:paraId="1B18C753">
      <w:pPr>
        <w:pStyle w:val="46"/>
        <w:spacing w:before="120" w:beforeLines="50" w:beforeAutospacing="0" w:after="0" w:afterAutospacing="0" w:line="360" w:lineRule="auto"/>
        <w:jc w:val="both"/>
        <w:outlineLvl w:val="0"/>
        <w:rPr>
          <w:rFonts w:hint="default" w:ascii="Times New Roman" w:hAnsi="Times New Roman" w:eastAsia="宋体" w:cs="Times New Roman"/>
          <w:snapToGrid w:val="0"/>
          <w:color w:val="0000FF"/>
          <w:sz w:val="30"/>
          <w:szCs w:val="30"/>
        </w:rPr>
        <w:sectPr>
          <w:headerReference r:id="rId10" w:type="default"/>
          <w:pgSz w:w="16840" w:h="11907" w:orient="landscape"/>
          <w:pgMar w:top="1440" w:right="1440" w:bottom="1440" w:left="1389" w:header="851" w:footer="851" w:gutter="0"/>
          <w:pgBorders>
            <w:top w:val="none" w:sz="0" w:space="0"/>
            <w:left w:val="none" w:sz="0" w:space="0"/>
            <w:bottom w:val="none" w:sz="0" w:space="0"/>
            <w:right w:val="none" w:sz="0" w:space="0"/>
          </w:pgBorders>
          <w:pgNumType w:fmt="numberInDash"/>
          <w:cols w:space="720" w:num="1"/>
          <w:docGrid w:linePitch="312" w:charSpace="0"/>
        </w:sectPr>
      </w:pPr>
    </w:p>
    <w:tbl>
      <w:tblPr>
        <w:tblStyle w:val="52"/>
        <w:tblW w:w="95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791"/>
      </w:tblGrid>
      <w:tr w14:paraId="0A7D6C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3487" w:hRule="atLeast"/>
          <w:jc w:val="center"/>
        </w:trPr>
        <w:tc>
          <w:tcPr>
            <w:tcW w:w="746" w:type="dxa"/>
            <w:noWrap w:val="0"/>
            <w:tcMar>
              <w:left w:w="28" w:type="dxa"/>
              <w:right w:w="28" w:type="dxa"/>
            </w:tcMar>
            <w:vAlign w:val="center"/>
          </w:tcPr>
          <w:p w14:paraId="2E62F23E">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E54AB9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3EE32EE">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5A93A3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166995D">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6315352">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2802976">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462799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9AA89F9">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0B79C1BD">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29A1A83">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432862F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C97CB66">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DD1A715">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5044BC79">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3246EDA3">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02E6277D">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2BEB5C5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144AAF12">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措施</w:t>
            </w:r>
          </w:p>
          <w:p w14:paraId="3DC22132">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4DE7FC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0F446CEF">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9D51EA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91FF46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070951A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0B649F6F">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223A37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6A99262">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5BDA3F6">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1EC9783">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485FD2E2">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ADA120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C50A172">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E66526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F8784C6">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06D73EF">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F1BA679">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CC3754F">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154F073">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62E8143">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7660C5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47858E1">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3BB16AF">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81F209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6930DB1D">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3312526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5C5A639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600DB41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0E609BE5">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措施</w:t>
            </w:r>
          </w:p>
          <w:p w14:paraId="67A467D8">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BC78153">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EF299CC">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4F23E71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8F8AFB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41FF95B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2D9DB25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FE9338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85C001D">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97BD62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9D38DA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BA2846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BEB67EE">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658252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7476ED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E9E0F58">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51E9DF8">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A9D4C3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9EA9C6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EC8B15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B1FD45D">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0A6D4A43">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4BFBDE9">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C520938">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47191D9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0ECED63F">
            <w:pPr>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bCs/>
                <w:color w:val="auto"/>
                <w:sz w:val="24"/>
              </w:rPr>
            </w:pPr>
          </w:p>
          <w:p w14:paraId="53F754D5">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74A1BF59">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2582D4D6">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0DDE054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6E643CC6">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47675AA9">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措施</w:t>
            </w:r>
          </w:p>
          <w:p w14:paraId="0F88C182">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9876E35">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44EAB985">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23ED13C">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995777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00D23CF5">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6E42D5B2">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B1B1F25">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0C23F40F">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FBEE9C3">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7BBA92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44B44B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EF44C45">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42C8BC6">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B44352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028886A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420C53C8">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6B91C0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7CB4302">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2A93D01">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9F79533">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3878031">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738095F">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496A4BBE">
            <w:pPr>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bCs/>
                <w:color w:val="auto"/>
                <w:sz w:val="24"/>
              </w:rPr>
            </w:pPr>
          </w:p>
          <w:p w14:paraId="27A1D61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20B5DC3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1EC07CF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7E831EDD">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00268EF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7AACBC6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措施</w:t>
            </w:r>
          </w:p>
          <w:p w14:paraId="61F9D812">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213B47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499F7F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094F221">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8E327A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4DD00CED">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DDB87A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4F1BBDCD">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A0A358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ABA15DE">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F3F3CF8">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03CC54B2">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EE0374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FC993EC">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93A3EC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12DE00C">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E5F6DFF">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229D92E">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D81746D">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CDB8FCD">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2FA6752">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5BF476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43443E72">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8DB184E">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FD8FE85">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23BD25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43897DC2">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7B060CBF">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5B1380DC">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6DEA71C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59913DA8">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18CF9E2C">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措施</w:t>
            </w:r>
          </w:p>
          <w:p w14:paraId="1AD14C3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4E416CC9">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420E98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3F71B38">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21739D9">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0312FD8">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11E7CE8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864211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480790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95F86E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0209484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8984161">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0C00C21D">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7EE6B9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0E988451">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F8F2E5F">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06152B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E3D732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79885D3">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D586F3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0A1EF43">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92F2F7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B298FE2">
            <w:pPr>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bCs/>
                <w:color w:val="auto"/>
                <w:sz w:val="24"/>
              </w:rPr>
            </w:pPr>
          </w:p>
          <w:p w14:paraId="7AF8213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C886DC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42D199A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68B1AC3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3F67018F">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1B20AE51">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4A6CB33E">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措施</w:t>
            </w:r>
          </w:p>
          <w:p w14:paraId="14C0865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25071AF">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9B6D38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07F04E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D7F2072">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4CAB6C7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379DC9CF">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66C128E">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7DEBD4E">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3484C96">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9D00ED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BD273CA">
            <w:pPr>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Times New Roman" w:cs="Times New Roman"/>
                <w:color w:val="auto"/>
              </w:rPr>
            </w:pPr>
          </w:p>
          <w:p w14:paraId="246EE58F">
            <w:pPr>
              <w:pStyle w:val="70"/>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color w:val="auto"/>
              </w:rPr>
            </w:pPr>
          </w:p>
          <w:p w14:paraId="7AB8B735">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FE2DE2D">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4DFAA3F">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35950C3">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0CC91618">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D5F722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09E638D">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4689A012">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4722B8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3EDFF61">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5B689E9">
            <w:pPr>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bCs/>
                <w:color w:val="auto"/>
                <w:sz w:val="24"/>
              </w:rPr>
            </w:pPr>
          </w:p>
          <w:p w14:paraId="6FFCFEB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8DA369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143CDD79">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6C33873E">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264DEAF9">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451FEE1E">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1A2BC03E">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措施</w:t>
            </w:r>
          </w:p>
          <w:p w14:paraId="15AB1552">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C1401AE">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D841B46">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B03130C">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495E26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689C61D">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2F75014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B7E4A4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00C40C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B4E8C89">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5B1236F">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CFC8BC9">
            <w:pPr>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Times New Roman" w:cs="Times New Roman"/>
                <w:color w:val="auto"/>
              </w:rPr>
            </w:pPr>
          </w:p>
          <w:p w14:paraId="71187180">
            <w:pPr>
              <w:pStyle w:val="70"/>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color w:val="auto"/>
              </w:rPr>
            </w:pPr>
          </w:p>
          <w:p w14:paraId="6C05DC8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D489B79">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948E7CC">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43A21285">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BC8401D">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EF3D5F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2046EEC">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43132103">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CF2DBF9">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01967F1C">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167112A">
            <w:pPr>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bCs/>
                <w:color w:val="auto"/>
                <w:sz w:val="24"/>
              </w:rPr>
            </w:pPr>
          </w:p>
          <w:p w14:paraId="43508FB3">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B57CDF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33D3E7C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6DC3A21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1FFBF0A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7E3FC931">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144B235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措施</w:t>
            </w:r>
          </w:p>
          <w:p w14:paraId="382CF255">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0CA609E">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FDCE1B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4EDD7A3">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40DE16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5C990D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513F6C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CFCCC2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477DB038">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4A814AC">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50332C6">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4A69036">
            <w:pPr>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Times New Roman" w:cs="Times New Roman"/>
                <w:color w:val="auto"/>
              </w:rPr>
            </w:pPr>
          </w:p>
          <w:p w14:paraId="7B60A244">
            <w:pPr>
              <w:pStyle w:val="70"/>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color w:val="auto"/>
              </w:rPr>
            </w:pPr>
          </w:p>
        </w:tc>
        <w:tc>
          <w:tcPr>
            <w:tcW w:w="8791" w:type="dxa"/>
            <w:noWrap w:val="0"/>
            <w:vAlign w:val="top"/>
          </w:tcPr>
          <w:p w14:paraId="79E30D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2" w:firstLineChars="200"/>
              <w:textAlignment w:val="auto"/>
              <w:rPr>
                <w:rFonts w:hint="default" w:ascii="Times New Roman" w:hAnsi="Times New Roman" w:eastAsia="宋体" w:cs="Times New Roman"/>
                <w:bCs/>
                <w:color w:val="auto"/>
                <w:sz w:val="24"/>
              </w:rPr>
            </w:pPr>
            <w:r>
              <w:rPr>
                <w:rFonts w:hint="default" w:ascii="Times New Roman" w:hAnsi="Times New Roman" w:eastAsia="宋体" w:cs="Times New Roman"/>
                <w:b/>
                <w:bCs w:val="0"/>
                <w:color w:val="auto"/>
                <w:sz w:val="24"/>
                <w:lang w:val="en-US" w:eastAsia="zh-CN"/>
              </w:rPr>
              <w:t>1.2</w:t>
            </w:r>
            <w:r>
              <w:rPr>
                <w:rFonts w:hint="default" w:ascii="Times New Roman" w:hAnsi="Times New Roman" w:eastAsia="宋体" w:cs="Times New Roman"/>
                <w:b/>
                <w:bCs w:val="0"/>
                <w:color w:val="auto"/>
                <w:sz w:val="24"/>
              </w:rPr>
              <w:t>废气污染源强核算</w:t>
            </w:r>
          </w:p>
          <w:p w14:paraId="5D7BEC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outlineLvl w:val="9"/>
              <w:rPr>
                <w:rFonts w:hint="default" w:ascii="Times New Roman" w:hAnsi="Times New Roman" w:cs="Times New Roman"/>
                <w:color w:val="0000FF"/>
                <w:sz w:val="24"/>
                <w:szCs w:val="24"/>
                <w:lang w:val="en-US" w:eastAsia="zh-CN"/>
              </w:rPr>
            </w:pPr>
            <w:r>
              <w:rPr>
                <w:rFonts w:hint="default" w:ascii="Times New Roman" w:hAnsi="Times New Roman" w:cs="Times New Roman"/>
                <w:color w:val="auto"/>
                <w:sz w:val="24"/>
                <w:szCs w:val="24"/>
                <w:lang w:val="en-US" w:eastAsia="zh-CN"/>
              </w:rPr>
              <w:t>根据工程分析，项目</w:t>
            </w:r>
            <w:r>
              <w:rPr>
                <w:rFonts w:hint="eastAsia" w:ascii="Times New Roman" w:hAnsi="Times New Roman" w:cs="Times New Roman"/>
                <w:color w:val="auto"/>
                <w:sz w:val="24"/>
                <w:szCs w:val="24"/>
                <w:lang w:val="en-US" w:eastAsia="zh-CN"/>
              </w:rPr>
              <w:t>废气</w:t>
            </w:r>
            <w:r>
              <w:rPr>
                <w:rFonts w:hint="default" w:ascii="Times New Roman" w:hAnsi="Times New Roman" w:cs="Times New Roman"/>
                <w:color w:val="auto"/>
                <w:sz w:val="24"/>
                <w:szCs w:val="24"/>
                <w:lang w:val="en-US" w:eastAsia="zh-CN"/>
              </w:rPr>
              <w:t>主要为</w:t>
            </w:r>
            <w:r>
              <w:rPr>
                <w:rFonts w:hint="eastAsia" w:ascii="Times New Roman" w:hAnsi="Times New Roman" w:cs="Times New Roman"/>
                <w:color w:val="auto"/>
                <w:sz w:val="24"/>
                <w:szCs w:val="24"/>
                <w:lang w:val="en-US" w:eastAsia="zh-CN"/>
              </w:rPr>
              <w:t>箱式渗碳、淬火回火废气（颗粒物、非甲烷总烃）、天然气燃烧废气（颗粒物、二氧化硫、氮氧化物）。</w:t>
            </w:r>
          </w:p>
          <w:p w14:paraId="4C650D55">
            <w:pPr>
              <w:keepNext w:val="0"/>
              <w:keepLines w:val="0"/>
              <w:suppressLineNumbers w:val="0"/>
              <w:spacing w:before="0" w:beforeAutospacing="0" w:after="0" w:afterAutospacing="0" w:line="440" w:lineRule="exact"/>
              <w:ind w:left="0" w:right="0" w:firstLine="482" w:firstLineChars="200"/>
              <w:rPr>
                <w:rFonts w:hint="default" w:ascii="Times New Roman" w:hAnsi="Times New Roman" w:eastAsia="宋体" w:cs="Times New Roman"/>
                <w:b/>
                <w:bCs w:val="0"/>
                <w:color w:val="auto"/>
                <w:sz w:val="24"/>
                <w:szCs w:val="24"/>
                <w:lang w:val="en-US"/>
              </w:rPr>
            </w:pPr>
            <w:r>
              <w:rPr>
                <w:rFonts w:hint="default" w:ascii="Times New Roman" w:hAnsi="Times New Roman" w:eastAsia="宋体" w:cs="Times New Roman"/>
                <w:b/>
                <w:bCs w:val="0"/>
                <w:color w:val="auto"/>
                <w:sz w:val="24"/>
                <w:szCs w:val="24"/>
                <w:lang w:eastAsia="zh-CN"/>
              </w:rPr>
              <w:t>（</w:t>
            </w:r>
            <w:r>
              <w:rPr>
                <w:rFonts w:hint="eastAsia" w:ascii="Times New Roman" w:hAnsi="Times New Roman" w:cs="Times New Roman"/>
                <w:b/>
                <w:bCs w:val="0"/>
                <w:color w:val="auto"/>
                <w:sz w:val="24"/>
                <w:szCs w:val="24"/>
                <w:lang w:val="en-US" w:eastAsia="zh-CN"/>
              </w:rPr>
              <w:t>1</w:t>
            </w:r>
            <w:r>
              <w:rPr>
                <w:rFonts w:hint="default" w:ascii="Times New Roman" w:hAnsi="Times New Roman" w:eastAsia="宋体" w:cs="Times New Roman"/>
                <w:b/>
                <w:bCs w:val="0"/>
                <w:color w:val="auto"/>
                <w:sz w:val="24"/>
                <w:szCs w:val="24"/>
                <w:lang w:eastAsia="zh-CN"/>
              </w:rPr>
              <w:t>）</w:t>
            </w:r>
            <w:r>
              <w:rPr>
                <w:rFonts w:hint="eastAsia" w:ascii="Times New Roman" w:hAnsi="Times New Roman" w:cs="Times New Roman"/>
                <w:b/>
                <w:bCs/>
                <w:color w:val="auto"/>
                <w:sz w:val="24"/>
                <w:szCs w:val="24"/>
                <w:lang w:val="en-US" w:eastAsia="zh-CN"/>
              </w:rPr>
              <w:t>箱式渗碳、淬火回火废气</w:t>
            </w:r>
          </w:p>
          <w:p w14:paraId="44A348F2">
            <w:pPr>
              <w:pStyle w:val="62"/>
              <w:keepNext w:val="0"/>
              <w:keepLines w:val="0"/>
              <w:suppressLineNumbers w:val="0"/>
              <w:bidi w:val="0"/>
              <w:spacing w:before="0" w:beforeAutospacing="0" w:after="0" w:afterAutospacing="0"/>
              <w:ind w:left="0" w:right="0"/>
              <w:rPr>
                <w:rFonts w:hint="default"/>
                <w:b/>
                <w:bCs/>
                <w:color w:val="auto"/>
              </w:rPr>
            </w:pPr>
            <w:r>
              <w:rPr>
                <w:rFonts w:hint="eastAsia"/>
                <w:b/>
                <w:bCs/>
                <w:color w:val="auto"/>
              </w:rPr>
              <w:t>①源强核算</w:t>
            </w:r>
          </w:p>
          <w:p w14:paraId="261423E0">
            <w:pPr>
              <w:pStyle w:val="62"/>
              <w:keepNext w:val="0"/>
              <w:keepLines w:val="0"/>
              <w:suppressLineNumbers w:val="0"/>
              <w:bidi w:val="0"/>
              <w:spacing w:before="0" w:beforeAutospacing="0" w:after="0" w:afterAutospacing="0"/>
              <w:ind w:left="0" w:right="0"/>
              <w:rPr>
                <w:rFonts w:hint="default"/>
                <w:color w:val="0000FF"/>
              </w:rPr>
            </w:pPr>
            <w:r>
              <w:rPr>
                <w:rFonts w:hint="eastAsia"/>
                <w:color w:val="auto"/>
                <w:sz w:val="24"/>
                <w:szCs w:val="24"/>
              </w:rPr>
              <w:t>根据生态环境部发布的</w:t>
            </w:r>
            <w:r>
              <w:rPr>
                <w:rFonts w:hint="eastAsia" w:hAnsi="宋体"/>
                <w:bCs/>
                <w:color w:val="auto"/>
                <w:sz w:val="24"/>
                <w:lang w:val="en-US" w:eastAsia="zh-CN"/>
              </w:rPr>
              <w:t>《排放源统计调查产排污核算方法和系数手册》（公告2021年第24号）</w:t>
            </w:r>
            <w:r>
              <w:rPr>
                <w:rFonts w:hint="eastAsia"/>
                <w:color w:val="auto"/>
                <w:sz w:val="24"/>
                <w:szCs w:val="24"/>
              </w:rPr>
              <w:t>中33、金属制品业中1</w:t>
            </w:r>
            <w:r>
              <w:rPr>
                <w:rFonts w:hint="eastAsia"/>
                <w:color w:val="auto"/>
                <w:sz w:val="24"/>
                <w:szCs w:val="24"/>
                <w:lang w:val="en-US" w:eastAsia="zh-CN"/>
              </w:rPr>
              <w:t>2热处理</w:t>
            </w:r>
            <w:r>
              <w:rPr>
                <w:rFonts w:hint="eastAsia"/>
                <w:color w:val="auto"/>
                <w:sz w:val="24"/>
                <w:szCs w:val="24"/>
              </w:rPr>
              <w:t>核算环节</w:t>
            </w:r>
            <w:r>
              <w:rPr>
                <w:rFonts w:hint="eastAsia"/>
                <w:color w:val="auto"/>
                <w:sz w:val="24"/>
                <w:szCs w:val="24"/>
                <w:lang w:eastAsia="zh-CN"/>
              </w:rPr>
              <w:t>，</w:t>
            </w:r>
            <w:r>
              <w:rPr>
                <w:rFonts w:hint="eastAsia"/>
                <w:color w:val="auto"/>
                <w:sz w:val="24"/>
                <w:szCs w:val="24"/>
                <w:lang w:val="en-US" w:eastAsia="zh-CN"/>
              </w:rPr>
              <w:t>渗碳工艺</w:t>
            </w:r>
            <w:r>
              <w:rPr>
                <w:rStyle w:val="67"/>
                <w:rFonts w:hint="eastAsia"/>
                <w:color w:val="auto"/>
                <w:lang w:val="en-US" w:eastAsia="zh-CN"/>
              </w:rPr>
              <w:t>挥发性有机物（以非甲烷总烃计）</w:t>
            </w:r>
            <w:r>
              <w:rPr>
                <w:rStyle w:val="67"/>
                <w:rFonts w:hint="eastAsia"/>
                <w:color w:val="auto"/>
              </w:rPr>
              <w:t>产生系数为</w:t>
            </w:r>
            <w:r>
              <w:rPr>
                <w:rStyle w:val="67"/>
                <w:rFonts w:hint="eastAsia"/>
                <w:color w:val="auto"/>
                <w:lang w:val="en-US" w:eastAsia="zh-CN"/>
              </w:rPr>
              <w:t>0.01kg-产品；使用淬火油淬火/回火工艺</w:t>
            </w:r>
            <w:r>
              <w:rPr>
                <w:rStyle w:val="67"/>
                <w:rFonts w:hint="eastAsia"/>
                <w:color w:val="auto"/>
              </w:rPr>
              <w:t>颗粒物产生系数为</w:t>
            </w:r>
            <w:r>
              <w:rPr>
                <w:rStyle w:val="67"/>
                <w:rFonts w:hint="eastAsia"/>
                <w:color w:val="auto"/>
                <w:lang w:val="en-US" w:eastAsia="zh-CN"/>
              </w:rPr>
              <w:t>200</w:t>
            </w:r>
            <w:r>
              <w:rPr>
                <w:rStyle w:val="67"/>
                <w:rFonts w:hint="default"/>
                <w:color w:val="auto"/>
              </w:rPr>
              <w:t>kg/t-</w:t>
            </w:r>
            <w:r>
              <w:rPr>
                <w:rStyle w:val="67"/>
                <w:rFonts w:hint="eastAsia"/>
                <w:color w:val="auto"/>
              </w:rPr>
              <w:t>原料</w:t>
            </w:r>
            <w:r>
              <w:rPr>
                <w:rStyle w:val="67"/>
                <w:rFonts w:hint="eastAsia"/>
                <w:color w:val="auto"/>
                <w:lang w:eastAsia="zh-CN"/>
              </w:rPr>
              <w:t>，</w:t>
            </w:r>
            <w:r>
              <w:rPr>
                <w:rStyle w:val="67"/>
                <w:rFonts w:hint="eastAsia"/>
                <w:color w:val="auto"/>
                <w:lang w:val="en-US" w:eastAsia="zh-CN"/>
              </w:rPr>
              <w:t>挥发性有机物（以非甲烷总烃计）</w:t>
            </w:r>
            <w:r>
              <w:rPr>
                <w:rStyle w:val="67"/>
                <w:rFonts w:hint="eastAsia"/>
                <w:color w:val="auto"/>
              </w:rPr>
              <w:t>产生系数为</w:t>
            </w:r>
            <w:r>
              <w:rPr>
                <w:rStyle w:val="67"/>
                <w:rFonts w:hint="eastAsia"/>
                <w:color w:val="auto"/>
                <w:lang w:val="en-US" w:eastAsia="zh-CN"/>
              </w:rPr>
              <w:t>0.01</w:t>
            </w:r>
            <w:r>
              <w:rPr>
                <w:rStyle w:val="67"/>
                <w:rFonts w:hint="default"/>
                <w:color w:val="auto"/>
              </w:rPr>
              <w:t>kg/t-</w:t>
            </w:r>
            <w:r>
              <w:rPr>
                <w:rStyle w:val="67"/>
                <w:rFonts w:hint="eastAsia"/>
                <w:color w:val="auto"/>
              </w:rPr>
              <w:t>原料</w:t>
            </w:r>
            <w:r>
              <w:rPr>
                <w:rStyle w:val="67"/>
                <w:rFonts w:hint="eastAsia"/>
                <w:color w:val="auto"/>
                <w:lang w:eastAsia="zh-CN"/>
              </w:rPr>
              <w:t>。</w:t>
            </w:r>
            <w:r>
              <w:rPr>
                <w:rStyle w:val="67"/>
                <w:rFonts w:hint="eastAsia"/>
                <w:color w:val="auto"/>
              </w:rPr>
              <w:t>本项目</w:t>
            </w:r>
            <w:r>
              <w:rPr>
                <w:rStyle w:val="67"/>
                <w:rFonts w:hint="eastAsia"/>
                <w:color w:val="auto"/>
                <w:lang w:val="en-US" w:eastAsia="zh-CN"/>
              </w:rPr>
              <w:t>淬火油用量为12t/a，热处理产品共3500t/a（按最不利影响计，产品全经过渗碳工序），</w:t>
            </w:r>
            <w:r>
              <w:rPr>
                <w:rFonts w:hint="eastAsia"/>
                <w:color w:val="auto"/>
              </w:rPr>
              <w:t>则</w:t>
            </w:r>
            <w:r>
              <w:rPr>
                <w:rFonts w:hint="eastAsia"/>
                <w:color w:val="auto"/>
                <w:lang w:val="en-US" w:eastAsia="zh-CN"/>
              </w:rPr>
              <w:t>颗粒物</w:t>
            </w:r>
            <w:r>
              <w:rPr>
                <w:rFonts w:hint="eastAsia"/>
                <w:color w:val="auto"/>
              </w:rPr>
              <w:t>产生量为</w:t>
            </w:r>
            <w:r>
              <w:rPr>
                <w:rFonts w:hint="eastAsia"/>
                <w:color w:val="auto"/>
                <w:lang w:val="en-US" w:eastAsia="zh-CN"/>
              </w:rPr>
              <w:t>2.4</w:t>
            </w:r>
            <w:r>
              <w:rPr>
                <w:rFonts w:hint="default"/>
                <w:color w:val="auto"/>
              </w:rPr>
              <w:t>t/a</w:t>
            </w:r>
            <w:r>
              <w:rPr>
                <w:rFonts w:hint="eastAsia"/>
                <w:color w:val="auto"/>
                <w:lang w:eastAsia="zh-CN"/>
              </w:rPr>
              <w:t>，</w:t>
            </w:r>
            <w:r>
              <w:rPr>
                <w:rFonts w:hint="eastAsia"/>
                <w:color w:val="auto"/>
                <w:lang w:val="en-US" w:eastAsia="zh-CN"/>
              </w:rPr>
              <w:t>非甲烷总烃</w:t>
            </w:r>
            <w:r>
              <w:rPr>
                <w:rFonts w:hint="eastAsia"/>
                <w:color w:val="auto"/>
              </w:rPr>
              <w:t>产生量为</w:t>
            </w:r>
            <w:r>
              <w:rPr>
                <w:rFonts w:hint="eastAsia"/>
                <w:color w:val="auto"/>
                <w:lang w:val="en-US" w:eastAsia="zh-CN"/>
              </w:rPr>
              <w:t>0.035</w:t>
            </w:r>
            <w:r>
              <w:rPr>
                <w:rFonts w:hint="default"/>
                <w:color w:val="auto"/>
              </w:rPr>
              <w:t>t/a</w:t>
            </w:r>
            <w:r>
              <w:rPr>
                <w:rFonts w:hint="eastAsia"/>
                <w:color w:val="auto"/>
              </w:rPr>
              <w:t>。</w:t>
            </w:r>
          </w:p>
          <w:p w14:paraId="659C4864">
            <w:pPr>
              <w:pStyle w:val="62"/>
              <w:keepNext w:val="0"/>
              <w:keepLines w:val="0"/>
              <w:suppressLineNumbers w:val="0"/>
              <w:bidi w:val="0"/>
              <w:spacing w:before="0" w:beforeAutospacing="0" w:after="0" w:afterAutospacing="0"/>
              <w:ind w:left="0" w:right="0"/>
              <w:rPr>
                <w:rFonts w:hint="default"/>
                <w:b/>
                <w:bCs/>
                <w:color w:val="auto"/>
              </w:rPr>
            </w:pPr>
            <w:r>
              <w:rPr>
                <w:rFonts w:hint="eastAsia"/>
                <w:b/>
                <w:bCs/>
                <w:color w:val="auto"/>
              </w:rPr>
              <w:t>②</w:t>
            </w:r>
            <w:r>
              <w:rPr>
                <w:rFonts w:hint="default"/>
                <w:b/>
                <w:bCs/>
                <w:color w:val="auto"/>
                <w:lang w:val="en-US" w:eastAsia="zh-CN"/>
              </w:rPr>
              <w:t>废气收集及风量设置</w:t>
            </w:r>
          </w:p>
          <w:p w14:paraId="215D1D92">
            <w:pPr>
              <w:pStyle w:val="62"/>
              <w:keepNext w:val="0"/>
              <w:keepLines w:val="0"/>
              <w:suppressLineNumbers w:val="0"/>
              <w:bidi w:val="0"/>
              <w:spacing w:before="0" w:beforeAutospacing="0" w:after="0" w:afterAutospacing="0"/>
              <w:ind w:left="0" w:right="0"/>
              <w:rPr>
                <w:rFonts w:hint="default" w:ascii="Times New Roman" w:hAnsi="Times New Roman" w:eastAsia="Times New Roman" w:cs="Times New Roman"/>
                <w:color w:val="auto"/>
                <w:kern w:val="0"/>
                <w:sz w:val="24"/>
                <w:szCs w:val="24"/>
                <w:lang w:eastAsia="zh-CN"/>
              </w:rPr>
            </w:pPr>
            <w:r>
              <w:rPr>
                <w:rFonts w:hint="default"/>
                <w:color w:val="auto"/>
              </w:rPr>
              <w:t>根据建设单位提供资料，本项目在</w:t>
            </w:r>
            <w:r>
              <w:rPr>
                <w:rFonts w:hint="eastAsia"/>
                <w:color w:val="auto"/>
                <w:lang w:val="en-US" w:eastAsia="zh-CN"/>
              </w:rPr>
              <w:t>2个冷却油池上方、1台燃气淬火炉、1台电加热回火炉、1台燃气回火炉、1台密封箱式可控气氛多用炉排气口处</w:t>
            </w:r>
            <w:r>
              <w:rPr>
                <w:rFonts w:hint="default"/>
                <w:color w:val="auto"/>
              </w:rPr>
              <w:t>上方</w:t>
            </w:r>
            <w:r>
              <w:rPr>
                <w:rFonts w:hint="eastAsia"/>
                <w:color w:val="auto"/>
                <w:lang w:val="en-US" w:eastAsia="zh-CN"/>
              </w:rPr>
              <w:t>设置集气罩，</w:t>
            </w:r>
            <w:r>
              <w:rPr>
                <w:rFonts w:hint="default" w:ascii="Times New Roman" w:hAnsi="Times New Roman" w:eastAsia="Times New Roman" w:cs="Times New Roman"/>
                <w:color w:val="auto"/>
                <w:kern w:val="0"/>
                <w:sz w:val="24"/>
                <w:szCs w:val="24"/>
              </w:rPr>
              <w:t>做到点到点收集</w:t>
            </w:r>
            <w:r>
              <w:rPr>
                <w:rFonts w:hint="default" w:ascii="Times New Roman" w:hAnsi="Times New Roman" w:eastAsia="Times New Roman" w:cs="Times New Roman"/>
                <w:color w:val="auto"/>
                <w:kern w:val="0"/>
                <w:sz w:val="24"/>
                <w:szCs w:val="24"/>
                <w:lang w:eastAsia="zh-CN"/>
              </w:rPr>
              <w:t>。</w:t>
            </w:r>
          </w:p>
          <w:p w14:paraId="64A87D48">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480" w:firstLineChars="200"/>
              <w:textAlignment w:val="auto"/>
              <w:rPr>
                <w:rFonts w:hint="default" w:ascii="Times New Roman" w:hAnsi="Times New Roman" w:eastAsia="Times New Roman" w:cs="Times New Roman"/>
                <w:color w:val="auto"/>
                <w:sz w:val="24"/>
                <w:szCs w:val="24"/>
                <w:lang w:val="en-US" w:eastAsia="zh-CN"/>
              </w:rPr>
            </w:pPr>
            <w:r>
              <w:rPr>
                <w:rFonts w:hint="default" w:ascii="Times New Roman" w:hAnsi="Times New Roman" w:eastAsia="Times New Roman" w:cs="Times New Roman"/>
                <w:color w:val="auto"/>
                <w:sz w:val="24"/>
                <w:szCs w:val="24"/>
                <w:lang w:val="en-US" w:eastAsia="zh-CN"/>
              </w:rPr>
              <w:t>参照《环境工程设计手册》进行风量计算：</w:t>
            </w:r>
          </w:p>
          <w:p w14:paraId="4CF97CF6">
            <w:pPr>
              <w:pStyle w:val="452"/>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textAlignment w:val="auto"/>
              <w:rPr>
                <w:rFonts w:hint="default" w:ascii="Times New Roman" w:hAnsi="Times New Roman" w:eastAsia="Times New Roman" w:cs="Times New Roman"/>
                <w:color w:val="auto"/>
                <w:kern w:val="0"/>
                <w:sz w:val="24"/>
                <w:vertAlign w:val="subscript"/>
              </w:rPr>
            </w:pPr>
            <w:r>
              <w:rPr>
                <w:rFonts w:hint="default" w:ascii="Times New Roman" w:hAnsi="Times New Roman" w:eastAsia="Times New Roman" w:cs="Times New Roman"/>
                <w:color w:val="auto"/>
                <w:kern w:val="0"/>
                <w:sz w:val="24"/>
              </w:rPr>
              <w:t>Q=3600*KPHV</w:t>
            </w:r>
            <w:r>
              <w:rPr>
                <w:rFonts w:hint="default" w:ascii="Times New Roman" w:hAnsi="Times New Roman" w:eastAsia="Times New Roman" w:cs="Times New Roman"/>
                <w:color w:val="auto"/>
                <w:kern w:val="0"/>
                <w:sz w:val="24"/>
                <w:vertAlign w:val="subscript"/>
              </w:rPr>
              <w:t>X</w:t>
            </w:r>
          </w:p>
          <w:p w14:paraId="4CCAFC4F">
            <w:pPr>
              <w:pStyle w:val="452"/>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jc w:val="both"/>
              <w:textAlignment w:val="auto"/>
              <w:rPr>
                <w:rFonts w:hint="default" w:ascii="Times New Roman" w:hAnsi="Times New Roman" w:eastAsia="Times New Roman" w:cs="Times New Roman"/>
                <w:color w:val="0000FF"/>
                <w:sz w:val="24"/>
                <w:szCs w:val="24"/>
                <w:lang w:val="en-US" w:eastAsia="zh-CN"/>
              </w:rPr>
            </w:pPr>
            <w:r>
              <w:rPr>
                <w:rFonts w:hint="default" w:ascii="Times New Roman" w:hAnsi="Times New Roman" w:eastAsia="Times New Roman" w:cs="Times New Roman"/>
                <w:color w:val="auto"/>
                <w:sz w:val="24"/>
                <w:szCs w:val="24"/>
                <w:lang w:val="en-US" w:eastAsia="zh-CN"/>
              </w:rPr>
              <w:t>式中：Q——为设计风量，</w:t>
            </w:r>
            <w:r>
              <w:rPr>
                <w:rFonts w:hint="default" w:ascii="Times New Roman" w:hAnsi="Times New Roman" w:eastAsia="Times New Roman" w:cs="Times New Roman"/>
                <w:color w:val="auto"/>
                <w:kern w:val="0"/>
                <w:sz w:val="24"/>
              </w:rPr>
              <w:t>m³/h</w:t>
            </w:r>
            <w:r>
              <w:rPr>
                <w:rFonts w:hint="eastAsia" w:ascii="Times New Roman" w:hAnsi="Times New Roman" w:eastAsia="Times New Roman" w:cs="Times New Roman"/>
                <w:color w:val="auto"/>
                <w:kern w:val="0"/>
                <w:sz w:val="24"/>
                <w:lang w:eastAsia="zh-CN"/>
              </w:rPr>
              <w:t>；</w:t>
            </w:r>
            <w:r>
              <w:rPr>
                <w:rFonts w:hint="default" w:ascii="Times New Roman" w:hAnsi="Times New Roman" w:eastAsia="Times New Roman" w:cs="Times New Roman"/>
                <w:color w:val="auto"/>
                <w:sz w:val="24"/>
                <w:szCs w:val="24"/>
                <w:lang w:val="en-US" w:eastAsia="zh-CN"/>
              </w:rPr>
              <w:t>K——考虑沿高度速度分布不均的安全系数，通常取k=1.4</w:t>
            </w:r>
            <w:r>
              <w:rPr>
                <w:rFonts w:hint="eastAsia" w:ascii="Times New Roman" w:hAnsi="Times New Roman" w:eastAsia="Times New Roman" w:cs="Times New Roman"/>
                <w:color w:val="auto"/>
                <w:sz w:val="24"/>
                <w:szCs w:val="24"/>
                <w:lang w:val="en-US" w:eastAsia="zh-CN"/>
              </w:rPr>
              <w:t>；</w:t>
            </w:r>
            <w:r>
              <w:rPr>
                <w:rFonts w:hint="default" w:ascii="Times New Roman" w:hAnsi="Times New Roman" w:eastAsia="Times New Roman" w:cs="Times New Roman"/>
                <w:color w:val="auto"/>
                <w:sz w:val="24"/>
                <w:szCs w:val="24"/>
                <w:lang w:val="en-US" w:eastAsia="zh-CN"/>
              </w:rPr>
              <w:t>P——罩口敞开周长，m</w:t>
            </w:r>
            <w:r>
              <w:rPr>
                <w:rFonts w:hint="eastAsia" w:ascii="Times New Roman" w:hAnsi="Times New Roman" w:eastAsia="Times New Roman" w:cs="Times New Roman"/>
                <w:color w:val="auto"/>
                <w:sz w:val="24"/>
                <w:szCs w:val="24"/>
                <w:lang w:val="en-US" w:eastAsia="zh-CN"/>
              </w:rPr>
              <w:t>；</w:t>
            </w:r>
            <w:r>
              <w:rPr>
                <w:rFonts w:hint="default" w:ascii="Times New Roman" w:hAnsi="Times New Roman" w:eastAsia="Times New Roman" w:cs="Times New Roman"/>
                <w:color w:val="auto"/>
                <w:sz w:val="24"/>
                <w:szCs w:val="24"/>
                <w:lang w:val="en-US" w:eastAsia="zh-CN"/>
              </w:rPr>
              <w:t>H——罩口距污染源的距离，m</w:t>
            </w:r>
            <w:r>
              <w:rPr>
                <w:rFonts w:hint="eastAsia" w:ascii="Times New Roman" w:hAnsi="Times New Roman" w:eastAsia="Times New Roman" w:cs="Times New Roman"/>
                <w:color w:val="auto"/>
                <w:sz w:val="24"/>
                <w:szCs w:val="24"/>
                <w:lang w:val="en-US" w:eastAsia="zh-CN"/>
              </w:rPr>
              <w:t>；</w:t>
            </w:r>
            <w:r>
              <w:rPr>
                <w:rFonts w:hint="default" w:ascii="Times New Roman" w:hAnsi="Times New Roman" w:eastAsia="Times New Roman" w:cs="Times New Roman"/>
                <w:color w:val="auto"/>
                <w:sz w:val="24"/>
                <w:szCs w:val="24"/>
                <w:lang w:val="en-US" w:eastAsia="zh-CN"/>
              </w:rPr>
              <w:t>V</w:t>
            </w:r>
            <w:r>
              <w:rPr>
                <w:rFonts w:hint="default" w:ascii="Times New Roman" w:hAnsi="Times New Roman" w:eastAsia="Times New Roman" w:cs="Times New Roman"/>
                <w:color w:val="auto"/>
                <w:sz w:val="24"/>
                <w:szCs w:val="24"/>
                <w:vertAlign w:val="subscript"/>
                <w:lang w:val="en-US" w:eastAsia="zh-CN"/>
              </w:rPr>
              <w:t>X</w:t>
            </w:r>
            <w:r>
              <w:rPr>
                <w:rFonts w:hint="default" w:ascii="Times New Roman" w:hAnsi="Times New Roman" w:eastAsia="Times New Roman" w:cs="Times New Roman"/>
                <w:color w:val="auto"/>
                <w:sz w:val="24"/>
                <w:szCs w:val="24"/>
                <w:lang w:val="en-US" w:eastAsia="zh-CN"/>
              </w:rPr>
              <w:t>——控制速度m/s</w:t>
            </w:r>
            <w:r>
              <w:rPr>
                <w:rFonts w:hint="eastAsia" w:ascii="Times New Roman" w:hAnsi="Times New Roman" w:eastAsia="Times New Roman" w:cs="Times New Roman"/>
                <w:color w:val="auto"/>
                <w:sz w:val="24"/>
                <w:szCs w:val="24"/>
                <w:lang w:val="en-US" w:eastAsia="zh-CN"/>
              </w:rPr>
              <w:t>，</w:t>
            </w:r>
            <w:r>
              <w:rPr>
                <w:rFonts w:hint="default" w:ascii="Times New Roman" w:hAnsi="Times New Roman" w:cs="Times New Roman"/>
                <w:color w:val="auto"/>
                <w:sz w:val="24"/>
                <w:szCs w:val="24"/>
                <w:highlight w:val="none"/>
              </w:rPr>
              <w:t>一般在0.25m/s~1.0m/s。本项目取</w:t>
            </w:r>
            <w:r>
              <w:rPr>
                <w:rFonts w:hint="eastAsia" w:ascii="Times New Roman" w:hAnsi="Times New Roman" w:cs="Times New Roman"/>
                <w:color w:val="auto"/>
                <w:sz w:val="24"/>
                <w:szCs w:val="24"/>
                <w:highlight w:val="none"/>
                <w:lang w:val="en-US" w:eastAsia="zh-CN"/>
              </w:rPr>
              <w:t>0.5</w:t>
            </w:r>
            <w:r>
              <w:rPr>
                <w:rFonts w:hint="default" w:ascii="Times New Roman" w:hAnsi="Times New Roman" w:cs="Times New Roman"/>
                <w:color w:val="auto"/>
                <w:sz w:val="24"/>
                <w:szCs w:val="24"/>
                <w:highlight w:val="none"/>
              </w:rPr>
              <w:t>m/s。</w:t>
            </w:r>
          </w:p>
          <w:p w14:paraId="050071D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1"/>
                <w:szCs w:val="21"/>
              </w:rPr>
              <w:t>表4-</w:t>
            </w:r>
            <w:r>
              <w:rPr>
                <w:rFonts w:hint="eastAsia" w:ascii="Times New Roman" w:hAnsi="Times New Roman" w:cs="Times New Roman"/>
                <w:b/>
                <w:bCs/>
                <w:color w:val="auto"/>
                <w:sz w:val="21"/>
                <w:szCs w:val="21"/>
                <w:lang w:val="en-US" w:eastAsia="zh-CN"/>
              </w:rPr>
              <w:t>4</w:t>
            </w:r>
            <w:r>
              <w:rPr>
                <w:rFonts w:hint="default" w:ascii="Times New Roman" w:hAnsi="Times New Roman" w:eastAsia="宋体" w:cs="Times New Roman"/>
                <w:b/>
                <w:bCs/>
                <w:color w:val="auto"/>
                <w:sz w:val="21"/>
                <w:szCs w:val="21"/>
              </w:rPr>
              <w:t xml:space="preserve">   建设项目风量计算依据</w:t>
            </w:r>
          </w:p>
          <w:tbl>
            <w:tblPr>
              <w:tblStyle w:val="5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2152"/>
              <w:gridCol w:w="1618"/>
              <w:gridCol w:w="646"/>
              <w:gridCol w:w="582"/>
              <w:gridCol w:w="982"/>
              <w:gridCol w:w="809"/>
              <w:gridCol w:w="1129"/>
            </w:tblGrid>
            <w:tr w14:paraId="7F27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76" w:type="pct"/>
                  <w:vMerge w:val="restart"/>
                  <w:noWrap w:val="0"/>
                  <w:vAlign w:val="center"/>
                </w:tcPr>
                <w:p w14:paraId="094DCDF3">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序号</w:t>
                  </w:r>
                </w:p>
              </w:tc>
              <w:tc>
                <w:tcPr>
                  <w:tcW w:w="1256" w:type="pct"/>
                  <w:vMerge w:val="restart"/>
                  <w:noWrap w:val="0"/>
                  <w:vAlign w:val="center"/>
                </w:tcPr>
                <w:p w14:paraId="3DC867E6">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rPr>
                      <w:rFonts w:hint="default" w:ascii="Times New Roman" w:hAnsi="Times New Roman" w:eastAsia="宋体" w:cs="Times New Roman"/>
                      <w:b/>
                      <w:bCs/>
                      <w:color w:val="auto"/>
                      <w:szCs w:val="21"/>
                      <w:lang w:eastAsia="zh-CN"/>
                    </w:rPr>
                  </w:pPr>
                  <w:r>
                    <w:rPr>
                      <w:rFonts w:hint="default" w:ascii="Times New Roman" w:hAnsi="Times New Roman" w:eastAsia="宋体" w:cs="Times New Roman"/>
                      <w:b/>
                      <w:bCs/>
                      <w:color w:val="auto"/>
                      <w:szCs w:val="21"/>
                      <w:lang w:val="en-US" w:eastAsia="zh-CN"/>
                    </w:rPr>
                    <w:t>位置</w:t>
                  </w:r>
                </w:p>
              </w:tc>
              <w:tc>
                <w:tcPr>
                  <w:tcW w:w="944" w:type="pct"/>
                  <w:vMerge w:val="restart"/>
                  <w:noWrap w:val="0"/>
                  <w:vAlign w:val="center"/>
                </w:tcPr>
                <w:p w14:paraId="7DD70E72">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rPr>
                      <w:rFonts w:hint="default" w:ascii="Times New Roman" w:hAnsi="Times New Roman" w:eastAsia="宋体" w:cs="Times New Roman"/>
                      <w:b/>
                      <w:bCs/>
                      <w:color w:val="auto"/>
                      <w:szCs w:val="21"/>
                    </w:rPr>
                  </w:pPr>
                  <w:r>
                    <w:rPr>
                      <w:rFonts w:hint="default" w:ascii="Times New Roman" w:hAnsi="Times New Roman" w:eastAsia="Times New Roman" w:cs="Times New Roman"/>
                      <w:b/>
                      <w:bCs/>
                      <w:color w:val="auto"/>
                      <w:kern w:val="0"/>
                      <w:sz w:val="21"/>
                      <w:szCs w:val="21"/>
                      <w:lang w:bidi="ar"/>
                    </w:rPr>
                    <w:t>集气罩距污染源的距离</w:t>
                  </w:r>
                  <w:r>
                    <w:rPr>
                      <w:rFonts w:hint="eastAsia" w:ascii="Times New Roman" w:hAnsi="Times New Roman" w:eastAsia="Times New Roman" w:cs="Times New Roman"/>
                      <w:b/>
                      <w:bCs/>
                      <w:color w:val="auto"/>
                      <w:kern w:val="0"/>
                      <w:sz w:val="21"/>
                      <w:szCs w:val="21"/>
                      <w:lang w:eastAsia="zh-CN" w:bidi="ar"/>
                    </w:rPr>
                    <w:t>（</w:t>
                  </w:r>
                  <w:r>
                    <w:rPr>
                      <w:rFonts w:hint="default" w:ascii="Times New Roman" w:hAnsi="Times New Roman" w:eastAsia="Times New Roman" w:cs="Times New Roman"/>
                      <w:b/>
                      <w:bCs/>
                      <w:color w:val="auto"/>
                      <w:kern w:val="0"/>
                      <w:sz w:val="21"/>
                      <w:szCs w:val="21"/>
                      <w:lang w:bidi="ar"/>
                    </w:rPr>
                    <w:t>m</w:t>
                  </w:r>
                  <w:r>
                    <w:rPr>
                      <w:rFonts w:hint="eastAsia" w:ascii="Times New Roman" w:hAnsi="Times New Roman" w:eastAsia="Times New Roman" w:cs="Times New Roman"/>
                      <w:b/>
                      <w:bCs/>
                      <w:color w:val="auto"/>
                      <w:kern w:val="0"/>
                      <w:sz w:val="21"/>
                      <w:szCs w:val="21"/>
                      <w:lang w:eastAsia="zh-CN" w:bidi="ar"/>
                    </w:rPr>
                    <w:t>）</w:t>
                  </w:r>
                </w:p>
              </w:tc>
              <w:tc>
                <w:tcPr>
                  <w:tcW w:w="717" w:type="pct"/>
                  <w:gridSpan w:val="2"/>
                  <w:noWrap w:val="0"/>
                  <w:vAlign w:val="center"/>
                </w:tcPr>
                <w:p w14:paraId="2C5E9936">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集气罩尺寸</w:t>
                  </w:r>
                  <w:r>
                    <w:rPr>
                      <w:rFonts w:hint="default" w:ascii="Times New Roman" w:hAnsi="Times New Roman" w:eastAsia="宋体" w:cs="Times New Roman"/>
                      <w:b/>
                      <w:bCs/>
                      <w:color w:val="auto"/>
                      <w:szCs w:val="21"/>
                      <w:lang w:eastAsia="zh-CN"/>
                    </w:rPr>
                    <w:t>（</w:t>
                  </w:r>
                  <w:r>
                    <w:rPr>
                      <w:rFonts w:hint="default" w:ascii="Times New Roman" w:hAnsi="Times New Roman" w:eastAsia="宋体" w:cs="Times New Roman"/>
                      <w:b/>
                      <w:bCs/>
                      <w:color w:val="auto"/>
                      <w:szCs w:val="21"/>
                    </w:rPr>
                    <w:t>m</w:t>
                  </w:r>
                  <w:r>
                    <w:rPr>
                      <w:rFonts w:hint="default" w:ascii="Times New Roman" w:hAnsi="Times New Roman" w:eastAsia="宋体" w:cs="Times New Roman"/>
                      <w:b/>
                      <w:bCs/>
                      <w:color w:val="auto"/>
                      <w:szCs w:val="21"/>
                      <w:lang w:eastAsia="zh-CN"/>
                    </w:rPr>
                    <w:t>）</w:t>
                  </w:r>
                </w:p>
              </w:tc>
              <w:tc>
                <w:tcPr>
                  <w:tcW w:w="573" w:type="pct"/>
                  <w:vMerge w:val="restart"/>
                  <w:noWrap w:val="0"/>
                  <w:vAlign w:val="center"/>
                </w:tcPr>
                <w:p w14:paraId="2C4448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21" w:leftChars="-10" w:right="-21" w:rightChars="-10"/>
                    <w:jc w:val="center"/>
                    <w:textAlignment w:val="center"/>
                    <w:rPr>
                      <w:rFonts w:hint="default" w:ascii="Times New Roman" w:hAnsi="Times New Roman" w:eastAsia="Times New Roman" w:cs="Times New Roman"/>
                      <w:b/>
                      <w:bCs/>
                      <w:color w:val="auto"/>
                      <w:kern w:val="0"/>
                      <w:sz w:val="21"/>
                      <w:szCs w:val="21"/>
                      <w:lang w:bidi="ar"/>
                    </w:rPr>
                  </w:pPr>
                  <w:r>
                    <w:rPr>
                      <w:rFonts w:hint="default" w:ascii="Times New Roman" w:hAnsi="Times New Roman" w:eastAsia="Times New Roman" w:cs="Times New Roman"/>
                      <w:b/>
                      <w:bCs/>
                      <w:color w:val="auto"/>
                      <w:kern w:val="0"/>
                      <w:sz w:val="21"/>
                      <w:szCs w:val="21"/>
                      <w:lang w:bidi="ar"/>
                    </w:rPr>
                    <w:t>控制</w:t>
                  </w:r>
                </w:p>
                <w:p w14:paraId="35B12A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21" w:leftChars="-10" w:right="-21" w:rightChars="-10"/>
                    <w:jc w:val="center"/>
                    <w:textAlignment w:val="center"/>
                    <w:rPr>
                      <w:rFonts w:hint="default" w:ascii="Times New Roman" w:hAnsi="Times New Roman" w:eastAsia="宋体" w:cs="Times New Roman"/>
                      <w:b/>
                      <w:bCs/>
                      <w:color w:val="auto"/>
                      <w:szCs w:val="21"/>
                    </w:rPr>
                  </w:pPr>
                  <w:r>
                    <w:rPr>
                      <w:rFonts w:hint="default" w:ascii="Times New Roman" w:hAnsi="Times New Roman" w:eastAsia="Times New Roman" w:cs="Times New Roman"/>
                      <w:b/>
                      <w:bCs/>
                      <w:color w:val="auto"/>
                      <w:kern w:val="0"/>
                      <w:sz w:val="21"/>
                      <w:szCs w:val="21"/>
                      <w:lang w:bidi="ar"/>
                    </w:rPr>
                    <w:t>风速</w:t>
                  </w:r>
                  <w:r>
                    <w:rPr>
                      <w:rFonts w:hint="eastAsia" w:ascii="Times New Roman" w:hAnsi="Times New Roman" w:eastAsia="Times New Roman" w:cs="Times New Roman"/>
                      <w:b/>
                      <w:bCs/>
                      <w:color w:val="auto"/>
                      <w:kern w:val="0"/>
                      <w:sz w:val="21"/>
                      <w:szCs w:val="21"/>
                      <w:lang w:eastAsia="zh-CN" w:bidi="ar"/>
                    </w:rPr>
                    <w:t>（</w:t>
                  </w:r>
                  <w:r>
                    <w:rPr>
                      <w:rFonts w:hint="default" w:ascii="Times New Roman" w:hAnsi="Times New Roman" w:eastAsia="Times New Roman" w:cs="Times New Roman"/>
                      <w:b/>
                      <w:bCs/>
                      <w:color w:val="auto"/>
                      <w:kern w:val="0"/>
                      <w:sz w:val="21"/>
                      <w:szCs w:val="21"/>
                      <w:lang w:bidi="ar"/>
                    </w:rPr>
                    <w:t>m/s</w:t>
                  </w:r>
                  <w:r>
                    <w:rPr>
                      <w:rFonts w:hint="eastAsia" w:ascii="Times New Roman" w:hAnsi="Times New Roman" w:eastAsia="Times New Roman" w:cs="Times New Roman"/>
                      <w:b/>
                      <w:bCs/>
                      <w:color w:val="auto"/>
                      <w:kern w:val="0"/>
                      <w:sz w:val="21"/>
                      <w:szCs w:val="21"/>
                      <w:lang w:eastAsia="zh-CN" w:bidi="ar"/>
                    </w:rPr>
                    <w:t>）</w:t>
                  </w:r>
                </w:p>
              </w:tc>
              <w:tc>
                <w:tcPr>
                  <w:tcW w:w="472" w:type="pct"/>
                  <w:vMerge w:val="restart"/>
                  <w:noWrap w:val="0"/>
                  <w:vAlign w:val="center"/>
                </w:tcPr>
                <w:p w14:paraId="23156884">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rPr>
                      <w:rFonts w:hint="default" w:ascii="Times New Roman" w:hAnsi="Times New Roman" w:eastAsia="宋体" w:cs="Times New Roman"/>
                      <w:b/>
                      <w:bCs/>
                      <w:color w:val="auto"/>
                      <w:szCs w:val="21"/>
                      <w:lang w:val="en-US" w:eastAsia="zh-CN"/>
                    </w:rPr>
                  </w:pPr>
                  <w:r>
                    <w:rPr>
                      <w:rFonts w:hint="default" w:ascii="Times New Roman" w:hAnsi="Times New Roman" w:eastAsia="宋体" w:cs="Times New Roman"/>
                      <w:b/>
                      <w:bCs/>
                      <w:color w:val="auto"/>
                      <w:szCs w:val="21"/>
                      <w:lang w:val="en-US" w:eastAsia="zh-CN"/>
                    </w:rPr>
                    <w:t>集气罩数量（个）</w:t>
                  </w:r>
                </w:p>
              </w:tc>
              <w:tc>
                <w:tcPr>
                  <w:tcW w:w="659" w:type="pct"/>
                  <w:vMerge w:val="restart"/>
                  <w:noWrap w:val="0"/>
                  <w:vAlign w:val="center"/>
                </w:tcPr>
                <w:p w14:paraId="7AA4C32A">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风量（m</w:t>
                  </w:r>
                  <w:r>
                    <w:rPr>
                      <w:rFonts w:hint="default" w:ascii="Times New Roman" w:hAnsi="Times New Roman" w:eastAsia="宋体" w:cs="Times New Roman"/>
                      <w:b/>
                      <w:bCs/>
                      <w:color w:val="auto"/>
                      <w:szCs w:val="21"/>
                      <w:vertAlign w:val="superscript"/>
                    </w:rPr>
                    <w:t>3</w:t>
                  </w:r>
                  <w:r>
                    <w:rPr>
                      <w:rFonts w:hint="default" w:ascii="Times New Roman" w:hAnsi="Times New Roman" w:eastAsia="宋体" w:cs="Times New Roman"/>
                      <w:b/>
                      <w:bCs/>
                      <w:color w:val="auto"/>
                      <w:szCs w:val="21"/>
                    </w:rPr>
                    <w:t>/h）</w:t>
                  </w:r>
                </w:p>
              </w:tc>
            </w:tr>
            <w:tr w14:paraId="54D97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376" w:type="pct"/>
                  <w:vMerge w:val="continue"/>
                  <w:noWrap w:val="0"/>
                  <w:vAlign w:val="center"/>
                </w:tcPr>
                <w:p w14:paraId="7A407885">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rPr>
                      <w:rFonts w:hint="default" w:ascii="Times New Roman" w:hAnsi="Times New Roman" w:eastAsia="宋体" w:cs="Times New Roman"/>
                      <w:b/>
                      <w:bCs/>
                      <w:color w:val="auto"/>
                      <w:szCs w:val="21"/>
                    </w:rPr>
                  </w:pPr>
                </w:p>
              </w:tc>
              <w:tc>
                <w:tcPr>
                  <w:tcW w:w="1256" w:type="pct"/>
                  <w:vMerge w:val="continue"/>
                  <w:noWrap w:val="0"/>
                  <w:vAlign w:val="center"/>
                </w:tcPr>
                <w:p w14:paraId="39CDE9A8">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rPr>
                      <w:rFonts w:hint="default" w:ascii="Times New Roman" w:hAnsi="Times New Roman" w:eastAsia="宋体" w:cs="Times New Roman"/>
                      <w:b/>
                      <w:bCs/>
                      <w:color w:val="auto"/>
                      <w:szCs w:val="21"/>
                      <w:lang w:val="en-US" w:eastAsia="zh-CN"/>
                    </w:rPr>
                  </w:pPr>
                </w:p>
              </w:tc>
              <w:tc>
                <w:tcPr>
                  <w:tcW w:w="944" w:type="pct"/>
                  <w:vMerge w:val="continue"/>
                  <w:noWrap w:val="0"/>
                  <w:vAlign w:val="center"/>
                </w:tcPr>
                <w:p w14:paraId="77CAE016">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rPr>
                      <w:rFonts w:hint="default" w:ascii="Times New Roman" w:hAnsi="Times New Roman" w:eastAsia="Times New Roman" w:cs="Times New Roman"/>
                      <w:b/>
                      <w:bCs/>
                      <w:color w:val="auto"/>
                      <w:kern w:val="0"/>
                      <w:sz w:val="21"/>
                      <w:szCs w:val="21"/>
                      <w:lang w:bidi="ar"/>
                    </w:rPr>
                  </w:pPr>
                </w:p>
              </w:tc>
              <w:tc>
                <w:tcPr>
                  <w:tcW w:w="377" w:type="pct"/>
                  <w:noWrap w:val="0"/>
                  <w:vAlign w:val="center"/>
                </w:tcPr>
                <w:p w14:paraId="2495DC15">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rPr>
                      <w:rFonts w:hint="eastAsia" w:ascii="Times New Roman" w:hAnsi="Times New Roman" w:eastAsia="宋体" w:cs="Times New Roman"/>
                      <w:b/>
                      <w:bCs/>
                      <w:color w:val="auto"/>
                      <w:szCs w:val="21"/>
                      <w:lang w:val="en-US" w:eastAsia="zh-CN"/>
                    </w:rPr>
                  </w:pPr>
                  <w:r>
                    <w:rPr>
                      <w:rFonts w:hint="eastAsia" w:ascii="Times New Roman" w:hAnsi="Times New Roman" w:cs="Times New Roman"/>
                      <w:b/>
                      <w:bCs/>
                      <w:color w:val="auto"/>
                      <w:szCs w:val="21"/>
                      <w:lang w:val="en-US" w:eastAsia="zh-CN"/>
                    </w:rPr>
                    <w:t>长</w:t>
                  </w:r>
                </w:p>
              </w:tc>
              <w:tc>
                <w:tcPr>
                  <w:tcW w:w="339" w:type="pct"/>
                  <w:noWrap w:val="0"/>
                  <w:vAlign w:val="center"/>
                </w:tcPr>
                <w:p w14:paraId="76312338">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rPr>
                      <w:rFonts w:hint="eastAsia" w:ascii="Times New Roman" w:hAnsi="Times New Roman" w:eastAsia="宋体" w:cs="Times New Roman"/>
                      <w:b/>
                      <w:bCs/>
                      <w:color w:val="auto"/>
                      <w:szCs w:val="21"/>
                      <w:lang w:val="en-US" w:eastAsia="zh-CN"/>
                    </w:rPr>
                  </w:pPr>
                  <w:r>
                    <w:rPr>
                      <w:rFonts w:hint="eastAsia" w:ascii="Times New Roman" w:hAnsi="Times New Roman" w:cs="Times New Roman"/>
                      <w:b/>
                      <w:bCs/>
                      <w:color w:val="auto"/>
                      <w:szCs w:val="21"/>
                      <w:lang w:val="en-US" w:eastAsia="zh-CN"/>
                    </w:rPr>
                    <w:t>宽</w:t>
                  </w:r>
                </w:p>
              </w:tc>
              <w:tc>
                <w:tcPr>
                  <w:tcW w:w="573" w:type="pct"/>
                  <w:vMerge w:val="continue"/>
                  <w:noWrap w:val="0"/>
                  <w:vAlign w:val="center"/>
                </w:tcPr>
                <w:p w14:paraId="7F1B5C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21" w:leftChars="-10" w:right="-21" w:rightChars="-10"/>
                    <w:jc w:val="center"/>
                    <w:textAlignment w:val="center"/>
                    <w:rPr>
                      <w:rFonts w:hint="default" w:ascii="Times New Roman" w:hAnsi="Times New Roman" w:eastAsia="Times New Roman" w:cs="Times New Roman"/>
                      <w:b/>
                      <w:bCs/>
                      <w:color w:val="auto"/>
                      <w:kern w:val="0"/>
                      <w:sz w:val="21"/>
                      <w:szCs w:val="21"/>
                      <w:lang w:bidi="ar"/>
                    </w:rPr>
                  </w:pPr>
                </w:p>
              </w:tc>
              <w:tc>
                <w:tcPr>
                  <w:tcW w:w="472" w:type="pct"/>
                  <w:vMerge w:val="continue"/>
                  <w:noWrap w:val="0"/>
                  <w:vAlign w:val="center"/>
                </w:tcPr>
                <w:p w14:paraId="7208180B">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rPr>
                      <w:rFonts w:hint="default" w:ascii="Times New Roman" w:hAnsi="Times New Roman" w:eastAsia="宋体" w:cs="Times New Roman"/>
                      <w:b/>
                      <w:bCs/>
                      <w:color w:val="auto"/>
                      <w:szCs w:val="21"/>
                      <w:lang w:val="en-US" w:eastAsia="zh-CN"/>
                    </w:rPr>
                  </w:pPr>
                </w:p>
              </w:tc>
              <w:tc>
                <w:tcPr>
                  <w:tcW w:w="659" w:type="pct"/>
                  <w:vMerge w:val="continue"/>
                  <w:noWrap w:val="0"/>
                  <w:vAlign w:val="center"/>
                </w:tcPr>
                <w:p w14:paraId="118B0FAA">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rPr>
                      <w:rFonts w:hint="default" w:ascii="Times New Roman" w:hAnsi="Times New Roman" w:eastAsia="宋体" w:cs="Times New Roman"/>
                      <w:b/>
                      <w:bCs/>
                      <w:color w:val="auto"/>
                      <w:szCs w:val="21"/>
                    </w:rPr>
                  </w:pPr>
                </w:p>
              </w:tc>
            </w:tr>
            <w:tr w14:paraId="0006A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76" w:type="pct"/>
                  <w:noWrap w:val="0"/>
                  <w:vAlign w:val="center"/>
                </w:tcPr>
                <w:p w14:paraId="713DBCA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1256" w:type="pct"/>
                  <w:noWrap w:val="0"/>
                  <w:vAlign w:val="center"/>
                </w:tcPr>
                <w:p w14:paraId="7B9342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42" w:leftChars="-20" w:right="-42" w:rightChars="-20"/>
                    <w:jc w:val="center"/>
                    <w:textAlignment w:val="auto"/>
                    <w:rPr>
                      <w:rFonts w:hint="default" w:ascii="Times New Roman" w:hAnsi="Times New Roman" w:eastAsia="宋体" w:cs="Times New Roman"/>
                      <w:color w:val="auto"/>
                      <w:szCs w:val="21"/>
                      <w:lang w:val="en-US"/>
                    </w:rPr>
                  </w:pPr>
                  <w:r>
                    <w:rPr>
                      <w:rFonts w:hint="eastAsia"/>
                      <w:color w:val="auto"/>
                      <w:lang w:val="en-US" w:eastAsia="zh-CN"/>
                    </w:rPr>
                    <w:t>冷却油池上方</w:t>
                  </w:r>
                </w:p>
              </w:tc>
              <w:tc>
                <w:tcPr>
                  <w:tcW w:w="944" w:type="pct"/>
                  <w:noWrap w:val="0"/>
                  <w:vAlign w:val="center"/>
                </w:tcPr>
                <w:p w14:paraId="5B9A017C">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0.</w:t>
                  </w:r>
                  <w:r>
                    <w:rPr>
                      <w:rFonts w:hint="eastAsia" w:ascii="Times New Roman" w:hAnsi="Times New Roman" w:eastAsia="宋体" w:cs="Times New Roman"/>
                      <w:color w:val="auto"/>
                      <w:szCs w:val="21"/>
                      <w:lang w:val="en-US" w:eastAsia="zh-CN"/>
                    </w:rPr>
                    <w:t>3</w:t>
                  </w:r>
                </w:p>
              </w:tc>
              <w:tc>
                <w:tcPr>
                  <w:tcW w:w="377" w:type="pct"/>
                  <w:noWrap w:val="0"/>
                  <w:vAlign w:val="center"/>
                </w:tcPr>
                <w:p w14:paraId="52AAF1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Cs w:val="21"/>
                      <w:lang w:val="en-US" w:eastAsia="zh-CN"/>
                    </w:rPr>
                  </w:pPr>
                  <w:r>
                    <w:rPr>
                      <w:rFonts w:hint="eastAsia" w:ascii="Times New Roman" w:hAnsi="Times New Roman" w:cs="Times New Roman"/>
                      <w:i w:val="0"/>
                      <w:iCs w:val="0"/>
                      <w:color w:val="auto"/>
                      <w:kern w:val="0"/>
                      <w:sz w:val="21"/>
                      <w:szCs w:val="21"/>
                      <w:u w:val="none"/>
                      <w:lang w:val="en-US" w:eastAsia="zh-CN" w:bidi="ar"/>
                    </w:rPr>
                    <w:t>1.5</w:t>
                  </w:r>
                </w:p>
              </w:tc>
              <w:tc>
                <w:tcPr>
                  <w:tcW w:w="339" w:type="pct"/>
                  <w:noWrap w:val="0"/>
                  <w:vAlign w:val="center"/>
                </w:tcPr>
                <w:p w14:paraId="3BECFCDF">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1.2</w:t>
                  </w:r>
                </w:p>
              </w:tc>
              <w:tc>
                <w:tcPr>
                  <w:tcW w:w="573" w:type="pct"/>
                  <w:noWrap w:val="0"/>
                  <w:vAlign w:val="center"/>
                </w:tcPr>
                <w:p w14:paraId="7D15E9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0.5</w:t>
                  </w:r>
                </w:p>
              </w:tc>
              <w:tc>
                <w:tcPr>
                  <w:tcW w:w="472" w:type="pct"/>
                  <w:noWrap w:val="0"/>
                  <w:vAlign w:val="center"/>
                </w:tcPr>
                <w:p w14:paraId="5BFDA2A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w:t>
                  </w:r>
                </w:p>
              </w:tc>
              <w:tc>
                <w:tcPr>
                  <w:tcW w:w="659" w:type="pct"/>
                  <w:noWrap w:val="0"/>
                  <w:vAlign w:val="center"/>
                </w:tcPr>
                <w:p w14:paraId="5B0913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8164.8</w:t>
                  </w:r>
                </w:p>
              </w:tc>
            </w:tr>
            <w:tr w14:paraId="133C1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76" w:type="pct"/>
                  <w:noWrap w:val="0"/>
                  <w:vAlign w:val="center"/>
                </w:tcPr>
                <w:p w14:paraId="089909C4">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w:t>
                  </w:r>
                </w:p>
              </w:tc>
              <w:tc>
                <w:tcPr>
                  <w:tcW w:w="1256" w:type="pct"/>
                  <w:noWrap w:val="0"/>
                  <w:vAlign w:val="center"/>
                </w:tcPr>
                <w:p w14:paraId="771FD2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42" w:leftChars="-20" w:right="-42" w:rightChars="-20"/>
                    <w:jc w:val="center"/>
                    <w:textAlignment w:val="auto"/>
                    <w:rPr>
                      <w:rFonts w:hint="default" w:ascii="Times New Roman" w:hAnsi="Times New Roman" w:eastAsia="宋体" w:cs="Times New Roman"/>
                      <w:color w:val="auto"/>
                      <w:sz w:val="21"/>
                      <w:szCs w:val="21"/>
                      <w:lang w:val="en-US" w:eastAsia="zh-CN"/>
                    </w:rPr>
                  </w:pPr>
                  <w:r>
                    <w:rPr>
                      <w:rFonts w:hint="eastAsia"/>
                      <w:color w:val="auto"/>
                      <w:lang w:val="en-US" w:eastAsia="zh-CN"/>
                    </w:rPr>
                    <w:t>燃气淬火炉排气口</w:t>
                  </w:r>
                </w:p>
              </w:tc>
              <w:tc>
                <w:tcPr>
                  <w:tcW w:w="944" w:type="pct"/>
                  <w:noWrap w:val="0"/>
                  <w:vAlign w:val="center"/>
                </w:tcPr>
                <w:p w14:paraId="5A56C1B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w:t>
                  </w:r>
                  <w:r>
                    <w:rPr>
                      <w:rFonts w:hint="eastAsia" w:ascii="Times New Roman" w:hAnsi="Times New Roman" w:eastAsia="宋体" w:cs="Times New Roman"/>
                      <w:color w:val="auto"/>
                      <w:szCs w:val="21"/>
                      <w:lang w:val="en-US" w:eastAsia="zh-CN"/>
                    </w:rPr>
                    <w:t>3</w:t>
                  </w:r>
                </w:p>
              </w:tc>
              <w:tc>
                <w:tcPr>
                  <w:tcW w:w="377" w:type="pct"/>
                  <w:noWrap w:val="0"/>
                  <w:vAlign w:val="center"/>
                </w:tcPr>
                <w:p w14:paraId="46E488A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kern w:val="0"/>
                      <w:sz w:val="21"/>
                      <w:szCs w:val="21"/>
                      <w:lang w:val="en-US" w:bidi="ar"/>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ascii="Times New Roman" w:hAnsi="Times New Roman" w:cs="Times New Roman"/>
                      <w:i w:val="0"/>
                      <w:iCs w:val="0"/>
                      <w:color w:val="auto"/>
                      <w:kern w:val="0"/>
                      <w:sz w:val="21"/>
                      <w:szCs w:val="21"/>
                      <w:u w:val="none"/>
                      <w:lang w:val="en-US" w:eastAsia="zh-CN" w:bidi="ar"/>
                    </w:rPr>
                    <w:t>6</w:t>
                  </w:r>
                </w:p>
              </w:tc>
              <w:tc>
                <w:tcPr>
                  <w:tcW w:w="339" w:type="pct"/>
                  <w:noWrap w:val="0"/>
                  <w:vAlign w:val="center"/>
                </w:tcPr>
                <w:p w14:paraId="15635E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0.5</w:t>
                  </w:r>
                </w:p>
              </w:tc>
              <w:tc>
                <w:tcPr>
                  <w:tcW w:w="573" w:type="pct"/>
                  <w:noWrap w:val="0"/>
                  <w:vAlign w:val="center"/>
                </w:tcPr>
                <w:p w14:paraId="14D64B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0.5</w:t>
                  </w:r>
                </w:p>
              </w:tc>
              <w:tc>
                <w:tcPr>
                  <w:tcW w:w="472" w:type="pct"/>
                  <w:noWrap w:val="0"/>
                  <w:vAlign w:val="center"/>
                </w:tcPr>
                <w:p w14:paraId="2B35711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659" w:type="pct"/>
                  <w:noWrap w:val="0"/>
                  <w:vAlign w:val="center"/>
                </w:tcPr>
                <w:p w14:paraId="3E4E8C3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1663.2</w:t>
                  </w:r>
                </w:p>
              </w:tc>
            </w:tr>
            <w:tr w14:paraId="6B1F9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76" w:type="pct"/>
                  <w:noWrap w:val="0"/>
                  <w:vAlign w:val="center"/>
                </w:tcPr>
                <w:p w14:paraId="706B0C5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3</w:t>
                  </w:r>
                </w:p>
              </w:tc>
              <w:tc>
                <w:tcPr>
                  <w:tcW w:w="1256" w:type="pct"/>
                  <w:noWrap w:val="0"/>
                  <w:vAlign w:val="center"/>
                </w:tcPr>
                <w:p w14:paraId="7D4D9C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42" w:leftChars="-20" w:right="-42" w:rightChars="-2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color w:val="auto"/>
                      <w:lang w:val="en-US" w:eastAsia="zh-CN"/>
                    </w:rPr>
                    <w:t>电加热回火炉排气口</w:t>
                  </w:r>
                </w:p>
              </w:tc>
              <w:tc>
                <w:tcPr>
                  <w:tcW w:w="944" w:type="pct"/>
                  <w:noWrap w:val="0"/>
                  <w:vAlign w:val="center"/>
                </w:tcPr>
                <w:p w14:paraId="1A7B5D7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w:t>
                  </w:r>
                  <w:r>
                    <w:rPr>
                      <w:rFonts w:hint="eastAsia" w:ascii="Times New Roman" w:hAnsi="Times New Roman" w:eastAsia="宋体" w:cs="Times New Roman"/>
                      <w:color w:val="auto"/>
                      <w:szCs w:val="21"/>
                      <w:lang w:val="en-US" w:eastAsia="zh-CN"/>
                    </w:rPr>
                    <w:t>3</w:t>
                  </w:r>
                </w:p>
              </w:tc>
              <w:tc>
                <w:tcPr>
                  <w:tcW w:w="377" w:type="pct"/>
                  <w:noWrap w:val="0"/>
                  <w:vAlign w:val="center"/>
                </w:tcPr>
                <w:p w14:paraId="7D76BA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ascii="Times New Roman" w:hAnsi="Times New Roman" w:cs="Times New Roman"/>
                      <w:i w:val="0"/>
                      <w:iCs w:val="0"/>
                      <w:color w:val="auto"/>
                      <w:kern w:val="0"/>
                      <w:sz w:val="21"/>
                      <w:szCs w:val="21"/>
                      <w:u w:val="none"/>
                      <w:lang w:val="en-US" w:eastAsia="zh-CN" w:bidi="ar"/>
                    </w:rPr>
                    <w:t>6</w:t>
                  </w:r>
                </w:p>
              </w:tc>
              <w:tc>
                <w:tcPr>
                  <w:tcW w:w="339" w:type="pct"/>
                  <w:noWrap w:val="0"/>
                  <w:vAlign w:val="center"/>
                </w:tcPr>
                <w:p w14:paraId="572718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0.5</w:t>
                  </w:r>
                </w:p>
              </w:tc>
              <w:tc>
                <w:tcPr>
                  <w:tcW w:w="573" w:type="pct"/>
                  <w:noWrap w:val="0"/>
                  <w:vAlign w:val="center"/>
                </w:tcPr>
                <w:p w14:paraId="434BE0B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w:t>
                  </w:r>
                </w:p>
              </w:tc>
              <w:tc>
                <w:tcPr>
                  <w:tcW w:w="472" w:type="pct"/>
                  <w:noWrap w:val="0"/>
                  <w:vAlign w:val="center"/>
                </w:tcPr>
                <w:p w14:paraId="580F60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659" w:type="pct"/>
                  <w:noWrap w:val="0"/>
                  <w:vAlign w:val="center"/>
                </w:tcPr>
                <w:p w14:paraId="37604A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1663.2</w:t>
                  </w:r>
                </w:p>
              </w:tc>
            </w:tr>
            <w:tr w14:paraId="1F2D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76" w:type="pct"/>
                  <w:noWrap w:val="0"/>
                  <w:vAlign w:val="center"/>
                </w:tcPr>
                <w:p w14:paraId="50D9BAD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4</w:t>
                  </w:r>
                </w:p>
              </w:tc>
              <w:tc>
                <w:tcPr>
                  <w:tcW w:w="1256" w:type="pct"/>
                  <w:noWrap w:val="0"/>
                  <w:vAlign w:val="center"/>
                </w:tcPr>
                <w:p w14:paraId="5B2222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42" w:leftChars="-20" w:right="-42" w:rightChars="-2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color w:val="auto"/>
                      <w:lang w:val="en-US" w:eastAsia="zh-CN"/>
                    </w:rPr>
                    <w:t>燃气回火炉排气口</w:t>
                  </w:r>
                </w:p>
              </w:tc>
              <w:tc>
                <w:tcPr>
                  <w:tcW w:w="944" w:type="pct"/>
                  <w:noWrap w:val="0"/>
                  <w:vAlign w:val="center"/>
                </w:tcPr>
                <w:p w14:paraId="5DD412A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w:t>
                  </w:r>
                  <w:r>
                    <w:rPr>
                      <w:rFonts w:hint="eastAsia" w:ascii="Times New Roman" w:hAnsi="Times New Roman" w:eastAsia="宋体" w:cs="Times New Roman"/>
                      <w:color w:val="auto"/>
                      <w:szCs w:val="21"/>
                      <w:lang w:val="en-US" w:eastAsia="zh-CN"/>
                    </w:rPr>
                    <w:t>3</w:t>
                  </w:r>
                </w:p>
              </w:tc>
              <w:tc>
                <w:tcPr>
                  <w:tcW w:w="377" w:type="pct"/>
                  <w:noWrap w:val="0"/>
                  <w:vAlign w:val="center"/>
                </w:tcPr>
                <w:p w14:paraId="647BDBD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ascii="Times New Roman" w:hAnsi="Times New Roman" w:cs="Times New Roman"/>
                      <w:i w:val="0"/>
                      <w:iCs w:val="0"/>
                      <w:color w:val="auto"/>
                      <w:kern w:val="0"/>
                      <w:sz w:val="21"/>
                      <w:szCs w:val="21"/>
                      <w:u w:val="none"/>
                      <w:lang w:val="en-US" w:eastAsia="zh-CN" w:bidi="ar"/>
                    </w:rPr>
                    <w:t>6</w:t>
                  </w:r>
                </w:p>
              </w:tc>
              <w:tc>
                <w:tcPr>
                  <w:tcW w:w="339" w:type="pct"/>
                  <w:noWrap w:val="0"/>
                  <w:vAlign w:val="center"/>
                </w:tcPr>
                <w:p w14:paraId="7E855B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0.5</w:t>
                  </w:r>
                </w:p>
              </w:tc>
              <w:tc>
                <w:tcPr>
                  <w:tcW w:w="573" w:type="pct"/>
                  <w:noWrap w:val="0"/>
                  <w:vAlign w:val="center"/>
                </w:tcPr>
                <w:p w14:paraId="70D3E2D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w:t>
                  </w:r>
                </w:p>
              </w:tc>
              <w:tc>
                <w:tcPr>
                  <w:tcW w:w="472" w:type="pct"/>
                  <w:noWrap w:val="0"/>
                  <w:vAlign w:val="center"/>
                </w:tcPr>
                <w:p w14:paraId="766786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659" w:type="pct"/>
                  <w:noWrap w:val="0"/>
                  <w:vAlign w:val="center"/>
                </w:tcPr>
                <w:p w14:paraId="5A09D2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1663.2</w:t>
                  </w:r>
                </w:p>
              </w:tc>
            </w:tr>
            <w:tr w14:paraId="3AEF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76" w:type="pct"/>
                  <w:noWrap w:val="0"/>
                  <w:vAlign w:val="center"/>
                </w:tcPr>
                <w:p w14:paraId="37548A9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5</w:t>
                  </w:r>
                </w:p>
              </w:tc>
              <w:tc>
                <w:tcPr>
                  <w:tcW w:w="1256" w:type="pct"/>
                  <w:noWrap w:val="0"/>
                  <w:vAlign w:val="center"/>
                </w:tcPr>
                <w:p w14:paraId="05EAC8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42" w:leftChars="-20" w:right="-42" w:rightChars="-2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color w:val="auto"/>
                      <w:lang w:val="en-US" w:eastAsia="zh-CN"/>
                    </w:rPr>
                    <w:t>密封箱式可控气氛多用炉排气口</w:t>
                  </w:r>
                </w:p>
              </w:tc>
              <w:tc>
                <w:tcPr>
                  <w:tcW w:w="944" w:type="pct"/>
                  <w:noWrap w:val="0"/>
                  <w:vAlign w:val="center"/>
                </w:tcPr>
                <w:p w14:paraId="1FE63C3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w:t>
                  </w:r>
                  <w:r>
                    <w:rPr>
                      <w:rFonts w:hint="eastAsia" w:ascii="Times New Roman" w:hAnsi="Times New Roman" w:eastAsia="宋体" w:cs="Times New Roman"/>
                      <w:color w:val="auto"/>
                      <w:szCs w:val="21"/>
                      <w:lang w:val="en-US" w:eastAsia="zh-CN"/>
                    </w:rPr>
                    <w:t>3</w:t>
                  </w:r>
                </w:p>
              </w:tc>
              <w:tc>
                <w:tcPr>
                  <w:tcW w:w="377" w:type="pct"/>
                  <w:noWrap w:val="0"/>
                  <w:vAlign w:val="center"/>
                </w:tcPr>
                <w:p w14:paraId="770C9C4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0.4</w:t>
                  </w:r>
                </w:p>
              </w:tc>
              <w:tc>
                <w:tcPr>
                  <w:tcW w:w="339" w:type="pct"/>
                  <w:noWrap w:val="0"/>
                  <w:vAlign w:val="center"/>
                </w:tcPr>
                <w:p w14:paraId="443E4EF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0.4</w:t>
                  </w:r>
                </w:p>
              </w:tc>
              <w:tc>
                <w:tcPr>
                  <w:tcW w:w="573" w:type="pct"/>
                  <w:noWrap w:val="0"/>
                  <w:vAlign w:val="center"/>
                </w:tcPr>
                <w:p w14:paraId="26A8907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w:t>
                  </w:r>
                </w:p>
              </w:tc>
              <w:tc>
                <w:tcPr>
                  <w:tcW w:w="472" w:type="pct"/>
                  <w:noWrap w:val="0"/>
                  <w:vAlign w:val="center"/>
                </w:tcPr>
                <w:p w14:paraId="02C9B08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659" w:type="pct"/>
                  <w:noWrap w:val="0"/>
                  <w:vAlign w:val="center"/>
                </w:tcPr>
                <w:p w14:paraId="6C6748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1209.6</w:t>
                  </w:r>
                </w:p>
              </w:tc>
            </w:tr>
            <w:tr w14:paraId="094B5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340" w:type="pct"/>
                  <w:gridSpan w:val="7"/>
                  <w:noWrap w:val="0"/>
                  <w:vAlign w:val="center"/>
                </w:tcPr>
                <w:p w14:paraId="0E71110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总计</w:t>
                  </w:r>
                </w:p>
              </w:tc>
              <w:tc>
                <w:tcPr>
                  <w:tcW w:w="659" w:type="pct"/>
                  <w:noWrap w:val="0"/>
                  <w:vAlign w:val="center"/>
                </w:tcPr>
                <w:p w14:paraId="3AB4B8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14364</w:t>
                  </w:r>
                </w:p>
              </w:tc>
            </w:tr>
          </w:tbl>
          <w:p w14:paraId="49052C4F">
            <w:pPr>
              <w:keepNext w:val="0"/>
              <w:keepLines w:val="0"/>
              <w:suppressLineNumbers w:val="0"/>
              <w:spacing w:before="0" w:beforeAutospacing="0" w:after="0" w:afterAutospacing="0" w:line="440" w:lineRule="exact"/>
              <w:ind w:left="0" w:right="0" w:firstLine="480" w:firstLineChars="200"/>
              <w:rPr>
                <w:rFonts w:hint="default" w:ascii="Times New Roman" w:hAnsi="Times New Roman" w:eastAsia="Times New Roman" w:cs="Times New Roman"/>
                <w:b/>
                <w:bCs/>
                <w:color w:val="0000FF"/>
                <w:sz w:val="24"/>
                <w:szCs w:val="24"/>
              </w:rPr>
            </w:pPr>
            <w:r>
              <w:rPr>
                <w:rFonts w:hint="default" w:ascii="Times New Roman" w:hAnsi="Times New Roman" w:eastAsia="宋体" w:cs="Times New Roman"/>
                <w:color w:val="auto"/>
                <w:sz w:val="24"/>
                <w:szCs w:val="24"/>
              </w:rPr>
              <w:t>经计算，则排风</w:t>
            </w:r>
            <w:r>
              <w:rPr>
                <w:rFonts w:hint="default" w:ascii="Times New Roman" w:hAnsi="Times New Roman" w:eastAsia="宋体" w:cs="Times New Roman"/>
                <w:color w:val="auto"/>
                <w:sz w:val="24"/>
                <w:szCs w:val="24"/>
                <w:lang w:val="en-US" w:eastAsia="zh-CN"/>
              </w:rPr>
              <w:t>总</w:t>
            </w:r>
            <w:r>
              <w:rPr>
                <w:rFonts w:hint="default" w:ascii="Times New Roman" w:hAnsi="Times New Roman" w:eastAsia="宋体" w:cs="Times New Roman"/>
                <w:color w:val="auto"/>
                <w:sz w:val="24"/>
                <w:szCs w:val="24"/>
              </w:rPr>
              <w:t>量</w:t>
            </w:r>
            <w:r>
              <w:rPr>
                <w:rFonts w:hint="default" w:ascii="Times New Roman" w:hAnsi="Times New Roman" w:eastAsia="宋体" w:cs="Times New Roman"/>
                <w:color w:val="auto"/>
                <w:sz w:val="24"/>
                <w:szCs w:val="24"/>
                <w:lang w:val="en-US" w:eastAsia="zh-CN"/>
              </w:rPr>
              <w:t>为</w:t>
            </w:r>
            <w:r>
              <w:rPr>
                <w:rFonts w:hint="default" w:ascii="Times New Roman" w:hAnsi="Times New Roman" w:cs="Times New Roman"/>
                <w:color w:val="auto"/>
                <w:sz w:val="24"/>
                <w:szCs w:val="24"/>
                <w:lang w:val="en-US" w:eastAsia="zh-CN"/>
              </w:rPr>
              <w:t>14364</w:t>
            </w:r>
            <w:r>
              <w:rPr>
                <w:rFonts w:hint="default" w:ascii="Times New Roman" w:hAnsi="Times New Roman" w:eastAsia="宋体" w:cs="Times New Roman"/>
                <w:color w:val="auto"/>
                <w:sz w:val="24"/>
                <w:szCs w:val="24"/>
              </w:rPr>
              <w:t>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/h</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根据《吸附法工业有机废气治理工程技术规范(HJ 2026—2013)》6.1.2节：设计风量宜按照最大废气排放量的120%进行设计，</w:t>
            </w:r>
            <w:r>
              <w:rPr>
                <w:rFonts w:hint="default" w:ascii="Times New Roman" w:hAnsi="Times New Roman" w:eastAsia="宋体" w:cs="Times New Roman"/>
                <w:color w:val="auto"/>
                <w:sz w:val="24"/>
                <w:szCs w:val="24"/>
                <w:lang w:val="en-US" w:eastAsia="zh-CN"/>
              </w:rPr>
              <w:t>经计算，</w:t>
            </w:r>
            <w:r>
              <w:rPr>
                <w:rFonts w:hint="default" w:ascii="Times New Roman" w:hAnsi="Times New Roman" w:eastAsia="宋体" w:cs="Times New Roman"/>
                <w:color w:val="auto"/>
                <w:sz w:val="24"/>
                <w:szCs w:val="24"/>
              </w:rPr>
              <w:t>总风量为</w:t>
            </w:r>
            <w:r>
              <w:rPr>
                <w:rFonts w:hint="default" w:ascii="Times New Roman" w:hAnsi="Times New Roman" w:cs="Times New Roman"/>
                <w:color w:val="auto"/>
                <w:sz w:val="24"/>
                <w:szCs w:val="24"/>
                <w:lang w:val="en-US" w:eastAsia="zh-CN"/>
              </w:rPr>
              <w:t>17236.8</w:t>
            </w:r>
            <w:r>
              <w:rPr>
                <w:rFonts w:hint="default" w:ascii="Times New Roman" w:hAnsi="Times New Roman" w:eastAsia="宋体" w:cs="Times New Roman"/>
                <w:color w:val="auto"/>
                <w:sz w:val="24"/>
                <w:szCs w:val="24"/>
              </w:rPr>
              <w:t>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/h（</w:t>
            </w:r>
            <w:r>
              <w:rPr>
                <w:rFonts w:hint="default" w:ascii="Times New Roman" w:hAnsi="Times New Roman" w:eastAsia="宋体" w:cs="Times New Roman"/>
                <w:color w:val="auto"/>
                <w:sz w:val="24"/>
                <w:szCs w:val="24"/>
                <w:lang w:val="en-US" w:eastAsia="zh-CN"/>
              </w:rPr>
              <w:t>本次</w:t>
            </w:r>
            <w:r>
              <w:rPr>
                <w:rFonts w:hint="default" w:ascii="Times New Roman" w:hAnsi="Times New Roman" w:eastAsia="宋体" w:cs="Times New Roman"/>
                <w:color w:val="auto"/>
                <w:sz w:val="24"/>
                <w:szCs w:val="24"/>
              </w:rPr>
              <w:t>设计风机风量</w:t>
            </w:r>
            <w:r>
              <w:rPr>
                <w:rFonts w:hint="default" w:ascii="Times New Roman" w:hAnsi="Times New Roman" w:eastAsia="宋体" w:cs="Times New Roman"/>
                <w:color w:val="auto"/>
                <w:sz w:val="24"/>
                <w:szCs w:val="24"/>
                <w:lang w:val="en-US" w:eastAsia="zh-CN"/>
              </w:rPr>
              <w:t>为</w:t>
            </w:r>
            <w:r>
              <w:rPr>
                <w:rFonts w:hint="default" w:ascii="Times New Roman" w:hAnsi="Times New Roman" w:cs="Times New Roman"/>
                <w:color w:val="auto"/>
                <w:sz w:val="24"/>
                <w:szCs w:val="24"/>
                <w:lang w:val="en-US" w:eastAsia="zh-CN"/>
              </w:rPr>
              <w:t>18</w:t>
            </w:r>
            <w:r>
              <w:rPr>
                <w:rFonts w:hint="default" w:ascii="Times New Roman" w:hAnsi="Times New Roman" w:eastAsia="宋体" w:cs="Times New Roman"/>
                <w:color w:val="auto"/>
                <w:sz w:val="24"/>
                <w:szCs w:val="24"/>
              </w:rPr>
              <w:t>000m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/h）。</w:t>
            </w:r>
          </w:p>
          <w:p w14:paraId="4D8CD1E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40" w:lineRule="exact"/>
              <w:ind w:left="0" w:right="0" w:firstLine="480" w:firstLineChars="200"/>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Times New Roman" w:cs="Times New Roman"/>
                <w:b/>
                <w:bCs/>
                <w:color w:val="auto"/>
                <w:sz w:val="24"/>
                <w:szCs w:val="24"/>
              </w:rPr>
              <w:t>③</w:t>
            </w:r>
            <w:r>
              <w:rPr>
                <w:rFonts w:hint="default" w:ascii="Times New Roman" w:hAnsi="Times New Roman" w:eastAsia="Times New Roman" w:cs="Times New Roman"/>
                <w:b/>
                <w:bCs/>
                <w:color w:val="auto"/>
                <w:sz w:val="24"/>
                <w:szCs w:val="24"/>
                <w:lang w:val="en-US" w:eastAsia="zh-CN"/>
              </w:rPr>
              <w:t>废气收集、处置效率</w:t>
            </w:r>
          </w:p>
          <w:p w14:paraId="0CA5E3F8">
            <w:pPr>
              <w:pStyle w:val="62"/>
              <w:keepNext w:val="0"/>
              <w:keepLines w:val="0"/>
              <w:suppressLineNumbers w:val="0"/>
              <w:bidi w:val="0"/>
              <w:spacing w:before="0" w:beforeAutospacing="0" w:after="0" w:afterAutospacing="0"/>
              <w:ind w:left="0" w:right="0"/>
              <w:rPr>
                <w:rFonts w:hint="eastAsia"/>
                <w:color w:val="auto"/>
              </w:rPr>
            </w:pPr>
            <w:r>
              <w:rPr>
                <w:rFonts w:hint="eastAsia"/>
                <w:color w:val="auto"/>
                <w:lang w:val="en-US" w:eastAsia="zh-CN"/>
              </w:rPr>
              <w:t>废气经收集后，经</w:t>
            </w:r>
            <w:r>
              <w:rPr>
                <w:rFonts w:hint="eastAsia"/>
                <w:color w:val="000000" w:themeColor="text1"/>
                <w:sz w:val="24"/>
                <w:szCs w:val="24"/>
                <w:lang w:val="en-US" w:eastAsia="zh-CN"/>
              </w:rPr>
              <w:t>火炬燃烧装置+</w:t>
            </w:r>
            <w:r>
              <w:rPr>
                <w:rFonts w:hint="eastAsia"/>
                <w:color w:val="auto"/>
                <w:sz w:val="24"/>
                <w:szCs w:val="24"/>
                <w:lang w:val="en-US" w:eastAsia="zh-CN"/>
              </w:rPr>
              <w:t>废气间接冷却装置+静电吸附油雾净化装置+三级干式过滤器+二级活性炭吸附装置</w:t>
            </w:r>
            <w:r>
              <w:rPr>
                <w:rFonts w:hint="eastAsia"/>
                <w:color w:val="auto"/>
                <w:lang w:val="en-US" w:eastAsia="zh-CN"/>
              </w:rPr>
              <w:t>+1根15m高排气筒（DA001）排放</w:t>
            </w:r>
            <w:r>
              <w:rPr>
                <w:rFonts w:hint="default"/>
                <w:color w:val="auto"/>
              </w:rPr>
              <w:t>。</w:t>
            </w:r>
            <w:r>
              <w:rPr>
                <w:rFonts w:hint="eastAsia"/>
                <w:color w:val="auto"/>
              </w:rPr>
              <w:t>废气收集效率取9</w:t>
            </w:r>
            <w:r>
              <w:rPr>
                <w:rFonts w:hint="eastAsia"/>
                <w:color w:val="auto"/>
                <w:lang w:val="en-US" w:eastAsia="zh-CN"/>
              </w:rPr>
              <w:t>0</w:t>
            </w:r>
            <w:r>
              <w:rPr>
                <w:rFonts w:hint="eastAsia"/>
                <w:color w:val="auto"/>
              </w:rPr>
              <w:t>%，</w:t>
            </w:r>
            <w:r>
              <w:rPr>
                <w:rFonts w:hint="eastAsia"/>
                <w:color w:val="auto"/>
                <w:lang w:val="en-US" w:eastAsia="zh-CN"/>
              </w:rPr>
              <w:t>对非甲烷总烃处理效率取</w:t>
            </w:r>
            <w:r>
              <w:rPr>
                <w:rFonts w:hint="eastAsia"/>
                <w:color w:val="auto"/>
              </w:rPr>
              <w:t>9</w:t>
            </w:r>
            <w:r>
              <w:rPr>
                <w:rFonts w:hint="eastAsia"/>
                <w:color w:val="auto"/>
                <w:lang w:val="en-US" w:eastAsia="zh-CN"/>
              </w:rPr>
              <w:t>0</w:t>
            </w:r>
            <w:r>
              <w:rPr>
                <w:rFonts w:hint="eastAsia"/>
                <w:color w:val="auto"/>
              </w:rPr>
              <w:t>%</w:t>
            </w:r>
            <w:r>
              <w:rPr>
                <w:rFonts w:hint="eastAsia"/>
                <w:color w:val="auto"/>
                <w:lang w:eastAsia="zh-CN"/>
              </w:rPr>
              <w:t>、</w:t>
            </w:r>
            <w:r>
              <w:rPr>
                <w:rFonts w:hint="eastAsia"/>
                <w:color w:val="auto"/>
                <w:lang w:val="en-US" w:eastAsia="zh-CN"/>
              </w:rPr>
              <w:t>对颗粒物（油雾）综合处理效率取</w:t>
            </w:r>
            <w:r>
              <w:rPr>
                <w:rFonts w:hint="eastAsia"/>
                <w:color w:val="auto"/>
              </w:rPr>
              <w:t>9</w:t>
            </w:r>
            <w:r>
              <w:rPr>
                <w:rFonts w:hint="eastAsia"/>
                <w:color w:val="auto"/>
                <w:lang w:val="en-US" w:eastAsia="zh-CN"/>
              </w:rPr>
              <w:t>9</w:t>
            </w:r>
            <w:r>
              <w:rPr>
                <w:rFonts w:hint="eastAsia"/>
                <w:color w:val="auto"/>
              </w:rPr>
              <w:t>%</w:t>
            </w:r>
            <w:r>
              <w:rPr>
                <w:rFonts w:hint="eastAsia"/>
                <w:color w:val="auto"/>
                <w:lang w:eastAsia="zh-CN"/>
              </w:rPr>
              <w:t>（</w:t>
            </w:r>
            <w:r>
              <w:rPr>
                <w:rFonts w:hint="eastAsia"/>
                <w:color w:val="auto"/>
                <w:sz w:val="24"/>
                <w:szCs w:val="24"/>
                <w:lang w:val="en-US" w:eastAsia="zh-CN"/>
              </w:rPr>
              <w:t>静电吸附油雾净化装置</w:t>
            </w:r>
            <w:r>
              <w:rPr>
                <w:rFonts w:hint="eastAsia"/>
                <w:color w:val="auto"/>
                <w:lang w:val="en-US" w:eastAsia="zh-CN"/>
              </w:rPr>
              <w:t>对颗粒物（油雾）处理效率为90%，</w:t>
            </w:r>
            <w:r>
              <w:rPr>
                <w:rFonts w:hint="eastAsia"/>
                <w:color w:val="auto"/>
                <w:sz w:val="24"/>
                <w:szCs w:val="24"/>
                <w:lang w:val="en-US" w:eastAsia="zh-CN"/>
              </w:rPr>
              <w:t>三级干式过滤器</w:t>
            </w:r>
            <w:r>
              <w:rPr>
                <w:rFonts w:hint="eastAsia"/>
                <w:color w:val="auto"/>
                <w:lang w:val="en-US" w:eastAsia="zh-CN"/>
              </w:rPr>
              <w:t>对颗粒物（油雾）处理效率为90%，综合处理效率为99%</w:t>
            </w:r>
            <w:r>
              <w:rPr>
                <w:rFonts w:hint="eastAsia"/>
                <w:color w:val="auto"/>
                <w:lang w:eastAsia="zh-CN"/>
              </w:rPr>
              <w:t>）</w:t>
            </w:r>
            <w:r>
              <w:rPr>
                <w:rFonts w:hint="eastAsia"/>
                <w:color w:val="auto"/>
                <w:lang w:val="en-US" w:eastAsia="zh-CN"/>
              </w:rPr>
              <w:t>。</w:t>
            </w:r>
          </w:p>
          <w:p w14:paraId="2568069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rPr>
              <w:t>④</w:t>
            </w:r>
            <w:r>
              <w:rPr>
                <w:rFonts w:hint="default" w:ascii="Times New Roman" w:hAnsi="Times New Roman" w:eastAsia="宋体" w:cs="Times New Roman"/>
                <w:b/>
                <w:bCs/>
                <w:color w:val="auto"/>
                <w:sz w:val="24"/>
                <w:szCs w:val="24"/>
                <w:lang w:val="en-US" w:eastAsia="zh-CN"/>
              </w:rPr>
              <w:t>废气产排情况</w:t>
            </w:r>
          </w:p>
          <w:p w14:paraId="2AAC036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rPr>
                <w:rFonts w:hint="eastAsia" w:ascii="Times New Roman" w:hAnsi="Times New Roman" w:eastAsia="Times New Roman" w:cs="Times New Roman"/>
                <w:color w:val="auto"/>
                <w:sz w:val="24"/>
                <w:szCs w:val="24"/>
                <w:lang w:eastAsia="zh-CN"/>
              </w:rPr>
            </w:pPr>
            <w:r>
              <w:rPr>
                <w:rStyle w:val="67"/>
                <w:rFonts w:hint="eastAsia"/>
                <w:color w:val="auto"/>
                <w:lang w:val="en-US" w:eastAsia="zh-CN"/>
              </w:rPr>
              <w:t>相关设备每天工作8小时，年工作时间为2400h</w:t>
            </w:r>
            <w:r>
              <w:rPr>
                <w:rStyle w:val="67"/>
                <w:rFonts w:hint="default"/>
                <w:color w:val="auto"/>
                <w:lang w:val="en-US" w:eastAsia="zh-CN"/>
              </w:rPr>
              <w:t>。</w:t>
            </w:r>
            <w:r>
              <w:rPr>
                <w:rFonts w:hint="default" w:ascii="Times New Roman" w:hAnsi="Times New Roman" w:eastAsia="Times New Roman" w:cs="Times New Roman"/>
                <w:color w:val="auto"/>
                <w:sz w:val="24"/>
                <w:szCs w:val="24"/>
              </w:rPr>
              <w:t>经计算，</w:t>
            </w:r>
            <w:r>
              <w:rPr>
                <w:rFonts w:hint="eastAsia" w:ascii="Times New Roman" w:hAnsi="Times New Roman" w:eastAsia="Times New Roman" w:cs="Times New Roman"/>
                <w:color w:val="auto"/>
                <w:sz w:val="24"/>
                <w:szCs w:val="24"/>
                <w:lang w:val="en-US" w:eastAsia="zh-CN"/>
              </w:rPr>
              <w:t>颗粒物</w:t>
            </w:r>
            <w:r>
              <w:rPr>
                <w:rFonts w:hint="default" w:ascii="Times New Roman" w:hAnsi="Times New Roman" w:eastAsia="Times New Roman" w:cs="Times New Roman"/>
                <w:color w:val="auto"/>
                <w:sz w:val="24"/>
                <w:szCs w:val="24"/>
              </w:rPr>
              <w:t>有组织产生量为</w:t>
            </w:r>
            <w:r>
              <w:rPr>
                <w:rFonts w:hint="eastAsia" w:ascii="Times New Roman" w:hAnsi="Times New Roman" w:cs="Times New Roman"/>
                <w:i w:val="0"/>
                <w:iCs w:val="0"/>
                <w:color w:val="auto"/>
                <w:kern w:val="0"/>
                <w:sz w:val="24"/>
                <w:szCs w:val="24"/>
                <w:u w:val="none"/>
                <w:lang w:val="en-US" w:eastAsia="zh-CN" w:bidi="ar"/>
              </w:rPr>
              <w:t>2.16</w:t>
            </w:r>
            <w:r>
              <w:rPr>
                <w:rFonts w:hint="default" w:ascii="Times New Roman" w:hAnsi="Times New Roman" w:eastAsia="Times New Roman" w:cs="Times New Roman"/>
                <w:color w:val="auto"/>
                <w:sz w:val="24"/>
                <w:szCs w:val="24"/>
              </w:rPr>
              <w:t>t/a，产生速率为</w:t>
            </w:r>
            <w:r>
              <w:rPr>
                <w:rFonts w:hint="eastAsia" w:ascii="Times New Roman" w:hAnsi="Times New Roman" w:cs="Times New Roman"/>
                <w:i w:val="0"/>
                <w:iCs w:val="0"/>
                <w:color w:val="auto"/>
                <w:kern w:val="0"/>
                <w:sz w:val="24"/>
                <w:szCs w:val="24"/>
                <w:u w:val="none"/>
                <w:lang w:val="en-US" w:eastAsia="zh-CN" w:bidi="ar"/>
              </w:rPr>
              <w:t>0.9</w:t>
            </w:r>
            <w:r>
              <w:rPr>
                <w:rFonts w:hint="default" w:ascii="Times New Roman" w:hAnsi="Times New Roman" w:eastAsia="Times New Roman" w:cs="Times New Roman"/>
                <w:color w:val="auto"/>
                <w:sz w:val="24"/>
                <w:szCs w:val="24"/>
              </w:rPr>
              <w:t>kg/h，产生浓度为</w:t>
            </w:r>
            <w:r>
              <w:rPr>
                <w:rFonts w:hint="eastAsia" w:ascii="Times New Roman" w:hAnsi="Times New Roman" w:cs="Times New Roman"/>
                <w:i w:val="0"/>
                <w:iCs w:val="0"/>
                <w:color w:val="auto"/>
                <w:kern w:val="0"/>
                <w:sz w:val="24"/>
                <w:szCs w:val="24"/>
                <w:u w:val="none"/>
                <w:lang w:val="en-US" w:eastAsia="zh-CN" w:bidi="ar"/>
              </w:rPr>
              <w:t>50</w:t>
            </w:r>
            <w:r>
              <w:rPr>
                <w:rFonts w:hint="default" w:ascii="Times New Roman" w:hAnsi="Times New Roman" w:eastAsia="Times New Roman" w:cs="Times New Roman"/>
                <w:color w:val="auto"/>
                <w:sz w:val="24"/>
                <w:szCs w:val="24"/>
              </w:rPr>
              <w:t>mg/m</w:t>
            </w:r>
            <w:r>
              <w:rPr>
                <w:rFonts w:hint="default" w:ascii="Times New Roman" w:hAnsi="Times New Roman" w:eastAsia="Times New Roman" w:cs="Times New Roman"/>
                <w:color w:val="auto"/>
                <w:sz w:val="24"/>
                <w:szCs w:val="24"/>
                <w:vertAlign w:val="superscript"/>
              </w:rPr>
              <w:t>3</w:t>
            </w:r>
            <w:r>
              <w:rPr>
                <w:rFonts w:hint="default" w:ascii="Times New Roman" w:hAnsi="Times New Roman" w:eastAsia="Times New Roman" w:cs="Times New Roman"/>
                <w:color w:val="auto"/>
                <w:sz w:val="24"/>
                <w:szCs w:val="24"/>
              </w:rPr>
              <w:t>，有组织排放量为</w:t>
            </w:r>
            <w:r>
              <w:rPr>
                <w:rFonts w:hint="eastAsia" w:ascii="Times New Roman" w:hAnsi="Times New Roman" w:cs="Times New Roman"/>
                <w:i w:val="0"/>
                <w:iCs w:val="0"/>
                <w:color w:val="auto"/>
                <w:kern w:val="0"/>
                <w:sz w:val="24"/>
                <w:szCs w:val="24"/>
                <w:u w:val="none"/>
                <w:lang w:val="en-US" w:eastAsia="zh-CN" w:bidi="ar"/>
              </w:rPr>
              <w:t>0.022</w:t>
            </w:r>
            <w:r>
              <w:rPr>
                <w:rFonts w:hint="default" w:ascii="Times New Roman" w:hAnsi="Times New Roman" w:eastAsia="Times New Roman" w:cs="Times New Roman"/>
                <w:color w:val="auto"/>
                <w:sz w:val="24"/>
                <w:szCs w:val="24"/>
              </w:rPr>
              <w:t>t/a，排放速率为</w:t>
            </w:r>
            <w:r>
              <w:rPr>
                <w:rFonts w:hint="eastAsia" w:ascii="Times New Roman" w:hAnsi="Times New Roman" w:cs="Times New Roman"/>
                <w:i w:val="0"/>
                <w:iCs w:val="0"/>
                <w:color w:val="auto"/>
                <w:kern w:val="0"/>
                <w:sz w:val="24"/>
                <w:szCs w:val="24"/>
                <w:u w:val="none"/>
                <w:lang w:val="en-US" w:eastAsia="zh-CN" w:bidi="ar"/>
              </w:rPr>
              <w:t>0.009</w:t>
            </w:r>
            <w:r>
              <w:rPr>
                <w:rFonts w:hint="default" w:ascii="Times New Roman" w:hAnsi="Times New Roman" w:eastAsia="Times New Roman" w:cs="Times New Roman"/>
                <w:color w:val="auto"/>
                <w:sz w:val="24"/>
                <w:szCs w:val="24"/>
              </w:rPr>
              <w:t>kg/h，排放浓度为</w:t>
            </w:r>
            <w:r>
              <w:rPr>
                <w:rFonts w:hint="eastAsia" w:ascii="Times New Roman" w:hAnsi="Times New Roman" w:eastAsia="宋体" w:cs="Times New Roman"/>
                <w:color w:val="auto"/>
                <w:sz w:val="24"/>
                <w:szCs w:val="24"/>
                <w:lang w:val="en-US" w:eastAsia="zh-CN"/>
              </w:rPr>
              <w:t>0.</w:t>
            </w:r>
            <w:r>
              <w:rPr>
                <w:rFonts w:hint="eastAsia" w:ascii="Times New Roman" w:hAnsi="Times New Roman" w:cs="Times New Roman"/>
                <w:i w:val="0"/>
                <w:iCs w:val="0"/>
                <w:color w:val="auto"/>
                <w:kern w:val="0"/>
                <w:sz w:val="24"/>
                <w:szCs w:val="24"/>
                <w:u w:val="none"/>
                <w:lang w:val="en-US" w:eastAsia="zh-CN" w:bidi="ar"/>
              </w:rPr>
              <w:t>5</w:t>
            </w:r>
            <w:r>
              <w:rPr>
                <w:rFonts w:hint="default" w:ascii="Times New Roman" w:hAnsi="Times New Roman" w:eastAsia="Times New Roman" w:cs="Times New Roman"/>
                <w:color w:val="auto"/>
                <w:sz w:val="24"/>
                <w:szCs w:val="24"/>
              </w:rPr>
              <w:t>mg/m</w:t>
            </w:r>
            <w:r>
              <w:rPr>
                <w:rFonts w:hint="default" w:ascii="Times New Roman" w:hAnsi="Times New Roman" w:eastAsia="Times New Roman" w:cs="Times New Roman"/>
                <w:color w:val="auto"/>
                <w:sz w:val="24"/>
                <w:szCs w:val="24"/>
                <w:vertAlign w:val="superscript"/>
              </w:rPr>
              <w:t>3</w:t>
            </w:r>
            <w:r>
              <w:rPr>
                <w:rFonts w:hint="default" w:ascii="Times New Roman" w:hAnsi="Times New Roman" w:eastAsia="Times New Roman" w:cs="Times New Roman"/>
                <w:color w:val="auto"/>
                <w:sz w:val="24"/>
                <w:szCs w:val="24"/>
              </w:rPr>
              <w:t>；未被收集的</w:t>
            </w:r>
            <w:r>
              <w:rPr>
                <w:rFonts w:hint="eastAsia" w:ascii="Times New Roman" w:hAnsi="Times New Roman" w:eastAsia="Times New Roman" w:cs="Times New Roman"/>
                <w:color w:val="auto"/>
                <w:sz w:val="24"/>
                <w:szCs w:val="24"/>
                <w:lang w:val="en-US" w:eastAsia="zh-CN"/>
              </w:rPr>
              <w:t>颗粒物</w:t>
            </w:r>
            <w:r>
              <w:rPr>
                <w:rFonts w:hint="default" w:ascii="Times New Roman" w:hAnsi="Times New Roman" w:eastAsia="Times New Roman" w:cs="Times New Roman"/>
                <w:color w:val="auto"/>
                <w:sz w:val="24"/>
                <w:szCs w:val="24"/>
              </w:rPr>
              <w:t>量为</w:t>
            </w:r>
            <w:r>
              <w:rPr>
                <w:rFonts w:hint="eastAsia" w:ascii="Times New Roman" w:hAnsi="Times New Roman" w:cs="Times New Roman"/>
                <w:i w:val="0"/>
                <w:iCs w:val="0"/>
                <w:color w:val="auto"/>
                <w:kern w:val="0"/>
                <w:sz w:val="24"/>
                <w:szCs w:val="24"/>
                <w:u w:val="none"/>
                <w:lang w:val="en-US" w:eastAsia="zh-CN" w:bidi="ar"/>
              </w:rPr>
              <w:t>0.24</w:t>
            </w:r>
            <w:r>
              <w:rPr>
                <w:rFonts w:hint="default" w:ascii="Times New Roman" w:hAnsi="Times New Roman" w:eastAsia="Times New Roman" w:cs="Times New Roman"/>
                <w:color w:val="auto"/>
                <w:sz w:val="24"/>
                <w:szCs w:val="24"/>
              </w:rPr>
              <w:t>t/a（</w:t>
            </w:r>
            <w:r>
              <w:rPr>
                <w:rFonts w:hint="eastAsia" w:ascii="Times New Roman" w:hAnsi="Times New Roman" w:cs="Times New Roman"/>
                <w:i w:val="0"/>
                <w:iCs w:val="0"/>
                <w:color w:val="auto"/>
                <w:kern w:val="0"/>
                <w:sz w:val="24"/>
                <w:szCs w:val="24"/>
                <w:u w:val="none"/>
                <w:lang w:val="en-US" w:eastAsia="zh-CN" w:bidi="ar"/>
              </w:rPr>
              <w:t>0.1</w:t>
            </w:r>
            <w:r>
              <w:rPr>
                <w:rFonts w:hint="default" w:ascii="Times New Roman" w:hAnsi="Times New Roman" w:eastAsia="Times New Roman" w:cs="Times New Roman"/>
                <w:color w:val="auto"/>
                <w:sz w:val="24"/>
                <w:szCs w:val="24"/>
              </w:rPr>
              <w:t>kg/h）</w:t>
            </w:r>
            <w:r>
              <w:rPr>
                <w:rFonts w:hint="eastAsia" w:ascii="Times New Roman" w:hAnsi="Times New Roman" w:eastAsia="Times New Roman" w:cs="Times New Roman"/>
                <w:color w:val="auto"/>
                <w:sz w:val="24"/>
                <w:szCs w:val="24"/>
                <w:lang w:eastAsia="zh-CN"/>
              </w:rPr>
              <w:t>，</w:t>
            </w:r>
            <w:r>
              <w:rPr>
                <w:rFonts w:hint="default" w:ascii="Times New Roman" w:hAnsi="Times New Roman" w:eastAsia="Times New Roman" w:cs="Times New Roman"/>
                <w:color w:val="auto"/>
                <w:sz w:val="24"/>
                <w:szCs w:val="24"/>
              </w:rPr>
              <w:t>无组织排放量为</w:t>
            </w:r>
            <w:r>
              <w:rPr>
                <w:rFonts w:hint="eastAsia" w:ascii="Times New Roman" w:hAnsi="Times New Roman" w:cs="Times New Roman"/>
                <w:i w:val="0"/>
                <w:iCs w:val="0"/>
                <w:color w:val="auto"/>
                <w:kern w:val="0"/>
                <w:sz w:val="24"/>
                <w:szCs w:val="24"/>
                <w:u w:val="none"/>
                <w:lang w:val="en-US" w:eastAsia="zh-CN" w:bidi="ar"/>
              </w:rPr>
              <w:t>0.24</w:t>
            </w:r>
            <w:r>
              <w:rPr>
                <w:rFonts w:hint="default" w:ascii="Times New Roman" w:hAnsi="Times New Roman" w:eastAsia="Times New Roman" w:cs="Times New Roman"/>
                <w:color w:val="auto"/>
                <w:sz w:val="24"/>
                <w:szCs w:val="24"/>
              </w:rPr>
              <w:t>t/a（</w:t>
            </w:r>
            <w:r>
              <w:rPr>
                <w:rFonts w:hint="eastAsia" w:ascii="Times New Roman" w:hAnsi="Times New Roman" w:cs="Times New Roman"/>
                <w:i w:val="0"/>
                <w:iCs w:val="0"/>
                <w:color w:val="auto"/>
                <w:kern w:val="0"/>
                <w:sz w:val="24"/>
                <w:szCs w:val="24"/>
                <w:u w:val="none"/>
                <w:lang w:val="en-US" w:eastAsia="zh-CN" w:bidi="ar"/>
              </w:rPr>
              <w:t>0.1</w:t>
            </w:r>
            <w:r>
              <w:rPr>
                <w:rFonts w:hint="default" w:ascii="Times New Roman" w:hAnsi="Times New Roman" w:eastAsia="Times New Roman" w:cs="Times New Roman"/>
                <w:color w:val="auto"/>
                <w:sz w:val="24"/>
                <w:szCs w:val="24"/>
              </w:rPr>
              <w:t>kg/h）。</w:t>
            </w:r>
            <w:r>
              <w:rPr>
                <w:rFonts w:hint="eastAsia" w:ascii="Times New Roman" w:hAnsi="Times New Roman" w:eastAsia="Times New Roman" w:cs="Times New Roman"/>
                <w:color w:val="auto"/>
                <w:sz w:val="24"/>
                <w:szCs w:val="24"/>
                <w:lang w:val="en-US" w:eastAsia="zh-CN"/>
              </w:rPr>
              <w:t>非甲烷总烃</w:t>
            </w:r>
            <w:r>
              <w:rPr>
                <w:rFonts w:hint="default" w:ascii="Times New Roman" w:hAnsi="Times New Roman" w:eastAsia="Times New Roman" w:cs="Times New Roman"/>
                <w:color w:val="auto"/>
                <w:sz w:val="24"/>
                <w:szCs w:val="24"/>
              </w:rPr>
              <w:t>有组织产生量为</w:t>
            </w:r>
            <w:r>
              <w:rPr>
                <w:rFonts w:hint="eastAsia" w:ascii="Times New Roman" w:hAnsi="Times New Roman" w:eastAsia="Times New Roman" w:cs="Times New Roman"/>
                <w:color w:val="auto"/>
                <w:sz w:val="24"/>
                <w:szCs w:val="24"/>
                <w:lang w:val="en-US" w:eastAsia="zh-CN"/>
              </w:rPr>
              <w:t>0.032</w:t>
            </w:r>
            <w:r>
              <w:rPr>
                <w:rFonts w:hint="default" w:ascii="Times New Roman" w:hAnsi="Times New Roman" w:eastAsia="Times New Roman" w:cs="Times New Roman"/>
                <w:color w:val="auto"/>
                <w:sz w:val="24"/>
                <w:szCs w:val="24"/>
              </w:rPr>
              <w:t>t/a，产生速率为</w:t>
            </w:r>
            <w:r>
              <w:rPr>
                <w:rFonts w:hint="eastAsia" w:ascii="Times New Roman" w:hAnsi="Times New Roman" w:eastAsia="Times New Roman" w:cs="Times New Roman"/>
                <w:color w:val="auto"/>
                <w:sz w:val="24"/>
                <w:szCs w:val="24"/>
                <w:lang w:val="en-US" w:eastAsia="zh-CN"/>
              </w:rPr>
              <w:t>0.013</w:t>
            </w:r>
            <w:r>
              <w:rPr>
                <w:rFonts w:hint="default" w:ascii="Times New Roman" w:hAnsi="Times New Roman" w:eastAsia="Times New Roman" w:cs="Times New Roman"/>
                <w:color w:val="auto"/>
                <w:sz w:val="24"/>
                <w:szCs w:val="24"/>
              </w:rPr>
              <w:t>kg/h，产生浓度为</w:t>
            </w:r>
            <w:r>
              <w:rPr>
                <w:rFonts w:hint="eastAsia" w:ascii="Times New Roman" w:hAnsi="Times New Roman" w:eastAsia="Times New Roman" w:cs="Times New Roman"/>
                <w:color w:val="auto"/>
                <w:sz w:val="24"/>
                <w:szCs w:val="24"/>
                <w:lang w:val="en-US" w:eastAsia="zh-CN"/>
              </w:rPr>
              <w:t>0.73</w:t>
            </w:r>
            <w:r>
              <w:rPr>
                <w:rFonts w:hint="default" w:ascii="Times New Roman" w:hAnsi="Times New Roman" w:eastAsia="Times New Roman" w:cs="Times New Roman"/>
                <w:color w:val="auto"/>
                <w:sz w:val="24"/>
                <w:szCs w:val="24"/>
              </w:rPr>
              <w:t>mg/m</w:t>
            </w:r>
            <w:r>
              <w:rPr>
                <w:rFonts w:hint="default" w:ascii="Times New Roman" w:hAnsi="Times New Roman" w:eastAsia="Times New Roman" w:cs="Times New Roman"/>
                <w:color w:val="auto"/>
                <w:sz w:val="24"/>
                <w:szCs w:val="24"/>
                <w:vertAlign w:val="superscript"/>
              </w:rPr>
              <w:t>3</w:t>
            </w:r>
            <w:r>
              <w:rPr>
                <w:rFonts w:hint="default" w:ascii="Times New Roman" w:hAnsi="Times New Roman" w:eastAsia="Times New Roman" w:cs="Times New Roman"/>
                <w:color w:val="auto"/>
                <w:sz w:val="24"/>
                <w:szCs w:val="24"/>
              </w:rPr>
              <w:t>，有组织排放量为0.</w:t>
            </w:r>
            <w:r>
              <w:rPr>
                <w:rFonts w:hint="eastAsia" w:ascii="Times New Roman" w:hAnsi="Times New Roman" w:eastAsia="Times New Roman" w:cs="Times New Roman"/>
                <w:color w:val="auto"/>
                <w:sz w:val="24"/>
                <w:szCs w:val="24"/>
                <w:lang w:val="en-US" w:eastAsia="zh-CN"/>
              </w:rPr>
              <w:t>003</w:t>
            </w:r>
            <w:r>
              <w:rPr>
                <w:rFonts w:hint="default" w:ascii="Times New Roman" w:hAnsi="Times New Roman" w:eastAsia="Times New Roman" w:cs="Times New Roman"/>
                <w:color w:val="auto"/>
                <w:sz w:val="24"/>
                <w:szCs w:val="24"/>
              </w:rPr>
              <w:t>t/a，排放速率为0.</w:t>
            </w:r>
            <w:r>
              <w:rPr>
                <w:rFonts w:hint="eastAsia" w:ascii="Times New Roman" w:hAnsi="Times New Roman" w:eastAsia="Times New Roman" w:cs="Times New Roman"/>
                <w:color w:val="auto"/>
                <w:sz w:val="24"/>
                <w:szCs w:val="24"/>
                <w:lang w:val="en-US" w:eastAsia="zh-CN"/>
              </w:rPr>
              <w:t>001</w:t>
            </w:r>
            <w:r>
              <w:rPr>
                <w:rFonts w:hint="default" w:ascii="Times New Roman" w:hAnsi="Times New Roman" w:eastAsia="Times New Roman" w:cs="Times New Roman"/>
                <w:color w:val="auto"/>
                <w:sz w:val="24"/>
                <w:szCs w:val="24"/>
              </w:rPr>
              <w:t>kg/h，排放浓度为</w:t>
            </w:r>
            <w:r>
              <w:rPr>
                <w:rFonts w:hint="eastAsia" w:ascii="Times New Roman" w:hAnsi="Times New Roman" w:eastAsia="Times New Roman" w:cs="Times New Roman"/>
                <w:color w:val="auto"/>
                <w:sz w:val="24"/>
                <w:szCs w:val="24"/>
                <w:lang w:val="en-US" w:eastAsia="zh-CN"/>
              </w:rPr>
              <w:t>0.07</w:t>
            </w:r>
            <w:r>
              <w:rPr>
                <w:rFonts w:hint="default" w:ascii="Times New Roman" w:hAnsi="Times New Roman" w:eastAsia="Times New Roman" w:cs="Times New Roman"/>
                <w:color w:val="auto"/>
                <w:sz w:val="24"/>
                <w:szCs w:val="24"/>
              </w:rPr>
              <w:t>mg/m</w:t>
            </w:r>
            <w:r>
              <w:rPr>
                <w:rFonts w:hint="default" w:ascii="Times New Roman" w:hAnsi="Times New Roman" w:eastAsia="Times New Roman" w:cs="Times New Roman"/>
                <w:color w:val="auto"/>
                <w:sz w:val="24"/>
                <w:szCs w:val="24"/>
                <w:vertAlign w:val="superscript"/>
              </w:rPr>
              <w:t>3</w:t>
            </w:r>
            <w:r>
              <w:rPr>
                <w:rFonts w:hint="default" w:ascii="Times New Roman" w:hAnsi="Times New Roman" w:eastAsia="Times New Roman" w:cs="Times New Roman"/>
                <w:color w:val="auto"/>
                <w:sz w:val="24"/>
                <w:szCs w:val="24"/>
              </w:rPr>
              <w:t>；未被收集的</w:t>
            </w:r>
            <w:r>
              <w:rPr>
                <w:rFonts w:hint="eastAsia" w:ascii="Times New Roman" w:hAnsi="Times New Roman" w:eastAsia="Times New Roman" w:cs="Times New Roman"/>
                <w:color w:val="auto"/>
                <w:sz w:val="24"/>
                <w:szCs w:val="24"/>
                <w:lang w:val="en-US" w:eastAsia="zh-CN"/>
              </w:rPr>
              <w:t>非甲烷总烃</w:t>
            </w:r>
            <w:r>
              <w:rPr>
                <w:rFonts w:hint="default" w:ascii="Times New Roman" w:hAnsi="Times New Roman" w:eastAsia="Times New Roman" w:cs="Times New Roman"/>
                <w:color w:val="auto"/>
                <w:sz w:val="24"/>
                <w:szCs w:val="24"/>
              </w:rPr>
              <w:t>量为</w:t>
            </w:r>
            <w:r>
              <w:rPr>
                <w:rFonts w:hint="eastAsia" w:ascii="Times New Roman" w:hAnsi="Times New Roman" w:eastAsia="Times New Roman" w:cs="Times New Roman"/>
                <w:color w:val="auto"/>
                <w:sz w:val="24"/>
                <w:szCs w:val="24"/>
                <w:lang w:val="en-US" w:eastAsia="zh-CN"/>
              </w:rPr>
              <w:t>0.004</w:t>
            </w:r>
            <w:r>
              <w:rPr>
                <w:rFonts w:hint="default" w:ascii="Times New Roman" w:hAnsi="Times New Roman" w:eastAsia="Times New Roman" w:cs="Times New Roman"/>
                <w:color w:val="auto"/>
                <w:sz w:val="24"/>
                <w:szCs w:val="24"/>
              </w:rPr>
              <w:t>t/a（0.</w:t>
            </w:r>
            <w:r>
              <w:rPr>
                <w:rFonts w:hint="eastAsia" w:ascii="Times New Roman" w:hAnsi="Times New Roman" w:eastAsia="Times New Roman" w:cs="Times New Roman"/>
                <w:color w:val="auto"/>
                <w:sz w:val="24"/>
                <w:szCs w:val="24"/>
                <w:lang w:val="en-US" w:eastAsia="zh-CN"/>
              </w:rPr>
              <w:t>001</w:t>
            </w:r>
            <w:r>
              <w:rPr>
                <w:rFonts w:hint="default" w:ascii="Times New Roman" w:hAnsi="Times New Roman" w:eastAsia="Times New Roman" w:cs="Times New Roman"/>
                <w:color w:val="auto"/>
                <w:sz w:val="24"/>
                <w:szCs w:val="24"/>
              </w:rPr>
              <w:t>kg/h）</w:t>
            </w:r>
            <w:r>
              <w:rPr>
                <w:rFonts w:hint="eastAsia" w:ascii="Times New Roman" w:hAnsi="Times New Roman" w:eastAsia="Times New Roman" w:cs="Times New Roman"/>
                <w:color w:val="auto"/>
                <w:sz w:val="24"/>
                <w:szCs w:val="24"/>
                <w:lang w:eastAsia="zh-CN"/>
              </w:rPr>
              <w:t>，</w:t>
            </w:r>
            <w:r>
              <w:rPr>
                <w:rFonts w:hint="default" w:ascii="Times New Roman" w:hAnsi="Times New Roman" w:eastAsia="Times New Roman" w:cs="Times New Roman"/>
                <w:color w:val="auto"/>
                <w:sz w:val="24"/>
                <w:szCs w:val="24"/>
              </w:rPr>
              <w:t>无组织排放量为</w:t>
            </w:r>
            <w:r>
              <w:rPr>
                <w:rFonts w:hint="eastAsia" w:ascii="Times New Roman" w:hAnsi="Times New Roman" w:eastAsia="Times New Roman" w:cs="Times New Roman"/>
                <w:color w:val="auto"/>
                <w:sz w:val="24"/>
                <w:szCs w:val="24"/>
                <w:lang w:val="en-US" w:eastAsia="zh-CN"/>
              </w:rPr>
              <w:t>0.004</w:t>
            </w:r>
            <w:r>
              <w:rPr>
                <w:rFonts w:hint="default" w:ascii="Times New Roman" w:hAnsi="Times New Roman" w:eastAsia="Times New Roman" w:cs="Times New Roman"/>
                <w:color w:val="auto"/>
                <w:sz w:val="24"/>
                <w:szCs w:val="24"/>
              </w:rPr>
              <w:t>t/a（0.</w:t>
            </w:r>
            <w:r>
              <w:rPr>
                <w:rFonts w:hint="eastAsia" w:ascii="Times New Roman" w:hAnsi="Times New Roman" w:eastAsia="Times New Roman" w:cs="Times New Roman"/>
                <w:color w:val="auto"/>
                <w:sz w:val="24"/>
                <w:szCs w:val="24"/>
                <w:lang w:val="en-US" w:eastAsia="zh-CN"/>
              </w:rPr>
              <w:t>001</w:t>
            </w:r>
            <w:r>
              <w:rPr>
                <w:rFonts w:hint="default" w:ascii="Times New Roman" w:hAnsi="Times New Roman" w:eastAsia="Times New Roman" w:cs="Times New Roman"/>
                <w:color w:val="auto"/>
                <w:sz w:val="24"/>
                <w:szCs w:val="24"/>
              </w:rPr>
              <w:t>kg/h）</w:t>
            </w:r>
            <w:r>
              <w:rPr>
                <w:rFonts w:hint="eastAsia" w:ascii="Times New Roman" w:hAnsi="Times New Roman" w:eastAsia="Times New Roman" w:cs="Times New Roman"/>
                <w:color w:val="auto"/>
                <w:sz w:val="24"/>
                <w:szCs w:val="24"/>
                <w:lang w:eastAsia="zh-CN"/>
              </w:rPr>
              <w:t>。</w:t>
            </w:r>
          </w:p>
          <w:p w14:paraId="6D97B018">
            <w:pPr>
              <w:keepNext w:val="0"/>
              <w:keepLines w:val="0"/>
              <w:suppressLineNumbers w:val="0"/>
              <w:spacing w:before="0" w:beforeAutospacing="0" w:after="0" w:afterAutospacing="0" w:line="440" w:lineRule="exact"/>
              <w:ind w:left="0" w:right="0" w:firstLine="482" w:firstLineChars="200"/>
              <w:rPr>
                <w:rFonts w:hint="default" w:ascii="Times New Roman" w:hAnsi="Times New Roman" w:eastAsia="宋体" w:cs="Times New Roman"/>
                <w:b/>
                <w:bCs w:val="0"/>
                <w:color w:val="0000FF"/>
                <w:sz w:val="24"/>
                <w:szCs w:val="24"/>
                <w:lang w:val="en-US"/>
              </w:rPr>
            </w:pPr>
            <w:r>
              <w:rPr>
                <w:rFonts w:hint="default" w:ascii="Times New Roman" w:hAnsi="Times New Roman" w:eastAsia="宋体" w:cs="Times New Roman"/>
                <w:b/>
                <w:bCs w:val="0"/>
                <w:color w:val="auto"/>
                <w:sz w:val="24"/>
                <w:szCs w:val="24"/>
                <w:lang w:eastAsia="zh-CN"/>
              </w:rPr>
              <w:t>（</w:t>
            </w:r>
            <w:r>
              <w:rPr>
                <w:rFonts w:hint="eastAsia" w:ascii="Times New Roman" w:hAnsi="Times New Roman" w:cs="Times New Roman"/>
                <w:b/>
                <w:bCs w:val="0"/>
                <w:color w:val="auto"/>
                <w:sz w:val="24"/>
                <w:szCs w:val="24"/>
                <w:lang w:val="en-US" w:eastAsia="zh-CN"/>
              </w:rPr>
              <w:t>2</w:t>
            </w:r>
            <w:r>
              <w:rPr>
                <w:rFonts w:hint="default" w:ascii="Times New Roman" w:hAnsi="Times New Roman" w:eastAsia="宋体" w:cs="Times New Roman"/>
                <w:b/>
                <w:bCs w:val="0"/>
                <w:color w:val="auto"/>
                <w:sz w:val="24"/>
                <w:szCs w:val="24"/>
                <w:lang w:eastAsia="zh-CN"/>
              </w:rPr>
              <w:t>）</w:t>
            </w:r>
            <w:r>
              <w:rPr>
                <w:rFonts w:hint="eastAsia" w:ascii="Times New Roman" w:hAnsi="Times New Roman" w:cs="Times New Roman"/>
                <w:b/>
                <w:bCs w:val="0"/>
                <w:color w:val="auto"/>
                <w:sz w:val="24"/>
                <w:szCs w:val="24"/>
                <w:lang w:val="en-US" w:eastAsia="zh-CN"/>
              </w:rPr>
              <w:t>天然气燃烧废气</w:t>
            </w:r>
          </w:p>
          <w:p w14:paraId="6C33796F">
            <w:pPr>
              <w:pStyle w:val="62"/>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rPr>
              <w:t>根据建设单位提供的资料，</w:t>
            </w:r>
            <w:r>
              <w:rPr>
                <w:rFonts w:hint="eastAsia"/>
                <w:color w:val="auto"/>
                <w:lang w:val="en-US" w:eastAsia="zh-CN"/>
              </w:rPr>
              <w:t>本项目各类燃气炉运行8h/d，</w:t>
            </w:r>
            <w:r>
              <w:rPr>
                <w:rFonts w:hint="eastAsia"/>
                <w:color w:val="auto"/>
                <w:sz w:val="24"/>
                <w:lang w:val="en-GB"/>
              </w:rPr>
              <w:t>全年工作</w:t>
            </w:r>
            <w:r>
              <w:rPr>
                <w:rFonts w:hint="eastAsia"/>
                <w:color w:val="auto"/>
                <w:sz w:val="24"/>
                <w:lang w:val="en-US" w:eastAsia="zh-CN"/>
              </w:rPr>
              <w:t>30</w:t>
            </w:r>
            <w:r>
              <w:rPr>
                <w:rFonts w:hint="eastAsia"/>
                <w:color w:val="auto"/>
                <w:sz w:val="24"/>
                <w:lang w:val="en-GB"/>
              </w:rPr>
              <w:t>0天</w:t>
            </w:r>
            <w:r>
              <w:rPr>
                <w:rFonts w:hint="eastAsia"/>
                <w:color w:val="auto"/>
                <w:sz w:val="24"/>
                <w:lang w:val="en-GB" w:eastAsia="zh-CN"/>
              </w:rPr>
              <w:t>，</w:t>
            </w:r>
            <w:r>
              <w:rPr>
                <w:rFonts w:hint="eastAsia"/>
                <w:color w:val="auto"/>
                <w:lang w:val="en-US" w:eastAsia="zh-CN"/>
              </w:rPr>
              <w:t>各类燃气炉</w:t>
            </w:r>
            <w:r>
              <w:rPr>
                <w:rFonts w:hint="default"/>
                <w:color w:val="auto"/>
              </w:rPr>
              <w:t>天然气消耗</w:t>
            </w:r>
            <w:r>
              <w:rPr>
                <w:rFonts w:hint="eastAsia"/>
                <w:color w:val="auto"/>
                <w:lang w:val="en-US" w:eastAsia="zh-CN"/>
              </w:rPr>
              <w:t>总</w:t>
            </w:r>
            <w:r>
              <w:rPr>
                <w:rFonts w:hint="default"/>
                <w:color w:val="auto"/>
              </w:rPr>
              <w:t>量为</w:t>
            </w:r>
            <w:r>
              <w:rPr>
                <w:rFonts w:hint="eastAsia"/>
                <w:color w:val="auto"/>
                <w:lang w:val="en-US" w:eastAsia="zh-CN"/>
              </w:rPr>
              <w:t>36</w:t>
            </w:r>
            <w:r>
              <w:rPr>
                <w:rFonts w:hint="default"/>
                <w:color w:val="auto"/>
              </w:rPr>
              <w:t>m</w:t>
            </w:r>
            <w:r>
              <w:rPr>
                <w:rFonts w:hint="default"/>
                <w:color w:val="auto"/>
                <w:vertAlign w:val="superscript"/>
              </w:rPr>
              <w:t>3</w:t>
            </w:r>
            <w:r>
              <w:rPr>
                <w:rFonts w:hint="default"/>
                <w:color w:val="auto"/>
              </w:rPr>
              <w:t>/h</w:t>
            </w:r>
            <w:r>
              <w:rPr>
                <w:rFonts w:hint="eastAsia"/>
                <w:color w:val="auto"/>
                <w:lang w:eastAsia="zh-CN"/>
              </w:rPr>
              <w:t>（</w:t>
            </w:r>
            <w:r>
              <w:rPr>
                <w:rFonts w:hint="eastAsia"/>
                <w:color w:val="auto"/>
                <w:lang w:val="en-US" w:eastAsia="zh-CN"/>
              </w:rPr>
              <w:t>86400</w:t>
            </w:r>
            <w:r>
              <w:rPr>
                <w:rFonts w:hint="default"/>
                <w:color w:val="auto"/>
              </w:rPr>
              <w:t>m</w:t>
            </w:r>
            <w:r>
              <w:rPr>
                <w:rFonts w:hint="default"/>
                <w:color w:val="auto"/>
                <w:vertAlign w:val="superscript"/>
              </w:rPr>
              <w:t>3</w:t>
            </w:r>
            <w:r>
              <w:rPr>
                <w:rFonts w:hint="default"/>
                <w:color w:val="auto"/>
              </w:rPr>
              <w:t>/</w:t>
            </w:r>
            <w:r>
              <w:rPr>
                <w:rFonts w:hint="eastAsia"/>
                <w:color w:val="auto"/>
                <w:lang w:val="en-US" w:eastAsia="zh-CN"/>
              </w:rPr>
              <w:t>a</w:t>
            </w:r>
            <w:r>
              <w:rPr>
                <w:rFonts w:hint="eastAsia"/>
                <w:color w:val="auto"/>
                <w:lang w:eastAsia="zh-CN"/>
              </w:rPr>
              <w:t>）</w:t>
            </w:r>
            <w:r>
              <w:rPr>
                <w:rFonts w:hint="eastAsia"/>
                <w:color w:val="auto"/>
                <w:lang w:val="en-US" w:eastAsia="zh-CN"/>
              </w:rPr>
              <w:t>。</w:t>
            </w:r>
          </w:p>
          <w:p w14:paraId="1A8AB2C9">
            <w:pPr>
              <w:pStyle w:val="62"/>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color w:val="auto"/>
              </w:rPr>
              <w:t>天然气以轻质烃类化合物为主，属于清洁、高效的优质能源，燃烧废气污染源强很小，产生少量SO</w:t>
            </w:r>
            <w:r>
              <w:rPr>
                <w:rFonts w:hint="default" w:ascii="Times New Roman" w:hAnsi="Times New Roman" w:cs="Times New Roman"/>
                <w:color w:val="auto"/>
                <w:vertAlign w:val="subscript"/>
              </w:rPr>
              <w:t>2</w:t>
            </w:r>
            <w:r>
              <w:rPr>
                <w:rFonts w:hint="default" w:ascii="Times New Roman" w:hAnsi="Times New Roman" w:cs="Times New Roman"/>
                <w:color w:val="auto"/>
              </w:rPr>
              <w:t>、NOx和颗粒物。</w:t>
            </w:r>
            <w:bookmarkStart w:id="10" w:name="_Hlk165905878"/>
            <w:r>
              <w:rPr>
                <w:rFonts w:hint="default" w:ascii="Times New Roman" w:hAnsi="Times New Roman" w:cs="Times New Roman"/>
                <w:color w:val="auto"/>
              </w:rPr>
              <w:t>根据生态环境部发布《排放源统计调查产排污核算方法和系数手册（2021年）》中33、金属制品业中1</w:t>
            </w:r>
            <w:r>
              <w:rPr>
                <w:rFonts w:hint="default" w:ascii="Times New Roman" w:hAnsi="Times New Roman" w:cs="Times New Roman"/>
                <w:color w:val="auto"/>
                <w:lang w:val="en-US" w:eastAsia="zh-CN"/>
              </w:rPr>
              <w:t>2热处理</w:t>
            </w:r>
            <w:r>
              <w:rPr>
                <w:rFonts w:hint="default" w:ascii="Times New Roman" w:hAnsi="Times New Roman" w:cs="Times New Roman"/>
                <w:color w:val="auto"/>
              </w:rPr>
              <w:t>环节—天然气</w:t>
            </w:r>
            <w:r>
              <w:rPr>
                <w:rFonts w:hint="default" w:ascii="Times New Roman" w:hAnsi="Times New Roman" w:cs="Times New Roman"/>
                <w:color w:val="auto"/>
                <w:lang w:val="en-US" w:eastAsia="zh-CN"/>
              </w:rPr>
              <w:t>整体热处理</w:t>
            </w:r>
            <w:r>
              <w:rPr>
                <w:rFonts w:hint="default" w:ascii="Times New Roman" w:hAnsi="Times New Roman" w:cs="Times New Roman"/>
                <w:color w:val="auto"/>
              </w:rPr>
              <w:t>废气产排污系数，具体如下：</w:t>
            </w:r>
          </w:p>
          <w:bookmarkEnd w:id="10"/>
          <w:p w14:paraId="275FD081">
            <w:pPr>
              <w:pStyle w:val="63"/>
              <w:keepNext w:val="0"/>
              <w:keepLines w:val="0"/>
              <w:suppressLineNumbers w:val="0"/>
              <w:bidi w:val="0"/>
              <w:spacing w:before="0" w:beforeAutospacing="0" w:after="0" w:afterAutospacing="0"/>
              <w:ind w:left="0" w:right="0"/>
              <w:rPr>
                <w:rFonts w:hint="eastAsia"/>
                <w:b/>
                <w:color w:val="auto"/>
                <w:szCs w:val="21"/>
              </w:rPr>
            </w:pPr>
            <w:r>
              <w:rPr>
                <w:rFonts w:hint="eastAsia"/>
                <w:color w:val="auto"/>
              </w:rPr>
              <w:t>表</w:t>
            </w:r>
            <w:r>
              <w:rPr>
                <w:rFonts w:hint="eastAsia"/>
                <w:color w:val="auto"/>
                <w:lang w:val="en-US" w:eastAsia="zh-CN"/>
              </w:rPr>
              <w:t xml:space="preserve">4-5 </w:t>
            </w:r>
            <w:r>
              <w:rPr>
                <w:rFonts w:hint="eastAsia"/>
                <w:color w:val="auto"/>
              </w:rPr>
              <w:t xml:space="preserve"> </w:t>
            </w:r>
            <w:r>
              <w:rPr>
                <w:rFonts w:hint="eastAsia"/>
                <w:color w:val="auto"/>
                <w:lang w:val="en-US" w:eastAsia="zh-CN"/>
              </w:rPr>
              <w:t>天然气</w:t>
            </w:r>
            <w:r>
              <w:rPr>
                <w:rFonts w:hint="eastAsia"/>
                <w:color w:val="auto"/>
              </w:rPr>
              <w:t>工业炉窑的废气产排污系数</w:t>
            </w:r>
          </w:p>
          <w:tbl>
            <w:tblPr>
              <w:tblStyle w:val="5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625"/>
              <w:gridCol w:w="702"/>
              <w:gridCol w:w="601"/>
              <w:gridCol w:w="562"/>
              <w:gridCol w:w="909"/>
              <w:gridCol w:w="1084"/>
              <w:gridCol w:w="1135"/>
              <w:gridCol w:w="1181"/>
              <w:gridCol w:w="1169"/>
            </w:tblGrid>
            <w:tr w14:paraId="7EF0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6" w:type="pct"/>
                  <w:tcBorders>
                    <w:tl2br w:val="nil"/>
                    <w:tr2bl w:val="nil"/>
                  </w:tcBorders>
                  <w:noWrap w:val="0"/>
                  <w:vAlign w:val="center"/>
                </w:tcPr>
                <w:p w14:paraId="5049DD1D">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
                      <w:bCs w:val="0"/>
                      <w:color w:val="auto"/>
                      <w:sz w:val="21"/>
                      <w:szCs w:val="21"/>
                    </w:rPr>
                  </w:pPr>
                  <w:r>
                    <w:rPr>
                      <w:rFonts w:hint="default" w:ascii="Times New Roman" w:hAnsi="Times New Roman" w:cs="Times New Roman"/>
                      <w:b/>
                      <w:bCs w:val="0"/>
                      <w:color w:val="auto"/>
                      <w:sz w:val="21"/>
                      <w:szCs w:val="21"/>
                    </w:rPr>
                    <w:t>核算</w:t>
                  </w:r>
                </w:p>
                <w:p w14:paraId="5D6E5AE1">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
                      <w:bCs w:val="0"/>
                      <w:color w:val="auto"/>
                      <w:sz w:val="21"/>
                      <w:szCs w:val="21"/>
                    </w:rPr>
                  </w:pPr>
                  <w:r>
                    <w:rPr>
                      <w:rFonts w:hint="default" w:ascii="Times New Roman" w:hAnsi="Times New Roman" w:cs="Times New Roman"/>
                      <w:b/>
                      <w:bCs w:val="0"/>
                      <w:color w:val="auto"/>
                      <w:sz w:val="21"/>
                      <w:szCs w:val="21"/>
                    </w:rPr>
                    <w:t>环节</w:t>
                  </w:r>
                </w:p>
              </w:tc>
              <w:tc>
                <w:tcPr>
                  <w:tcW w:w="365" w:type="pct"/>
                  <w:tcBorders>
                    <w:tl2br w:val="nil"/>
                    <w:tr2bl w:val="nil"/>
                  </w:tcBorders>
                  <w:noWrap w:val="0"/>
                  <w:vAlign w:val="center"/>
                </w:tcPr>
                <w:p w14:paraId="38896D47">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
                      <w:bCs w:val="0"/>
                      <w:color w:val="auto"/>
                      <w:sz w:val="21"/>
                      <w:szCs w:val="21"/>
                    </w:rPr>
                  </w:pPr>
                  <w:r>
                    <w:rPr>
                      <w:rFonts w:hint="default" w:ascii="Times New Roman" w:hAnsi="Times New Roman" w:cs="Times New Roman"/>
                      <w:b/>
                      <w:bCs w:val="0"/>
                      <w:color w:val="auto"/>
                      <w:sz w:val="21"/>
                      <w:szCs w:val="21"/>
                    </w:rPr>
                    <w:t>产品</w:t>
                  </w:r>
                </w:p>
                <w:p w14:paraId="41F9E62C">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
                      <w:bCs w:val="0"/>
                      <w:color w:val="auto"/>
                      <w:sz w:val="21"/>
                      <w:szCs w:val="21"/>
                    </w:rPr>
                  </w:pPr>
                  <w:r>
                    <w:rPr>
                      <w:rFonts w:hint="default" w:ascii="Times New Roman" w:hAnsi="Times New Roman" w:cs="Times New Roman"/>
                      <w:b/>
                      <w:bCs w:val="0"/>
                      <w:color w:val="auto"/>
                      <w:sz w:val="21"/>
                      <w:szCs w:val="21"/>
                    </w:rPr>
                    <w:t>名称</w:t>
                  </w:r>
                </w:p>
              </w:tc>
              <w:tc>
                <w:tcPr>
                  <w:tcW w:w="410" w:type="pct"/>
                  <w:tcBorders>
                    <w:tl2br w:val="nil"/>
                    <w:tr2bl w:val="nil"/>
                  </w:tcBorders>
                  <w:noWrap w:val="0"/>
                  <w:vAlign w:val="center"/>
                </w:tcPr>
                <w:p w14:paraId="49FDD9A2">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
                      <w:bCs w:val="0"/>
                      <w:color w:val="auto"/>
                      <w:sz w:val="21"/>
                      <w:szCs w:val="21"/>
                    </w:rPr>
                  </w:pPr>
                  <w:r>
                    <w:rPr>
                      <w:rFonts w:hint="default" w:ascii="Times New Roman" w:hAnsi="Times New Roman" w:cs="Times New Roman"/>
                      <w:b/>
                      <w:bCs w:val="0"/>
                      <w:color w:val="auto"/>
                      <w:sz w:val="21"/>
                      <w:szCs w:val="21"/>
                    </w:rPr>
                    <w:t>燃料</w:t>
                  </w:r>
                </w:p>
                <w:p w14:paraId="2EAACB63">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
                      <w:bCs w:val="0"/>
                      <w:color w:val="auto"/>
                      <w:sz w:val="21"/>
                      <w:szCs w:val="21"/>
                    </w:rPr>
                  </w:pPr>
                  <w:r>
                    <w:rPr>
                      <w:rFonts w:hint="default" w:ascii="Times New Roman" w:hAnsi="Times New Roman" w:cs="Times New Roman"/>
                      <w:b/>
                      <w:bCs w:val="0"/>
                      <w:color w:val="auto"/>
                      <w:sz w:val="21"/>
                      <w:szCs w:val="21"/>
                    </w:rPr>
                    <w:t>名称</w:t>
                  </w:r>
                </w:p>
              </w:tc>
              <w:tc>
                <w:tcPr>
                  <w:tcW w:w="351" w:type="pct"/>
                  <w:tcBorders>
                    <w:tl2br w:val="nil"/>
                    <w:tr2bl w:val="nil"/>
                  </w:tcBorders>
                  <w:noWrap w:val="0"/>
                  <w:vAlign w:val="center"/>
                </w:tcPr>
                <w:p w14:paraId="05E18735">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
                      <w:bCs w:val="0"/>
                      <w:color w:val="auto"/>
                      <w:sz w:val="21"/>
                      <w:szCs w:val="21"/>
                    </w:rPr>
                  </w:pPr>
                  <w:r>
                    <w:rPr>
                      <w:rFonts w:hint="default" w:ascii="Times New Roman" w:hAnsi="Times New Roman" w:cs="Times New Roman"/>
                      <w:b/>
                      <w:bCs w:val="0"/>
                      <w:color w:val="auto"/>
                      <w:sz w:val="21"/>
                      <w:szCs w:val="21"/>
                    </w:rPr>
                    <w:t>工艺</w:t>
                  </w:r>
                </w:p>
                <w:p w14:paraId="7D753E52">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
                      <w:bCs w:val="0"/>
                      <w:color w:val="auto"/>
                      <w:sz w:val="21"/>
                      <w:szCs w:val="21"/>
                    </w:rPr>
                  </w:pPr>
                  <w:r>
                    <w:rPr>
                      <w:rFonts w:hint="default" w:ascii="Times New Roman" w:hAnsi="Times New Roman" w:cs="Times New Roman"/>
                      <w:b/>
                      <w:bCs w:val="0"/>
                      <w:color w:val="auto"/>
                      <w:sz w:val="21"/>
                      <w:szCs w:val="21"/>
                    </w:rPr>
                    <w:t>名称</w:t>
                  </w:r>
                </w:p>
              </w:tc>
              <w:tc>
                <w:tcPr>
                  <w:tcW w:w="328" w:type="pct"/>
                  <w:tcBorders>
                    <w:tl2br w:val="nil"/>
                    <w:tr2bl w:val="nil"/>
                  </w:tcBorders>
                  <w:noWrap w:val="0"/>
                  <w:vAlign w:val="center"/>
                </w:tcPr>
                <w:p w14:paraId="45190B54">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
                      <w:bCs w:val="0"/>
                      <w:color w:val="auto"/>
                      <w:sz w:val="21"/>
                      <w:szCs w:val="21"/>
                    </w:rPr>
                  </w:pPr>
                  <w:r>
                    <w:rPr>
                      <w:rFonts w:hint="default" w:ascii="Times New Roman" w:hAnsi="Times New Roman" w:cs="Times New Roman"/>
                      <w:b/>
                      <w:bCs w:val="0"/>
                      <w:color w:val="auto"/>
                      <w:sz w:val="21"/>
                      <w:szCs w:val="21"/>
                    </w:rPr>
                    <w:t>规模</w:t>
                  </w:r>
                </w:p>
                <w:p w14:paraId="00F2AD0E">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
                      <w:bCs w:val="0"/>
                      <w:color w:val="auto"/>
                      <w:sz w:val="21"/>
                      <w:szCs w:val="21"/>
                    </w:rPr>
                  </w:pPr>
                  <w:r>
                    <w:rPr>
                      <w:rFonts w:hint="default" w:ascii="Times New Roman" w:hAnsi="Times New Roman" w:cs="Times New Roman"/>
                      <w:b/>
                      <w:bCs w:val="0"/>
                      <w:color w:val="auto"/>
                      <w:sz w:val="21"/>
                      <w:szCs w:val="21"/>
                    </w:rPr>
                    <w:t>等级</w:t>
                  </w:r>
                </w:p>
              </w:tc>
              <w:tc>
                <w:tcPr>
                  <w:tcW w:w="531" w:type="pct"/>
                  <w:tcBorders>
                    <w:tl2br w:val="nil"/>
                    <w:tr2bl w:val="nil"/>
                  </w:tcBorders>
                  <w:noWrap w:val="0"/>
                  <w:vAlign w:val="center"/>
                </w:tcPr>
                <w:p w14:paraId="5DD84D3D">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
                      <w:bCs w:val="0"/>
                      <w:color w:val="auto"/>
                      <w:sz w:val="21"/>
                      <w:szCs w:val="21"/>
                    </w:rPr>
                  </w:pPr>
                  <w:r>
                    <w:rPr>
                      <w:rFonts w:hint="default" w:ascii="Times New Roman" w:hAnsi="Times New Roman" w:cs="Times New Roman"/>
                      <w:b/>
                      <w:bCs w:val="0"/>
                      <w:color w:val="auto"/>
                      <w:sz w:val="21"/>
                      <w:szCs w:val="21"/>
                    </w:rPr>
                    <w:t>污染物指标</w:t>
                  </w:r>
                </w:p>
              </w:tc>
              <w:tc>
                <w:tcPr>
                  <w:tcW w:w="633" w:type="pct"/>
                  <w:tcBorders>
                    <w:tl2br w:val="nil"/>
                    <w:tr2bl w:val="nil"/>
                  </w:tcBorders>
                  <w:noWrap w:val="0"/>
                  <w:vAlign w:val="center"/>
                </w:tcPr>
                <w:p w14:paraId="61F80153">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
                      <w:bCs w:val="0"/>
                      <w:color w:val="auto"/>
                      <w:sz w:val="21"/>
                      <w:szCs w:val="21"/>
                    </w:rPr>
                  </w:pPr>
                  <w:r>
                    <w:rPr>
                      <w:rFonts w:hint="default" w:ascii="Times New Roman" w:hAnsi="Times New Roman" w:cs="Times New Roman"/>
                      <w:b/>
                      <w:bCs w:val="0"/>
                      <w:color w:val="auto"/>
                      <w:sz w:val="21"/>
                      <w:szCs w:val="21"/>
                    </w:rPr>
                    <w:t>单位</w:t>
                  </w:r>
                </w:p>
              </w:tc>
              <w:tc>
                <w:tcPr>
                  <w:tcW w:w="663" w:type="pct"/>
                  <w:tcBorders>
                    <w:tl2br w:val="nil"/>
                    <w:tr2bl w:val="nil"/>
                  </w:tcBorders>
                  <w:noWrap w:val="0"/>
                  <w:vAlign w:val="center"/>
                </w:tcPr>
                <w:p w14:paraId="29C79CBD">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05" w:leftChars="-50" w:right="-63" w:rightChars="-30" w:firstLine="0" w:firstLineChars="0"/>
                    <w:jc w:val="center"/>
                    <w:textAlignment w:val="auto"/>
                    <w:rPr>
                      <w:rFonts w:hint="default" w:ascii="Times New Roman" w:hAnsi="Times New Roman" w:cs="Times New Roman"/>
                      <w:b/>
                      <w:bCs w:val="0"/>
                      <w:color w:val="auto"/>
                      <w:sz w:val="21"/>
                      <w:szCs w:val="21"/>
                    </w:rPr>
                  </w:pPr>
                  <w:r>
                    <w:rPr>
                      <w:rFonts w:hint="default" w:ascii="Times New Roman" w:hAnsi="Times New Roman" w:cs="Times New Roman"/>
                      <w:b/>
                      <w:bCs w:val="0"/>
                      <w:color w:val="auto"/>
                      <w:sz w:val="21"/>
                      <w:szCs w:val="21"/>
                    </w:rPr>
                    <w:t>产污系数</w:t>
                  </w:r>
                </w:p>
              </w:tc>
              <w:tc>
                <w:tcPr>
                  <w:tcW w:w="690" w:type="pct"/>
                  <w:tcBorders>
                    <w:tl2br w:val="nil"/>
                    <w:tr2bl w:val="nil"/>
                  </w:tcBorders>
                  <w:noWrap w:val="0"/>
                  <w:vAlign w:val="center"/>
                </w:tcPr>
                <w:p w14:paraId="16D4BE5E">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05" w:leftChars="-50" w:right="-63" w:rightChars="-30" w:firstLine="0" w:firstLineChars="0"/>
                    <w:jc w:val="center"/>
                    <w:textAlignment w:val="auto"/>
                    <w:rPr>
                      <w:rFonts w:hint="default" w:ascii="Times New Roman" w:hAnsi="Times New Roman" w:cs="Times New Roman"/>
                      <w:b/>
                      <w:bCs w:val="0"/>
                      <w:color w:val="auto"/>
                      <w:sz w:val="21"/>
                      <w:szCs w:val="21"/>
                    </w:rPr>
                  </w:pPr>
                  <w:r>
                    <w:rPr>
                      <w:rFonts w:hint="default" w:ascii="Times New Roman" w:hAnsi="Times New Roman" w:cs="Times New Roman"/>
                      <w:b/>
                      <w:bCs w:val="0"/>
                      <w:color w:val="auto"/>
                      <w:sz w:val="21"/>
                      <w:szCs w:val="21"/>
                    </w:rPr>
                    <w:t>末端治理技术名称</w:t>
                  </w:r>
                </w:p>
              </w:tc>
              <w:tc>
                <w:tcPr>
                  <w:tcW w:w="678" w:type="pct"/>
                  <w:tcBorders>
                    <w:tl2br w:val="nil"/>
                    <w:tr2bl w:val="nil"/>
                  </w:tcBorders>
                  <w:noWrap w:val="0"/>
                  <w:vAlign w:val="center"/>
                </w:tcPr>
                <w:p w14:paraId="60E1BA70">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
                      <w:bCs w:val="0"/>
                      <w:color w:val="auto"/>
                      <w:sz w:val="21"/>
                      <w:szCs w:val="21"/>
                    </w:rPr>
                  </w:pPr>
                  <w:r>
                    <w:rPr>
                      <w:rFonts w:hint="default" w:ascii="Times New Roman" w:hAnsi="Times New Roman" w:cs="Times New Roman"/>
                      <w:b/>
                      <w:bCs w:val="0"/>
                      <w:color w:val="auto"/>
                      <w:sz w:val="21"/>
                      <w:szCs w:val="21"/>
                    </w:rPr>
                    <w:t>末端治理技术效率（%）</w:t>
                  </w:r>
                </w:p>
              </w:tc>
            </w:tr>
            <w:tr w14:paraId="4DE9C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46" w:type="pct"/>
                  <w:vMerge w:val="restart"/>
                  <w:tcBorders>
                    <w:tl2br w:val="nil"/>
                    <w:tr2bl w:val="nil"/>
                  </w:tcBorders>
                  <w:noWrap w:val="0"/>
                  <w:vAlign w:val="center"/>
                </w:tcPr>
                <w:p w14:paraId="50E4D8F6">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热处理</w:t>
                  </w:r>
                </w:p>
              </w:tc>
              <w:tc>
                <w:tcPr>
                  <w:tcW w:w="365" w:type="pct"/>
                  <w:vMerge w:val="restart"/>
                  <w:tcBorders>
                    <w:tl2br w:val="nil"/>
                    <w:tr2bl w:val="nil"/>
                  </w:tcBorders>
                  <w:noWrap w:val="0"/>
                  <w:vAlign w:val="center"/>
                </w:tcPr>
                <w:p w14:paraId="4B3E5210">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eastAsia="宋体" w:cs="Times New Roman"/>
                      <w:bCs/>
                      <w:color w:val="auto"/>
                      <w:sz w:val="21"/>
                      <w:szCs w:val="21"/>
                      <w:lang w:eastAsia="zh-CN"/>
                    </w:rPr>
                  </w:pPr>
                  <w:r>
                    <w:rPr>
                      <w:rFonts w:hint="default" w:ascii="Times New Roman" w:hAnsi="Times New Roman" w:cs="Times New Roman"/>
                      <w:bCs/>
                      <w:color w:val="auto"/>
                      <w:sz w:val="21"/>
                      <w:szCs w:val="21"/>
                      <w:lang w:val="en-US" w:eastAsia="zh-CN"/>
                    </w:rPr>
                    <w:t>热处理件</w:t>
                  </w:r>
                </w:p>
              </w:tc>
              <w:tc>
                <w:tcPr>
                  <w:tcW w:w="410" w:type="pct"/>
                  <w:vMerge w:val="restart"/>
                  <w:tcBorders>
                    <w:tl2br w:val="nil"/>
                    <w:tr2bl w:val="nil"/>
                  </w:tcBorders>
                  <w:noWrap w:val="0"/>
                  <w:vAlign w:val="center"/>
                </w:tcPr>
                <w:p w14:paraId="616B79A4">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天然气</w:t>
                  </w:r>
                </w:p>
              </w:tc>
              <w:tc>
                <w:tcPr>
                  <w:tcW w:w="351" w:type="pct"/>
                  <w:vMerge w:val="restart"/>
                  <w:tcBorders>
                    <w:tl2br w:val="nil"/>
                    <w:tr2bl w:val="nil"/>
                  </w:tcBorders>
                  <w:noWrap w:val="0"/>
                  <w:vAlign w:val="center"/>
                </w:tcPr>
                <w:p w14:paraId="58E8F00D">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lang w:val="en-US"/>
                    </w:rPr>
                  </w:pPr>
                  <w:r>
                    <w:rPr>
                      <w:rFonts w:hint="default" w:ascii="Times New Roman" w:hAnsi="Times New Roman" w:cs="Times New Roman"/>
                      <w:bCs/>
                      <w:color w:val="auto"/>
                      <w:sz w:val="21"/>
                      <w:szCs w:val="21"/>
                      <w:lang w:val="en-US" w:eastAsia="zh-CN"/>
                    </w:rPr>
                    <w:t>整体热处理</w:t>
                  </w:r>
                </w:p>
              </w:tc>
              <w:tc>
                <w:tcPr>
                  <w:tcW w:w="328" w:type="pct"/>
                  <w:vMerge w:val="restart"/>
                  <w:tcBorders>
                    <w:tl2br w:val="nil"/>
                    <w:tr2bl w:val="nil"/>
                  </w:tcBorders>
                  <w:noWrap w:val="0"/>
                  <w:vAlign w:val="center"/>
                </w:tcPr>
                <w:p w14:paraId="1A2EB7A4">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所有规模</w:t>
                  </w:r>
                </w:p>
              </w:tc>
              <w:tc>
                <w:tcPr>
                  <w:tcW w:w="531" w:type="pct"/>
                  <w:tcBorders>
                    <w:tl2br w:val="nil"/>
                    <w:tr2bl w:val="nil"/>
                  </w:tcBorders>
                  <w:noWrap w:val="0"/>
                  <w:vAlign w:val="center"/>
                </w:tcPr>
                <w:p w14:paraId="12EDB05D">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工业废气量</w:t>
                  </w:r>
                </w:p>
              </w:tc>
              <w:tc>
                <w:tcPr>
                  <w:tcW w:w="633" w:type="pct"/>
                  <w:tcBorders>
                    <w:tl2br w:val="nil"/>
                    <w:tr2bl w:val="nil"/>
                  </w:tcBorders>
                  <w:noWrap w:val="0"/>
                  <w:vAlign w:val="center"/>
                </w:tcPr>
                <w:p w14:paraId="4F82AC38">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立方米/立方米-原料</w:t>
                  </w:r>
                </w:p>
              </w:tc>
              <w:tc>
                <w:tcPr>
                  <w:tcW w:w="663" w:type="pct"/>
                  <w:tcBorders>
                    <w:tl2br w:val="nil"/>
                    <w:tr2bl w:val="nil"/>
                  </w:tcBorders>
                  <w:noWrap w:val="0"/>
                  <w:vAlign w:val="center"/>
                </w:tcPr>
                <w:p w14:paraId="692CF5D6">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05" w:leftChars="-50" w:right="-63" w:rightChars="-30"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13.6</w:t>
                  </w:r>
                </w:p>
              </w:tc>
              <w:tc>
                <w:tcPr>
                  <w:tcW w:w="690" w:type="pct"/>
                  <w:tcBorders>
                    <w:tl2br w:val="nil"/>
                    <w:tr2bl w:val="nil"/>
                  </w:tcBorders>
                  <w:noWrap w:val="0"/>
                  <w:vAlign w:val="center"/>
                </w:tcPr>
                <w:p w14:paraId="37DDF445">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05" w:leftChars="-50" w:right="-63" w:rightChars="-30" w:firstLine="0" w:firstLineChars="0"/>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w:t>
                  </w:r>
                </w:p>
              </w:tc>
              <w:tc>
                <w:tcPr>
                  <w:tcW w:w="678" w:type="pct"/>
                  <w:tcBorders>
                    <w:tl2br w:val="nil"/>
                    <w:tr2bl w:val="nil"/>
                  </w:tcBorders>
                  <w:noWrap w:val="0"/>
                  <w:vAlign w:val="center"/>
                </w:tcPr>
                <w:p w14:paraId="43F991D0">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05" w:leftChars="-50" w:right="-63" w:rightChars="-30" w:firstLine="0" w:firstLineChars="0"/>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w:t>
                  </w:r>
                </w:p>
              </w:tc>
            </w:tr>
            <w:tr w14:paraId="1A46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46" w:type="pct"/>
                  <w:vMerge w:val="continue"/>
                  <w:tcBorders>
                    <w:tl2br w:val="nil"/>
                    <w:tr2bl w:val="nil"/>
                  </w:tcBorders>
                  <w:noWrap w:val="0"/>
                  <w:vAlign w:val="center"/>
                </w:tcPr>
                <w:p w14:paraId="5B465AD4">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rPr>
                  </w:pPr>
                </w:p>
              </w:tc>
              <w:tc>
                <w:tcPr>
                  <w:tcW w:w="365" w:type="pct"/>
                  <w:vMerge w:val="continue"/>
                  <w:tcBorders>
                    <w:tl2br w:val="nil"/>
                    <w:tr2bl w:val="nil"/>
                  </w:tcBorders>
                  <w:noWrap w:val="0"/>
                  <w:vAlign w:val="center"/>
                </w:tcPr>
                <w:p w14:paraId="2B314A9E">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rPr>
                  </w:pPr>
                </w:p>
              </w:tc>
              <w:tc>
                <w:tcPr>
                  <w:tcW w:w="410" w:type="pct"/>
                  <w:vMerge w:val="continue"/>
                  <w:tcBorders>
                    <w:tl2br w:val="nil"/>
                    <w:tr2bl w:val="nil"/>
                  </w:tcBorders>
                  <w:noWrap w:val="0"/>
                  <w:vAlign w:val="center"/>
                </w:tcPr>
                <w:p w14:paraId="2100AC43">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rPr>
                  </w:pPr>
                </w:p>
              </w:tc>
              <w:tc>
                <w:tcPr>
                  <w:tcW w:w="351" w:type="pct"/>
                  <w:vMerge w:val="continue"/>
                  <w:tcBorders>
                    <w:tl2br w:val="nil"/>
                    <w:tr2bl w:val="nil"/>
                  </w:tcBorders>
                  <w:noWrap w:val="0"/>
                  <w:vAlign w:val="center"/>
                </w:tcPr>
                <w:p w14:paraId="75B151A0">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rPr>
                  </w:pPr>
                </w:p>
              </w:tc>
              <w:tc>
                <w:tcPr>
                  <w:tcW w:w="328" w:type="pct"/>
                  <w:vMerge w:val="continue"/>
                  <w:tcBorders>
                    <w:tl2br w:val="nil"/>
                    <w:tr2bl w:val="nil"/>
                  </w:tcBorders>
                  <w:noWrap w:val="0"/>
                  <w:vAlign w:val="center"/>
                </w:tcPr>
                <w:p w14:paraId="2A4F9564">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rPr>
                  </w:pPr>
                </w:p>
              </w:tc>
              <w:tc>
                <w:tcPr>
                  <w:tcW w:w="531" w:type="pct"/>
                  <w:tcBorders>
                    <w:tl2br w:val="nil"/>
                    <w:tr2bl w:val="nil"/>
                  </w:tcBorders>
                  <w:noWrap w:val="0"/>
                  <w:vAlign w:val="center"/>
                </w:tcPr>
                <w:p w14:paraId="5F4474AB">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颗粒物</w:t>
                  </w:r>
                </w:p>
              </w:tc>
              <w:tc>
                <w:tcPr>
                  <w:tcW w:w="633" w:type="pct"/>
                  <w:vMerge w:val="restart"/>
                  <w:tcBorders>
                    <w:tl2br w:val="nil"/>
                    <w:tr2bl w:val="nil"/>
                  </w:tcBorders>
                  <w:noWrap w:val="0"/>
                  <w:vAlign w:val="center"/>
                </w:tcPr>
                <w:p w14:paraId="54FA41F8">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千克/立方米-燃料</w:t>
                  </w:r>
                </w:p>
              </w:tc>
              <w:tc>
                <w:tcPr>
                  <w:tcW w:w="663" w:type="pct"/>
                  <w:tcBorders>
                    <w:tl2br w:val="nil"/>
                    <w:tr2bl w:val="nil"/>
                  </w:tcBorders>
                  <w:noWrap w:val="0"/>
                  <w:vAlign w:val="center"/>
                </w:tcPr>
                <w:p w14:paraId="59B5ABBF">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05" w:leftChars="-50" w:right="-63" w:rightChars="-30"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rPr>
                    <w:t>0.0002</w:t>
                  </w:r>
                  <w:r>
                    <w:rPr>
                      <w:rFonts w:hint="eastAsia" w:ascii="Times New Roman" w:hAnsi="Times New Roman" w:cs="Times New Roman"/>
                      <w:bCs/>
                      <w:color w:val="auto"/>
                      <w:sz w:val="21"/>
                      <w:szCs w:val="21"/>
                      <w:lang w:val="en-US" w:eastAsia="zh-CN"/>
                    </w:rPr>
                    <w:t>86</w:t>
                  </w:r>
                </w:p>
              </w:tc>
              <w:tc>
                <w:tcPr>
                  <w:tcW w:w="690" w:type="pct"/>
                  <w:tcBorders>
                    <w:tl2br w:val="nil"/>
                    <w:tr2bl w:val="nil"/>
                  </w:tcBorders>
                  <w:noWrap w:val="0"/>
                  <w:vAlign w:val="center"/>
                </w:tcPr>
                <w:p w14:paraId="55446479">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05" w:leftChars="-50" w:right="-63" w:rightChars="-30" w:firstLine="0" w:firstLineChars="0"/>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直排</w:t>
                  </w:r>
                </w:p>
              </w:tc>
              <w:tc>
                <w:tcPr>
                  <w:tcW w:w="678" w:type="pct"/>
                  <w:tcBorders>
                    <w:tl2br w:val="nil"/>
                    <w:tr2bl w:val="nil"/>
                  </w:tcBorders>
                  <w:noWrap w:val="0"/>
                  <w:vAlign w:val="center"/>
                </w:tcPr>
                <w:p w14:paraId="106657AB">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05" w:leftChars="-50" w:right="-63" w:rightChars="-30" w:firstLine="0" w:firstLineChars="0"/>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0</w:t>
                  </w:r>
                </w:p>
              </w:tc>
            </w:tr>
            <w:tr w14:paraId="6729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46" w:type="pct"/>
                  <w:vMerge w:val="continue"/>
                  <w:tcBorders>
                    <w:tl2br w:val="nil"/>
                    <w:tr2bl w:val="nil"/>
                  </w:tcBorders>
                  <w:noWrap w:val="0"/>
                  <w:vAlign w:val="center"/>
                </w:tcPr>
                <w:p w14:paraId="3048A334">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rPr>
                  </w:pPr>
                </w:p>
              </w:tc>
              <w:tc>
                <w:tcPr>
                  <w:tcW w:w="365" w:type="pct"/>
                  <w:vMerge w:val="continue"/>
                  <w:tcBorders>
                    <w:tl2br w:val="nil"/>
                    <w:tr2bl w:val="nil"/>
                  </w:tcBorders>
                  <w:noWrap w:val="0"/>
                  <w:vAlign w:val="center"/>
                </w:tcPr>
                <w:p w14:paraId="6DF30667">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rPr>
                  </w:pPr>
                </w:p>
              </w:tc>
              <w:tc>
                <w:tcPr>
                  <w:tcW w:w="410" w:type="pct"/>
                  <w:vMerge w:val="continue"/>
                  <w:tcBorders>
                    <w:tl2br w:val="nil"/>
                    <w:tr2bl w:val="nil"/>
                  </w:tcBorders>
                  <w:noWrap w:val="0"/>
                  <w:vAlign w:val="center"/>
                </w:tcPr>
                <w:p w14:paraId="17B3EC54">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rPr>
                  </w:pPr>
                </w:p>
              </w:tc>
              <w:tc>
                <w:tcPr>
                  <w:tcW w:w="351" w:type="pct"/>
                  <w:vMerge w:val="continue"/>
                  <w:tcBorders>
                    <w:tl2br w:val="nil"/>
                    <w:tr2bl w:val="nil"/>
                  </w:tcBorders>
                  <w:noWrap w:val="0"/>
                  <w:vAlign w:val="center"/>
                </w:tcPr>
                <w:p w14:paraId="53458698">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rPr>
                  </w:pPr>
                </w:p>
              </w:tc>
              <w:tc>
                <w:tcPr>
                  <w:tcW w:w="328" w:type="pct"/>
                  <w:vMerge w:val="continue"/>
                  <w:tcBorders>
                    <w:tl2br w:val="nil"/>
                    <w:tr2bl w:val="nil"/>
                  </w:tcBorders>
                  <w:noWrap w:val="0"/>
                  <w:vAlign w:val="center"/>
                </w:tcPr>
                <w:p w14:paraId="43BBF147">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rPr>
                  </w:pPr>
                </w:p>
              </w:tc>
              <w:tc>
                <w:tcPr>
                  <w:tcW w:w="531" w:type="pct"/>
                  <w:tcBorders>
                    <w:tl2br w:val="nil"/>
                    <w:tr2bl w:val="nil"/>
                  </w:tcBorders>
                  <w:noWrap w:val="0"/>
                  <w:vAlign w:val="center"/>
                </w:tcPr>
                <w:p w14:paraId="0ACB3B33">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SO</w:t>
                  </w:r>
                  <w:r>
                    <w:rPr>
                      <w:rFonts w:hint="default" w:ascii="Times New Roman" w:hAnsi="Times New Roman" w:cs="Times New Roman"/>
                      <w:bCs/>
                      <w:color w:val="auto"/>
                      <w:sz w:val="21"/>
                      <w:szCs w:val="21"/>
                      <w:vertAlign w:val="subscript"/>
                    </w:rPr>
                    <w:t>2</w:t>
                  </w:r>
                </w:p>
              </w:tc>
              <w:tc>
                <w:tcPr>
                  <w:tcW w:w="633" w:type="pct"/>
                  <w:vMerge w:val="continue"/>
                  <w:tcBorders>
                    <w:tl2br w:val="nil"/>
                    <w:tr2bl w:val="nil"/>
                  </w:tcBorders>
                  <w:noWrap w:val="0"/>
                  <w:vAlign w:val="center"/>
                </w:tcPr>
                <w:p w14:paraId="48C190FE">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rPr>
                  </w:pPr>
                </w:p>
              </w:tc>
              <w:tc>
                <w:tcPr>
                  <w:tcW w:w="663" w:type="pct"/>
                  <w:tcBorders>
                    <w:tl2br w:val="nil"/>
                    <w:tr2bl w:val="nil"/>
                  </w:tcBorders>
                  <w:noWrap w:val="0"/>
                  <w:vAlign w:val="center"/>
                </w:tcPr>
                <w:p w14:paraId="61D3B1D5">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05" w:leftChars="-50" w:right="-63" w:rightChars="-30" w:firstLine="0" w:firstLineChars="0"/>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0.000002S</w:t>
                  </w:r>
                </w:p>
              </w:tc>
              <w:tc>
                <w:tcPr>
                  <w:tcW w:w="690" w:type="pct"/>
                  <w:tcBorders>
                    <w:tl2br w:val="nil"/>
                    <w:tr2bl w:val="nil"/>
                  </w:tcBorders>
                  <w:noWrap w:val="0"/>
                  <w:vAlign w:val="center"/>
                </w:tcPr>
                <w:p w14:paraId="49808CEF">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05" w:leftChars="-50" w:right="-63" w:rightChars="-30" w:firstLine="0" w:firstLineChars="0"/>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直排</w:t>
                  </w:r>
                </w:p>
              </w:tc>
              <w:tc>
                <w:tcPr>
                  <w:tcW w:w="678" w:type="pct"/>
                  <w:tcBorders>
                    <w:tl2br w:val="nil"/>
                    <w:tr2bl w:val="nil"/>
                  </w:tcBorders>
                  <w:noWrap w:val="0"/>
                  <w:vAlign w:val="center"/>
                </w:tcPr>
                <w:p w14:paraId="2784AEE2">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05" w:leftChars="-50" w:right="-63" w:rightChars="-30" w:firstLine="0" w:firstLineChars="0"/>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0</w:t>
                  </w:r>
                </w:p>
              </w:tc>
            </w:tr>
            <w:tr w14:paraId="4FC7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46" w:type="pct"/>
                  <w:vMerge w:val="continue"/>
                  <w:tcBorders>
                    <w:tl2br w:val="nil"/>
                    <w:tr2bl w:val="nil"/>
                  </w:tcBorders>
                  <w:noWrap w:val="0"/>
                  <w:vAlign w:val="center"/>
                </w:tcPr>
                <w:p w14:paraId="2CF95D14">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rPr>
                  </w:pPr>
                </w:p>
              </w:tc>
              <w:tc>
                <w:tcPr>
                  <w:tcW w:w="365" w:type="pct"/>
                  <w:vMerge w:val="continue"/>
                  <w:tcBorders>
                    <w:tl2br w:val="nil"/>
                    <w:tr2bl w:val="nil"/>
                  </w:tcBorders>
                  <w:noWrap w:val="0"/>
                  <w:vAlign w:val="center"/>
                </w:tcPr>
                <w:p w14:paraId="27F815EE">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rPr>
                  </w:pPr>
                </w:p>
              </w:tc>
              <w:tc>
                <w:tcPr>
                  <w:tcW w:w="410" w:type="pct"/>
                  <w:vMerge w:val="continue"/>
                  <w:tcBorders>
                    <w:tl2br w:val="nil"/>
                    <w:tr2bl w:val="nil"/>
                  </w:tcBorders>
                  <w:noWrap w:val="0"/>
                  <w:vAlign w:val="center"/>
                </w:tcPr>
                <w:p w14:paraId="71A468D5">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rPr>
                  </w:pPr>
                </w:p>
              </w:tc>
              <w:tc>
                <w:tcPr>
                  <w:tcW w:w="351" w:type="pct"/>
                  <w:vMerge w:val="continue"/>
                  <w:tcBorders>
                    <w:tl2br w:val="nil"/>
                    <w:tr2bl w:val="nil"/>
                  </w:tcBorders>
                  <w:noWrap w:val="0"/>
                  <w:vAlign w:val="center"/>
                </w:tcPr>
                <w:p w14:paraId="458B5585">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rPr>
                  </w:pPr>
                </w:p>
              </w:tc>
              <w:tc>
                <w:tcPr>
                  <w:tcW w:w="328" w:type="pct"/>
                  <w:vMerge w:val="continue"/>
                  <w:tcBorders>
                    <w:tl2br w:val="nil"/>
                    <w:tr2bl w:val="nil"/>
                  </w:tcBorders>
                  <w:noWrap w:val="0"/>
                  <w:vAlign w:val="center"/>
                </w:tcPr>
                <w:p w14:paraId="0C197B0F">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rPr>
                  </w:pPr>
                </w:p>
              </w:tc>
              <w:tc>
                <w:tcPr>
                  <w:tcW w:w="531" w:type="pct"/>
                  <w:tcBorders>
                    <w:tl2br w:val="nil"/>
                    <w:tr2bl w:val="nil"/>
                  </w:tcBorders>
                  <w:noWrap w:val="0"/>
                  <w:vAlign w:val="center"/>
                </w:tcPr>
                <w:p w14:paraId="25086845">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NO</w:t>
                  </w:r>
                  <w:r>
                    <w:rPr>
                      <w:rFonts w:hint="default" w:ascii="Times New Roman" w:hAnsi="Times New Roman" w:cs="Times New Roman"/>
                      <w:bCs/>
                      <w:color w:val="auto"/>
                      <w:sz w:val="21"/>
                      <w:szCs w:val="21"/>
                      <w:vertAlign w:val="subscript"/>
                    </w:rPr>
                    <w:t>X</w:t>
                  </w:r>
                </w:p>
              </w:tc>
              <w:tc>
                <w:tcPr>
                  <w:tcW w:w="633" w:type="pct"/>
                  <w:vMerge w:val="continue"/>
                  <w:tcBorders>
                    <w:tl2br w:val="nil"/>
                    <w:tr2bl w:val="nil"/>
                  </w:tcBorders>
                  <w:noWrap w:val="0"/>
                  <w:vAlign w:val="center"/>
                </w:tcPr>
                <w:p w14:paraId="7A8F4E0F">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Cs/>
                      <w:color w:val="auto"/>
                      <w:sz w:val="21"/>
                      <w:szCs w:val="21"/>
                    </w:rPr>
                  </w:pPr>
                </w:p>
              </w:tc>
              <w:tc>
                <w:tcPr>
                  <w:tcW w:w="663" w:type="pct"/>
                  <w:tcBorders>
                    <w:tl2br w:val="nil"/>
                    <w:tr2bl w:val="nil"/>
                  </w:tcBorders>
                  <w:noWrap w:val="0"/>
                  <w:vAlign w:val="center"/>
                </w:tcPr>
                <w:p w14:paraId="0C6DEC66">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05" w:leftChars="-50" w:right="-63" w:rightChars="-30"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rPr>
                    <w:t>0.00</w:t>
                  </w:r>
                  <w:r>
                    <w:rPr>
                      <w:rFonts w:hint="eastAsia" w:ascii="Times New Roman" w:hAnsi="Times New Roman" w:cs="Times New Roman"/>
                      <w:bCs/>
                      <w:color w:val="auto"/>
                      <w:sz w:val="21"/>
                      <w:szCs w:val="21"/>
                      <w:lang w:val="en-US" w:eastAsia="zh-CN"/>
                    </w:rPr>
                    <w:t>187</w:t>
                  </w:r>
                </w:p>
              </w:tc>
              <w:tc>
                <w:tcPr>
                  <w:tcW w:w="690" w:type="pct"/>
                  <w:tcBorders>
                    <w:tl2br w:val="nil"/>
                    <w:tr2bl w:val="nil"/>
                  </w:tcBorders>
                  <w:noWrap w:val="0"/>
                  <w:vAlign w:val="center"/>
                </w:tcPr>
                <w:p w14:paraId="34E5CBFF">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05" w:leftChars="-50" w:right="-63" w:rightChars="-30"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FGR低氮燃烧器技术</w:t>
                  </w:r>
                </w:p>
              </w:tc>
              <w:tc>
                <w:tcPr>
                  <w:tcW w:w="678" w:type="pct"/>
                  <w:tcBorders>
                    <w:tl2br w:val="nil"/>
                    <w:tr2bl w:val="nil"/>
                  </w:tcBorders>
                  <w:noWrap w:val="0"/>
                  <w:vAlign w:val="center"/>
                </w:tcPr>
                <w:p w14:paraId="13114855">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05" w:leftChars="-50" w:right="-63" w:rightChars="-30"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75</w:t>
                  </w:r>
                </w:p>
              </w:tc>
            </w:tr>
            <w:tr w14:paraId="267C5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000" w:type="pct"/>
                  <w:gridSpan w:val="10"/>
                  <w:tcBorders>
                    <w:tl2br w:val="nil"/>
                    <w:tr2bl w:val="nil"/>
                  </w:tcBorders>
                  <w:noWrap w:val="0"/>
                  <w:vAlign w:val="center"/>
                </w:tcPr>
                <w:p w14:paraId="586F8258">
                  <w:pPr>
                    <w:pStyle w:val="2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bCs/>
                      <w:color w:val="auto"/>
                      <w:sz w:val="21"/>
                      <w:szCs w:val="21"/>
                      <w:lang w:eastAsia="zh-CN"/>
                    </w:rPr>
                  </w:pPr>
                  <w:r>
                    <w:rPr>
                      <w:rFonts w:hint="default" w:ascii="Times New Roman" w:hAnsi="Times New Roman" w:cs="Times New Roman"/>
                      <w:bCs/>
                      <w:color w:val="auto"/>
                      <w:sz w:val="21"/>
                      <w:szCs w:val="21"/>
                    </w:rPr>
                    <w:t>注：1、产排污系数表中二氧化硫的产排污系数是以含硫量（S）的形式表示的，其中含硫量（S）是指燃气收到基硫分含量，单位为毫克/立方米；</w:t>
                  </w:r>
                  <w:r>
                    <w:rPr>
                      <w:rFonts w:hint="default" w:ascii="Times New Roman" w:hAnsi="Times New Roman" w:cs="Times New Roman"/>
                      <w:color w:val="auto"/>
                      <w:sz w:val="21"/>
                      <w:szCs w:val="21"/>
                      <w:highlight w:val="none"/>
                    </w:rPr>
                    <w:t>根据《天然气》（GB 17820-2018，2019年6月1日起施行），项目天然气满足二类气标准，总硫（以硫计）含量≤100mg/m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，即S=100</w:t>
                  </w:r>
                  <w:r>
                    <w:rPr>
                      <w:rFonts w:hint="default" w:ascii="Times New Roman" w:hAnsi="Times New Roman" w:cs="Times New Roman"/>
                      <w:color w:val="auto"/>
                      <w:spacing w:val="-4"/>
                      <w:sz w:val="21"/>
                      <w:szCs w:val="21"/>
                    </w:rPr>
                    <w:t>。</w:t>
                  </w:r>
                </w:p>
              </w:tc>
            </w:tr>
          </w:tbl>
          <w:p w14:paraId="6B6A028C">
            <w:pPr>
              <w:pStyle w:val="62"/>
              <w:keepNext w:val="0"/>
              <w:keepLines w:val="0"/>
              <w:suppressLineNumbers w:val="0"/>
              <w:bidi w:val="0"/>
              <w:spacing w:before="0" w:beforeAutospacing="0" w:after="0" w:afterAutospacing="0"/>
              <w:ind w:left="0" w:right="0"/>
              <w:rPr>
                <w:rFonts w:hint="eastAsia" w:ascii="Times New Roman" w:hAnsi="Times New Roman" w:eastAsia="宋体" w:cs="Times New Roman"/>
                <w:color w:val="auto"/>
                <w:lang w:eastAsia="zh-CN"/>
              </w:rPr>
            </w:pPr>
            <w:r>
              <w:rPr>
                <w:rFonts w:hint="eastAsia" w:ascii="Times New Roman" w:hAnsi="Times New Roman" w:cs="Times New Roman"/>
                <w:color w:val="auto"/>
                <w:sz w:val="24"/>
                <w:szCs w:val="24"/>
                <w:lang w:val="en-US" w:eastAsia="zh-CN"/>
              </w:rPr>
              <w:t>天然</w:t>
            </w:r>
            <w:r>
              <w:rPr>
                <w:rFonts w:hint="eastAsia" w:ascii="Times New Roman" w:hAnsi="Times New Roman" w:eastAsia="宋体" w:cs="Times New Roman"/>
                <w:color w:val="auto"/>
                <w:sz w:val="24"/>
                <w:szCs w:val="24"/>
                <w:lang w:val="en-US" w:eastAsia="zh-CN"/>
              </w:rPr>
              <w:t>气燃烧废气</w:t>
            </w:r>
            <w:r>
              <w:rPr>
                <w:rFonts w:hint="eastAsia" w:ascii="Times New Roman" w:hAnsi="Times New Roman" w:eastAsia="宋体" w:cs="Times New Roman"/>
                <w:color w:val="auto"/>
                <w:sz w:val="24"/>
                <w:szCs w:val="24"/>
              </w:rPr>
              <w:t>产生情况见</w:t>
            </w:r>
            <w:r>
              <w:rPr>
                <w:rFonts w:hint="eastAsia" w:cs="Times New Roman"/>
                <w:color w:val="auto"/>
                <w:sz w:val="24"/>
                <w:szCs w:val="24"/>
                <w:lang w:val="en-US" w:eastAsia="zh-CN"/>
              </w:rPr>
              <w:t>下表</w:t>
            </w:r>
            <w:r>
              <w:rPr>
                <w:rFonts w:hint="eastAsia" w:ascii="Times New Roman" w:hAnsi="Times New Roman" w:eastAsia="宋体" w:cs="Times New Roman"/>
                <w:color w:val="auto"/>
                <w:sz w:val="24"/>
                <w:szCs w:val="24"/>
                <w:lang w:eastAsia="zh-CN"/>
              </w:rPr>
              <w:t>。</w:t>
            </w:r>
          </w:p>
          <w:p w14:paraId="6926B2D2">
            <w:pPr>
              <w:pStyle w:val="63"/>
              <w:keepNext w:val="0"/>
              <w:keepLines w:val="0"/>
              <w:suppressLineNumbers w:val="0"/>
              <w:bidi w:val="0"/>
              <w:spacing w:before="0" w:beforeAutospacing="0" w:after="0" w:afterAutospacing="0"/>
              <w:ind w:left="0" w:right="0"/>
              <w:rPr>
                <w:rFonts w:hint="eastAsia"/>
                <w:b/>
                <w:color w:val="auto"/>
                <w:szCs w:val="21"/>
              </w:rPr>
            </w:pPr>
            <w:r>
              <w:rPr>
                <w:rFonts w:hint="eastAsia"/>
                <w:color w:val="auto"/>
              </w:rPr>
              <w:t>表</w:t>
            </w:r>
            <w:r>
              <w:rPr>
                <w:rFonts w:hint="eastAsia"/>
                <w:color w:val="auto"/>
                <w:lang w:val="en-US" w:eastAsia="zh-CN"/>
              </w:rPr>
              <w:t xml:space="preserve">4-6  </w:t>
            </w:r>
            <w:r>
              <w:rPr>
                <w:rFonts w:hint="eastAsia"/>
                <w:color w:val="auto"/>
              </w:rPr>
              <w:t>项目</w:t>
            </w:r>
            <w:r>
              <w:rPr>
                <w:rFonts w:hint="eastAsia"/>
                <w:color w:val="auto"/>
                <w:lang w:val="en-US" w:eastAsia="zh-CN"/>
              </w:rPr>
              <w:t>天然</w:t>
            </w:r>
            <w:r>
              <w:rPr>
                <w:rFonts w:hint="eastAsia"/>
                <w:color w:val="auto"/>
              </w:rPr>
              <w:t>气燃烧污染物产生量一览表</w:t>
            </w:r>
          </w:p>
          <w:tbl>
            <w:tblPr>
              <w:tblStyle w:val="5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877"/>
              <w:gridCol w:w="1025"/>
              <w:gridCol w:w="1073"/>
              <w:gridCol w:w="927"/>
              <w:gridCol w:w="1109"/>
              <w:gridCol w:w="1018"/>
              <w:gridCol w:w="877"/>
              <w:gridCol w:w="952"/>
            </w:tblGrid>
            <w:tr w14:paraId="3A6D3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11" w:type="pct"/>
                  <w:tcBorders>
                    <w:tl2br w:val="nil"/>
                    <w:tr2bl w:val="nil"/>
                  </w:tcBorders>
                  <w:vAlign w:val="center"/>
                </w:tcPr>
                <w:p w14:paraId="2097C4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21" w:leftChars="-10" w:right="-21" w:rightChars="-10"/>
                    <w:jc w:val="center"/>
                    <w:textAlignment w:val="auto"/>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序号</w:t>
                  </w:r>
                </w:p>
              </w:tc>
              <w:tc>
                <w:tcPr>
                  <w:tcW w:w="512" w:type="pct"/>
                  <w:tcBorders>
                    <w:tl2br w:val="nil"/>
                    <w:tr2bl w:val="nil"/>
                  </w:tcBorders>
                  <w:vAlign w:val="center"/>
                </w:tcPr>
                <w:p w14:paraId="2C5042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21" w:leftChars="-10" w:right="-21" w:rightChars="-10"/>
                    <w:jc w:val="center"/>
                    <w:textAlignment w:val="auto"/>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污染源</w:t>
                  </w:r>
                </w:p>
              </w:tc>
              <w:tc>
                <w:tcPr>
                  <w:tcW w:w="598" w:type="pct"/>
                  <w:tcBorders>
                    <w:tl2br w:val="nil"/>
                    <w:tr2bl w:val="nil"/>
                  </w:tcBorders>
                  <w:vAlign w:val="center"/>
                </w:tcPr>
                <w:p w14:paraId="6022D5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21" w:leftChars="-10" w:right="-21" w:rightChars="-10"/>
                    <w:jc w:val="center"/>
                    <w:textAlignment w:val="auto"/>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天然气消耗量（m</w:t>
                  </w:r>
                  <w:r>
                    <w:rPr>
                      <w:rFonts w:hint="default" w:ascii="Times New Roman" w:hAnsi="Times New Roman" w:cs="Times New Roman"/>
                      <w:b/>
                      <w:bCs/>
                      <w:color w:val="auto"/>
                      <w:kern w:val="0"/>
                      <w:sz w:val="21"/>
                      <w:szCs w:val="21"/>
                      <w:highlight w:val="none"/>
                      <w:vertAlign w:val="superscript"/>
                    </w:rPr>
                    <w:t>3</w:t>
                  </w:r>
                  <w:r>
                    <w:rPr>
                      <w:rFonts w:hint="default" w:ascii="Times New Roman" w:hAnsi="Times New Roman" w:cs="Times New Roman"/>
                      <w:b/>
                      <w:bCs/>
                      <w:color w:val="auto"/>
                      <w:kern w:val="0"/>
                      <w:sz w:val="21"/>
                      <w:szCs w:val="21"/>
                      <w:highlight w:val="none"/>
                    </w:rPr>
                    <w:t>/a）</w:t>
                  </w:r>
                </w:p>
              </w:tc>
              <w:tc>
                <w:tcPr>
                  <w:tcW w:w="626" w:type="pct"/>
                  <w:tcBorders>
                    <w:tl2br w:val="nil"/>
                    <w:tr2bl w:val="nil"/>
                  </w:tcBorders>
                  <w:vAlign w:val="center"/>
                </w:tcPr>
                <w:p w14:paraId="77F9A6D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21" w:leftChars="-10" w:right="-21" w:rightChars="-10"/>
                    <w:jc w:val="center"/>
                    <w:textAlignment w:val="auto"/>
                    <w:rPr>
                      <w:rFonts w:hint="default" w:ascii="Times New Roman" w:hAnsi="Times New Roman" w:cs="Times New Roman"/>
                      <w:b/>
                      <w:bCs/>
                      <w:color w:val="auto"/>
                      <w:sz w:val="21"/>
                      <w:szCs w:val="21"/>
                    </w:rPr>
                  </w:pPr>
                  <w:r>
                    <w:rPr>
                      <w:rFonts w:hint="default" w:ascii="Times New Roman" w:hAnsi="Times New Roman" w:eastAsia="宋体" w:cs="Times New Roman"/>
                      <w:b/>
                      <w:bCs/>
                      <w:color w:val="auto"/>
                      <w:sz w:val="21"/>
                      <w:szCs w:val="21"/>
                    </w:rPr>
                    <w:t>废气量</w:t>
                  </w:r>
                </w:p>
                <w:p w14:paraId="3C8E771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21" w:leftChars="-10" w:right="-21" w:rightChars="-10"/>
                    <w:jc w:val="center"/>
                    <w:textAlignment w:val="auto"/>
                    <w:rPr>
                      <w:rFonts w:hint="default" w:ascii="Times New Roman" w:hAnsi="Times New Roman" w:cs="Times New Roman"/>
                      <w:b/>
                      <w:bCs/>
                      <w:color w:val="auto"/>
                      <w:kern w:val="0"/>
                      <w:sz w:val="21"/>
                      <w:szCs w:val="21"/>
                      <w:highlight w:val="none"/>
                    </w:rPr>
                  </w:pPr>
                  <w:r>
                    <w:rPr>
                      <w:rFonts w:hint="default" w:ascii="Times New Roman" w:hAnsi="Times New Roman" w:eastAsia="宋体" w:cs="Times New Roman"/>
                      <w:b/>
                      <w:bCs/>
                      <w:color w:val="auto"/>
                      <w:sz w:val="21"/>
                      <w:szCs w:val="21"/>
                    </w:rPr>
                    <w:t>（</w:t>
                  </w:r>
                  <w:r>
                    <w:rPr>
                      <w:rFonts w:hint="default" w:ascii="Times New Roman" w:hAnsi="Times New Roman" w:cs="Times New Roman"/>
                      <w:b/>
                      <w:bCs/>
                      <w:color w:val="auto"/>
                      <w:sz w:val="21"/>
                      <w:szCs w:val="21"/>
                    </w:rPr>
                    <w:t>m</w:t>
                  </w:r>
                  <w:r>
                    <w:rPr>
                      <w:rFonts w:hint="default" w:ascii="Times New Roman" w:hAnsi="Times New Roman" w:cs="Times New Roman"/>
                      <w:b/>
                      <w:bCs/>
                      <w:color w:val="auto"/>
                      <w:sz w:val="21"/>
                      <w:szCs w:val="21"/>
                      <w:vertAlign w:val="superscript"/>
                    </w:rPr>
                    <w:t>3</w:t>
                  </w:r>
                  <w:r>
                    <w:rPr>
                      <w:rFonts w:hint="default" w:ascii="Times New Roman" w:hAnsi="Times New Roman" w:cs="Times New Roman"/>
                      <w:b/>
                      <w:bCs/>
                      <w:color w:val="auto"/>
                      <w:sz w:val="21"/>
                      <w:szCs w:val="21"/>
                    </w:rPr>
                    <w:t>/h</w:t>
                  </w:r>
                  <w:r>
                    <w:rPr>
                      <w:rFonts w:hint="default" w:ascii="Times New Roman" w:hAnsi="Times New Roman" w:eastAsia="宋体" w:cs="Times New Roman"/>
                      <w:b/>
                      <w:bCs/>
                      <w:color w:val="auto"/>
                      <w:sz w:val="21"/>
                      <w:szCs w:val="21"/>
                    </w:rPr>
                    <w:t>）</w:t>
                  </w:r>
                </w:p>
              </w:tc>
              <w:tc>
                <w:tcPr>
                  <w:tcW w:w="541" w:type="pct"/>
                  <w:tcBorders>
                    <w:tl2br w:val="nil"/>
                    <w:tr2bl w:val="nil"/>
                  </w:tcBorders>
                  <w:vAlign w:val="center"/>
                </w:tcPr>
                <w:p w14:paraId="4C6C1E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21" w:leftChars="-10" w:right="-21" w:rightChars="-10"/>
                    <w:jc w:val="center"/>
                    <w:textAlignment w:val="auto"/>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污染物</w:t>
                  </w:r>
                </w:p>
                <w:p w14:paraId="1E6ACFE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21" w:leftChars="-10" w:right="-21" w:rightChars="-10"/>
                    <w:jc w:val="center"/>
                    <w:textAlignment w:val="auto"/>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名称</w:t>
                  </w:r>
                </w:p>
              </w:tc>
              <w:tc>
                <w:tcPr>
                  <w:tcW w:w="647" w:type="pct"/>
                  <w:tcBorders>
                    <w:tl2br w:val="nil"/>
                    <w:tr2bl w:val="nil"/>
                  </w:tcBorders>
                  <w:vAlign w:val="center"/>
                </w:tcPr>
                <w:p w14:paraId="173174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21" w:leftChars="-10" w:right="-21" w:rightChars="-10"/>
                    <w:jc w:val="center"/>
                    <w:textAlignment w:val="auto"/>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产污系数</w:t>
                  </w:r>
                </w:p>
                <w:p w14:paraId="09B0D56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21" w:leftChars="-10" w:right="-21" w:rightChars="-10"/>
                    <w:jc w:val="center"/>
                    <w:textAlignment w:val="auto"/>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(kg/m</w:t>
                  </w:r>
                  <w:r>
                    <w:rPr>
                      <w:rFonts w:hint="default" w:ascii="Times New Roman" w:hAnsi="Times New Roman" w:cs="Times New Roman"/>
                      <w:b/>
                      <w:bCs/>
                      <w:color w:val="auto"/>
                      <w:kern w:val="0"/>
                      <w:sz w:val="21"/>
                      <w:szCs w:val="21"/>
                      <w:highlight w:val="none"/>
                      <w:vertAlign w:val="superscript"/>
                    </w:rPr>
                    <w:t>3</w:t>
                  </w:r>
                  <w:r>
                    <w:rPr>
                      <w:rFonts w:hint="default" w:ascii="Times New Roman" w:hAnsi="Times New Roman" w:cs="Times New Roman"/>
                      <w:b/>
                      <w:bCs/>
                      <w:color w:val="auto"/>
                      <w:kern w:val="0"/>
                      <w:sz w:val="21"/>
                      <w:szCs w:val="21"/>
                      <w:highlight w:val="none"/>
                    </w:rPr>
                    <w:t>)</w:t>
                  </w:r>
                </w:p>
              </w:tc>
              <w:tc>
                <w:tcPr>
                  <w:tcW w:w="594" w:type="pct"/>
                  <w:tcBorders>
                    <w:tl2br w:val="nil"/>
                    <w:tr2bl w:val="nil"/>
                  </w:tcBorders>
                  <w:vAlign w:val="center"/>
                </w:tcPr>
                <w:p w14:paraId="1F980B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21" w:leftChars="-10" w:right="-21" w:rightChars="-10"/>
                    <w:jc w:val="center"/>
                    <w:textAlignment w:val="auto"/>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产生速率</w:t>
                  </w:r>
                </w:p>
                <w:p w14:paraId="272D7BE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21" w:leftChars="-10" w:right="-21" w:rightChars="-10"/>
                    <w:jc w:val="center"/>
                    <w:textAlignment w:val="auto"/>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（kg/h）</w:t>
                  </w:r>
                </w:p>
              </w:tc>
              <w:tc>
                <w:tcPr>
                  <w:tcW w:w="512" w:type="pct"/>
                  <w:tcBorders>
                    <w:tl2br w:val="nil"/>
                    <w:tr2bl w:val="nil"/>
                  </w:tcBorders>
                  <w:vAlign w:val="center"/>
                </w:tcPr>
                <w:p w14:paraId="390589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21" w:leftChars="-10" w:right="-21" w:rightChars="-10"/>
                    <w:jc w:val="center"/>
                    <w:textAlignment w:val="auto"/>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产生量</w:t>
                  </w:r>
                </w:p>
                <w:p w14:paraId="631BA1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21" w:leftChars="-10" w:right="-21" w:rightChars="-10"/>
                    <w:jc w:val="center"/>
                    <w:textAlignment w:val="auto"/>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（t/a）</w:t>
                  </w:r>
                </w:p>
              </w:tc>
              <w:tc>
                <w:tcPr>
                  <w:tcW w:w="555" w:type="pct"/>
                  <w:tcBorders>
                    <w:tl2br w:val="nil"/>
                    <w:tr2bl w:val="nil"/>
                  </w:tcBorders>
                  <w:vAlign w:val="center"/>
                </w:tcPr>
                <w:p w14:paraId="1B51D9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cs="Times New Roman"/>
                      <w:b/>
                      <w:bCs/>
                      <w:color w:val="auto"/>
                      <w:kern w:val="0"/>
                      <w:sz w:val="21"/>
                      <w:szCs w:val="21"/>
                      <w:highlight w:val="none"/>
                    </w:rPr>
                  </w:pPr>
                  <w:r>
                    <w:rPr>
                      <w:rFonts w:hint="eastAsia" w:ascii="宋体" w:hAnsi="宋体" w:eastAsia="宋体" w:cs="宋体"/>
                      <w:b/>
                      <w:bCs/>
                      <w:color w:val="auto"/>
                      <w:szCs w:val="21"/>
                      <w:lang w:val="en-US" w:eastAsia="zh-CN"/>
                    </w:rPr>
                    <w:t>排放浓度</w:t>
                  </w:r>
                  <w:r>
                    <w:rPr>
                      <w:rFonts w:hint="default" w:ascii="Times New Roman" w:hAnsi="Times New Roman" w:cs="Times New Roman"/>
                      <w:b/>
                      <w:bCs/>
                      <w:color w:val="auto"/>
                      <w:kern w:val="0"/>
                      <w:sz w:val="21"/>
                      <w:szCs w:val="21"/>
                      <w:highlight w:val="none"/>
                    </w:rPr>
                    <w:t>(</w:t>
                  </w:r>
                  <w:r>
                    <w:rPr>
                      <w:rFonts w:hint="eastAsia" w:ascii="Times New Roman" w:hAnsi="Times New Roman" w:cs="Times New Roman"/>
                      <w:b/>
                      <w:bCs/>
                      <w:color w:val="auto"/>
                      <w:kern w:val="0"/>
                      <w:sz w:val="21"/>
                      <w:szCs w:val="21"/>
                      <w:highlight w:val="none"/>
                      <w:lang w:val="en-US" w:eastAsia="zh-CN"/>
                    </w:rPr>
                    <w:t>m</w:t>
                  </w:r>
                  <w:r>
                    <w:rPr>
                      <w:rFonts w:hint="default" w:ascii="Times New Roman" w:hAnsi="Times New Roman" w:cs="Times New Roman"/>
                      <w:b/>
                      <w:bCs/>
                      <w:color w:val="auto"/>
                      <w:kern w:val="0"/>
                      <w:sz w:val="21"/>
                      <w:szCs w:val="21"/>
                      <w:highlight w:val="none"/>
                    </w:rPr>
                    <w:t>g/m</w:t>
                  </w:r>
                  <w:r>
                    <w:rPr>
                      <w:rFonts w:hint="default" w:ascii="Times New Roman" w:hAnsi="Times New Roman" w:cs="Times New Roman"/>
                      <w:b/>
                      <w:bCs/>
                      <w:color w:val="auto"/>
                      <w:kern w:val="0"/>
                      <w:sz w:val="21"/>
                      <w:szCs w:val="21"/>
                      <w:highlight w:val="none"/>
                      <w:vertAlign w:val="superscript"/>
                    </w:rPr>
                    <w:t>3</w:t>
                  </w:r>
                  <w:r>
                    <w:rPr>
                      <w:rFonts w:hint="default" w:ascii="Times New Roman" w:hAnsi="Times New Roman" w:cs="Times New Roman"/>
                      <w:b/>
                      <w:bCs/>
                      <w:color w:val="auto"/>
                      <w:kern w:val="0"/>
                      <w:sz w:val="21"/>
                      <w:szCs w:val="21"/>
                      <w:highlight w:val="none"/>
                    </w:rPr>
                    <w:t>)</w:t>
                  </w:r>
                </w:p>
              </w:tc>
            </w:tr>
            <w:tr w14:paraId="26C7C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11" w:type="pct"/>
                  <w:tcBorders>
                    <w:tl2br w:val="nil"/>
                    <w:tr2bl w:val="nil"/>
                  </w:tcBorders>
                  <w:vAlign w:val="center"/>
                </w:tcPr>
                <w:p w14:paraId="6434C8A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1</w:t>
                  </w:r>
                </w:p>
              </w:tc>
              <w:tc>
                <w:tcPr>
                  <w:tcW w:w="512" w:type="pct"/>
                  <w:vMerge w:val="restart"/>
                  <w:tcBorders>
                    <w:tl2br w:val="nil"/>
                    <w:tr2bl w:val="nil"/>
                  </w:tcBorders>
                  <w:vAlign w:val="center"/>
                </w:tcPr>
                <w:p w14:paraId="2172336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天然气燃烧</w:t>
                  </w:r>
                </w:p>
              </w:tc>
              <w:tc>
                <w:tcPr>
                  <w:tcW w:w="598" w:type="pct"/>
                  <w:vMerge w:val="restart"/>
                  <w:tcBorders>
                    <w:tl2br w:val="nil"/>
                    <w:tr2bl w:val="nil"/>
                  </w:tcBorders>
                  <w:vAlign w:val="center"/>
                </w:tcPr>
                <w:p w14:paraId="6517407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86400</w:t>
                  </w:r>
                </w:p>
              </w:tc>
              <w:tc>
                <w:tcPr>
                  <w:tcW w:w="626" w:type="pct"/>
                  <w:vMerge w:val="restart"/>
                  <w:tcBorders>
                    <w:tl2br w:val="nil"/>
                    <w:tr2bl w:val="nil"/>
                  </w:tcBorders>
                  <w:vAlign w:val="center"/>
                </w:tcPr>
                <w:p w14:paraId="6ACCA88F">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eastAsia="宋体" w:cs="Times New Roman"/>
                      <w:color w:val="auto"/>
                      <w:sz w:val="21"/>
                      <w:szCs w:val="21"/>
                      <w:lang w:val="en-US" w:eastAsia="zh-CN"/>
                    </w:rPr>
                    <w:t>489.6</w:t>
                  </w:r>
                </w:p>
              </w:tc>
              <w:tc>
                <w:tcPr>
                  <w:tcW w:w="541" w:type="pct"/>
                  <w:tcBorders>
                    <w:tl2br w:val="nil"/>
                    <w:tr2bl w:val="nil"/>
                  </w:tcBorders>
                  <w:vAlign w:val="center"/>
                </w:tcPr>
                <w:p w14:paraId="04610E3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颗粒物</w:t>
                  </w:r>
                </w:p>
              </w:tc>
              <w:tc>
                <w:tcPr>
                  <w:tcW w:w="647" w:type="pct"/>
                  <w:tcBorders>
                    <w:tl2br w:val="nil"/>
                    <w:tr2bl w:val="nil"/>
                  </w:tcBorders>
                  <w:vAlign w:val="center"/>
                </w:tcPr>
                <w:p w14:paraId="05EB868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0.000286</w:t>
                  </w:r>
                </w:p>
              </w:tc>
              <w:tc>
                <w:tcPr>
                  <w:tcW w:w="594" w:type="pct"/>
                  <w:tcBorders>
                    <w:tl2br w:val="nil"/>
                    <w:tr2bl w:val="nil"/>
                  </w:tcBorders>
                  <w:vAlign w:val="center"/>
                </w:tcPr>
                <w:p w14:paraId="3B31848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 xml:space="preserve">0.010 </w:t>
                  </w:r>
                </w:p>
              </w:tc>
              <w:tc>
                <w:tcPr>
                  <w:tcW w:w="512" w:type="pct"/>
                  <w:tcBorders>
                    <w:tl2br w:val="nil"/>
                    <w:tr2bl w:val="nil"/>
                  </w:tcBorders>
                  <w:vAlign w:val="center"/>
                </w:tcPr>
                <w:p w14:paraId="4BC42D4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 xml:space="preserve">0.025 </w:t>
                  </w:r>
                </w:p>
              </w:tc>
              <w:tc>
                <w:tcPr>
                  <w:tcW w:w="952" w:type="dxa"/>
                  <w:tcBorders>
                    <w:tl2br w:val="nil"/>
                    <w:tr2bl w:val="nil"/>
                  </w:tcBorders>
                  <w:vAlign w:val="center"/>
                </w:tcPr>
                <w:p w14:paraId="266CBE4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21.28 </w:t>
                  </w:r>
                </w:p>
              </w:tc>
            </w:tr>
            <w:tr w14:paraId="36702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11" w:type="pct"/>
                  <w:tcBorders>
                    <w:tl2br w:val="nil"/>
                    <w:tr2bl w:val="nil"/>
                  </w:tcBorders>
                  <w:vAlign w:val="center"/>
                </w:tcPr>
                <w:p w14:paraId="28BF785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2</w:t>
                  </w:r>
                </w:p>
              </w:tc>
              <w:tc>
                <w:tcPr>
                  <w:tcW w:w="512" w:type="pct"/>
                  <w:vMerge w:val="continue"/>
                  <w:tcBorders>
                    <w:tl2br w:val="nil"/>
                    <w:tr2bl w:val="nil"/>
                  </w:tcBorders>
                  <w:vAlign w:val="center"/>
                </w:tcPr>
                <w:p w14:paraId="1B6F3DFD">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1"/>
                      <w:szCs w:val="21"/>
                      <w:highlight w:val="none"/>
                    </w:rPr>
                  </w:pPr>
                </w:p>
              </w:tc>
              <w:tc>
                <w:tcPr>
                  <w:tcW w:w="598" w:type="pct"/>
                  <w:vMerge w:val="continue"/>
                  <w:tcBorders>
                    <w:tl2br w:val="nil"/>
                    <w:tr2bl w:val="nil"/>
                  </w:tcBorders>
                  <w:vAlign w:val="center"/>
                </w:tcPr>
                <w:p w14:paraId="34A5A31E">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1"/>
                      <w:szCs w:val="21"/>
                      <w:highlight w:val="none"/>
                    </w:rPr>
                  </w:pPr>
                </w:p>
              </w:tc>
              <w:tc>
                <w:tcPr>
                  <w:tcW w:w="626" w:type="pct"/>
                  <w:vMerge w:val="continue"/>
                  <w:tcBorders>
                    <w:tl2br w:val="nil"/>
                    <w:tr2bl w:val="nil"/>
                  </w:tcBorders>
                  <w:vAlign w:val="center"/>
                </w:tcPr>
                <w:p w14:paraId="72F4BB43">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1"/>
                      <w:szCs w:val="21"/>
                      <w:highlight w:val="none"/>
                    </w:rPr>
                  </w:pPr>
                </w:p>
              </w:tc>
              <w:tc>
                <w:tcPr>
                  <w:tcW w:w="541" w:type="pct"/>
                  <w:tcBorders>
                    <w:tl2br w:val="nil"/>
                    <w:tr2bl w:val="nil"/>
                  </w:tcBorders>
                  <w:vAlign w:val="center"/>
                </w:tcPr>
                <w:p w14:paraId="4CBF60B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SO</w:t>
                  </w:r>
                  <w:r>
                    <w:rPr>
                      <w:rFonts w:hint="default" w:ascii="Times New Roman" w:hAnsi="Times New Roman" w:cs="Times New Roman"/>
                      <w:color w:val="auto"/>
                      <w:kern w:val="0"/>
                      <w:sz w:val="21"/>
                      <w:szCs w:val="21"/>
                      <w:highlight w:val="none"/>
                      <w:vertAlign w:val="subscript"/>
                    </w:rPr>
                    <w:t>2</w:t>
                  </w:r>
                </w:p>
              </w:tc>
              <w:tc>
                <w:tcPr>
                  <w:tcW w:w="647" w:type="pct"/>
                  <w:tcBorders>
                    <w:tl2br w:val="nil"/>
                    <w:tr2bl w:val="nil"/>
                  </w:tcBorders>
                  <w:vAlign w:val="center"/>
                </w:tcPr>
                <w:p w14:paraId="288E09A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0.0002</w:t>
                  </w:r>
                </w:p>
              </w:tc>
              <w:tc>
                <w:tcPr>
                  <w:tcW w:w="594" w:type="pct"/>
                  <w:tcBorders>
                    <w:tl2br w:val="nil"/>
                    <w:tr2bl w:val="nil"/>
                  </w:tcBorders>
                  <w:vAlign w:val="center"/>
                </w:tcPr>
                <w:p w14:paraId="50A245B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 xml:space="preserve">0.007 </w:t>
                  </w:r>
                </w:p>
              </w:tc>
              <w:tc>
                <w:tcPr>
                  <w:tcW w:w="512" w:type="pct"/>
                  <w:tcBorders>
                    <w:tl2br w:val="nil"/>
                    <w:tr2bl w:val="nil"/>
                  </w:tcBorders>
                  <w:vAlign w:val="center"/>
                </w:tcPr>
                <w:p w14:paraId="65B19EB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 xml:space="preserve">0.017 </w:t>
                  </w:r>
                </w:p>
              </w:tc>
              <w:tc>
                <w:tcPr>
                  <w:tcW w:w="952" w:type="dxa"/>
                  <w:tcBorders>
                    <w:tl2br w:val="nil"/>
                    <w:tr2bl w:val="nil"/>
                  </w:tcBorders>
                  <w:vAlign w:val="center"/>
                </w:tcPr>
                <w:p w14:paraId="5833801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 xml:space="preserve">14.47 </w:t>
                  </w:r>
                </w:p>
              </w:tc>
            </w:tr>
            <w:tr w14:paraId="2ECF3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11" w:type="pct"/>
                  <w:tcBorders>
                    <w:tl2br w:val="nil"/>
                    <w:tr2bl w:val="nil"/>
                  </w:tcBorders>
                  <w:vAlign w:val="center"/>
                </w:tcPr>
                <w:p w14:paraId="4CA2A0D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3</w:t>
                  </w:r>
                </w:p>
              </w:tc>
              <w:tc>
                <w:tcPr>
                  <w:tcW w:w="512" w:type="pct"/>
                  <w:vMerge w:val="continue"/>
                  <w:tcBorders>
                    <w:tl2br w:val="nil"/>
                    <w:tr2bl w:val="nil"/>
                  </w:tcBorders>
                  <w:vAlign w:val="center"/>
                </w:tcPr>
                <w:p w14:paraId="0DFB662C">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1"/>
                      <w:szCs w:val="21"/>
                      <w:highlight w:val="none"/>
                    </w:rPr>
                  </w:pPr>
                </w:p>
              </w:tc>
              <w:tc>
                <w:tcPr>
                  <w:tcW w:w="598" w:type="pct"/>
                  <w:vMerge w:val="continue"/>
                  <w:tcBorders>
                    <w:tl2br w:val="nil"/>
                    <w:tr2bl w:val="nil"/>
                  </w:tcBorders>
                  <w:vAlign w:val="center"/>
                </w:tcPr>
                <w:p w14:paraId="0FCF3BC0">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1"/>
                      <w:szCs w:val="21"/>
                      <w:highlight w:val="none"/>
                    </w:rPr>
                  </w:pPr>
                </w:p>
              </w:tc>
              <w:tc>
                <w:tcPr>
                  <w:tcW w:w="626" w:type="pct"/>
                  <w:vMerge w:val="continue"/>
                  <w:tcBorders>
                    <w:tl2br w:val="nil"/>
                    <w:tr2bl w:val="nil"/>
                  </w:tcBorders>
                  <w:vAlign w:val="center"/>
                </w:tcPr>
                <w:p w14:paraId="1B2C4FDE">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1"/>
                      <w:szCs w:val="21"/>
                      <w:highlight w:val="none"/>
                    </w:rPr>
                  </w:pPr>
                </w:p>
              </w:tc>
              <w:tc>
                <w:tcPr>
                  <w:tcW w:w="541" w:type="pct"/>
                  <w:tcBorders>
                    <w:tl2br w:val="nil"/>
                    <w:tr2bl w:val="nil"/>
                  </w:tcBorders>
                  <w:vAlign w:val="center"/>
                </w:tcPr>
                <w:p w14:paraId="7A01A56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NO</w:t>
                  </w:r>
                  <w:r>
                    <w:rPr>
                      <w:rFonts w:hint="default" w:ascii="Times New Roman" w:hAnsi="Times New Roman" w:cs="Times New Roman"/>
                      <w:color w:val="auto"/>
                      <w:kern w:val="0"/>
                      <w:sz w:val="21"/>
                      <w:szCs w:val="21"/>
                      <w:highlight w:val="none"/>
                      <w:vertAlign w:val="subscript"/>
                    </w:rPr>
                    <w:t>x</w:t>
                  </w:r>
                </w:p>
              </w:tc>
              <w:tc>
                <w:tcPr>
                  <w:tcW w:w="647" w:type="pct"/>
                  <w:tcBorders>
                    <w:tl2br w:val="nil"/>
                    <w:tr2bl w:val="nil"/>
                  </w:tcBorders>
                  <w:vAlign w:val="center"/>
                </w:tcPr>
                <w:p w14:paraId="727AD3F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0.00187</w:t>
                  </w:r>
                </w:p>
              </w:tc>
              <w:tc>
                <w:tcPr>
                  <w:tcW w:w="594" w:type="pct"/>
                  <w:tcBorders>
                    <w:tl2br w:val="nil"/>
                    <w:tr2bl w:val="nil"/>
                  </w:tcBorders>
                  <w:vAlign w:val="center"/>
                </w:tcPr>
                <w:p w14:paraId="05B8BE7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 xml:space="preserve">0.067 </w:t>
                  </w:r>
                </w:p>
              </w:tc>
              <w:tc>
                <w:tcPr>
                  <w:tcW w:w="512" w:type="pct"/>
                  <w:tcBorders>
                    <w:tl2br w:val="nil"/>
                    <w:tr2bl w:val="nil"/>
                  </w:tcBorders>
                  <w:vAlign w:val="center"/>
                </w:tcPr>
                <w:p w14:paraId="6A8C11F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 xml:space="preserve">0.162 </w:t>
                  </w:r>
                </w:p>
              </w:tc>
              <w:tc>
                <w:tcPr>
                  <w:tcW w:w="952" w:type="dxa"/>
                  <w:tcBorders>
                    <w:tl2br w:val="nil"/>
                    <w:tr2bl w:val="nil"/>
                  </w:tcBorders>
                  <w:vAlign w:val="center"/>
                </w:tcPr>
                <w:p w14:paraId="069603B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highlight w:val="none"/>
                    </w:rPr>
                  </w:pPr>
                  <w:r>
                    <w:rPr>
                      <w:rFonts w:hint="eastAsia" w:ascii="Times New Roman" w:hAnsi="Times New Roman" w:eastAsia="宋体" w:cs="Times New Roman"/>
                      <w:i w:val="0"/>
                      <w:iCs w:val="0"/>
                      <w:color w:val="000000"/>
                      <w:kern w:val="0"/>
                      <w:sz w:val="21"/>
                      <w:szCs w:val="21"/>
                      <w:u w:val="none"/>
                      <w:lang w:val="en-US" w:eastAsia="zh-CN" w:bidi="ar"/>
                    </w:rPr>
                    <w:t>34.47</w:t>
                  </w:r>
                  <w:r>
                    <w:rPr>
                      <w:rFonts w:hint="default" w:ascii="Times New Roman" w:hAnsi="Times New Roman" w:eastAsia="宋体" w:cs="Times New Roman"/>
                      <w:i w:val="0"/>
                      <w:iCs w:val="0"/>
                      <w:color w:val="000000"/>
                      <w:kern w:val="0"/>
                      <w:sz w:val="21"/>
                      <w:szCs w:val="21"/>
                      <w:u w:val="none"/>
                      <w:lang w:val="en-US" w:eastAsia="zh-CN" w:bidi="ar"/>
                    </w:rPr>
                    <w:t xml:space="preserve"> </w:t>
                  </w:r>
                </w:p>
              </w:tc>
            </w:tr>
          </w:tbl>
          <w:p w14:paraId="61D76B5C">
            <w:pPr>
              <w:pStyle w:val="62"/>
              <w:keepNext w:val="0"/>
              <w:keepLines w:val="0"/>
              <w:suppressLineNumbers w:val="0"/>
              <w:bidi w:val="0"/>
              <w:spacing w:before="0" w:beforeAutospacing="0" w:after="0" w:afterAutospacing="0"/>
              <w:ind w:left="0" w:right="0"/>
              <w:rPr>
                <w:rFonts w:hint="default"/>
                <w:b/>
                <w:bCs/>
                <w:color w:val="auto"/>
                <w:lang w:val="en-US"/>
              </w:rPr>
            </w:pPr>
            <w:r>
              <w:rPr>
                <w:rFonts w:hint="eastAsia" w:eastAsia="宋体"/>
                <w:b w:val="0"/>
                <w:bCs w:val="0"/>
                <w:color w:val="auto"/>
                <w:sz w:val="24"/>
                <w:szCs w:val="24"/>
                <w:lang w:val="en-US" w:eastAsia="zh-CN"/>
              </w:rPr>
              <w:t>天然气燃烧产生的</w:t>
            </w:r>
            <w:r>
              <w:rPr>
                <w:rFonts w:hint="eastAsia" w:cs="Times New Roman"/>
                <w:b w:val="0"/>
                <w:bCs w:val="0"/>
                <w:color w:val="auto"/>
                <w:sz w:val="24"/>
                <w:szCs w:val="24"/>
              </w:rPr>
              <w:t>颗粒物、二氧化硫</w:t>
            </w:r>
            <w:r>
              <w:rPr>
                <w:rFonts w:hint="eastAsia" w:cs="Times New Roman"/>
                <w:b w:val="0"/>
                <w:bCs w:val="0"/>
                <w:color w:val="auto"/>
                <w:sz w:val="24"/>
                <w:szCs w:val="24"/>
                <w:lang w:val="en-US" w:eastAsia="zh-CN"/>
              </w:rPr>
              <w:t>排放浓度满足</w:t>
            </w:r>
            <w:r>
              <w:rPr>
                <w:rFonts w:hint="eastAsia" w:cs="Times New Roman"/>
                <w:b w:val="0"/>
                <w:bCs w:val="0"/>
                <w:color w:val="auto"/>
                <w:sz w:val="24"/>
                <w:szCs w:val="24"/>
              </w:rPr>
              <w:t>《关于印发&lt;工业炉窑大气污染综合治理方案&gt;的通知》（环大气[2019]56号）中要求</w:t>
            </w:r>
            <w:r>
              <w:rPr>
                <w:rFonts w:hint="eastAsia" w:cs="Times New Roman"/>
                <w:b w:val="0"/>
                <w:bCs w:val="0"/>
                <w:color w:val="auto"/>
                <w:sz w:val="24"/>
                <w:szCs w:val="24"/>
                <w:lang w:eastAsia="zh-CN"/>
              </w:rPr>
              <w:t>（</w:t>
            </w:r>
            <w:r>
              <w:rPr>
                <w:rFonts w:hint="eastAsia" w:cs="Times New Roman"/>
                <w:b w:val="0"/>
                <w:bCs w:val="0"/>
                <w:color w:val="auto"/>
                <w:sz w:val="24"/>
                <w:szCs w:val="24"/>
              </w:rPr>
              <w:t>颗粒物、二氧化硫排放限值分别不高于30、200毫克/立方米</w:t>
            </w:r>
            <w:r>
              <w:rPr>
                <w:rFonts w:hint="eastAsia" w:cs="Times New Roman"/>
                <w:b w:val="0"/>
                <w:bCs w:val="0"/>
                <w:color w:val="auto"/>
                <w:sz w:val="24"/>
                <w:szCs w:val="24"/>
                <w:lang w:eastAsia="zh-CN"/>
              </w:rPr>
              <w:t>），</w:t>
            </w:r>
            <w:r>
              <w:rPr>
                <w:rFonts w:hint="eastAsia" w:cs="Times New Roman"/>
                <w:b w:val="0"/>
                <w:bCs w:val="0"/>
                <w:color w:val="auto"/>
                <w:sz w:val="24"/>
                <w:szCs w:val="24"/>
                <w:lang w:val="en-US" w:eastAsia="zh-CN"/>
              </w:rPr>
              <w:t>氮氧化物排放浓度满足</w:t>
            </w:r>
            <w:r>
              <w:rPr>
                <w:rFonts w:hint="eastAsia" w:ascii="Times New Roman" w:hAnsi="Times New Roman"/>
                <w:b w:val="0"/>
                <w:bCs w:val="0"/>
                <w:color w:val="auto"/>
                <w:sz w:val="24"/>
                <w:szCs w:val="24"/>
              </w:rPr>
              <w:t>《关于印发&lt;淮南市</w:t>
            </w:r>
            <w:r>
              <w:rPr>
                <w:rFonts w:hint="eastAsia" w:ascii="宋体" w:hAnsi="宋体" w:eastAsia="宋体" w:cs="宋体"/>
                <w:b w:val="0"/>
                <w:bCs w:val="0"/>
                <w:color w:val="auto"/>
                <w:sz w:val="24"/>
                <w:szCs w:val="24"/>
                <w:lang w:val="en-US" w:eastAsia="zh-CN"/>
              </w:rPr>
              <w:t>“十四五”大气污染防治规划&gt;的通知</w:t>
            </w:r>
            <w:r>
              <w:rPr>
                <w:rFonts w:hint="eastAsia" w:ascii="Times New Roman" w:hAnsi="Times New Roman"/>
                <w:b w:val="0"/>
                <w:bCs w:val="0"/>
                <w:color w:val="auto"/>
                <w:sz w:val="24"/>
                <w:szCs w:val="24"/>
              </w:rPr>
              <w:t>》（淮环委办〔2022〕</w:t>
            </w:r>
            <w:r>
              <w:rPr>
                <w:rFonts w:hint="eastAsia" w:ascii="Times New Roman" w:hAnsi="Times New Roman"/>
                <w:b w:val="0"/>
                <w:bCs w:val="0"/>
                <w:color w:val="auto"/>
                <w:sz w:val="24"/>
                <w:szCs w:val="24"/>
                <w:lang w:val="en-US" w:eastAsia="zh-CN"/>
              </w:rPr>
              <w:t>4</w:t>
            </w:r>
            <w:r>
              <w:rPr>
                <w:rFonts w:hint="eastAsia" w:ascii="Times New Roman" w:hAnsi="Times New Roman"/>
                <w:b w:val="0"/>
                <w:bCs w:val="0"/>
                <w:color w:val="auto"/>
                <w:sz w:val="24"/>
                <w:szCs w:val="24"/>
              </w:rPr>
              <w:t>9号）</w:t>
            </w:r>
            <w:r>
              <w:rPr>
                <w:rFonts w:hint="eastAsia" w:cs="Times New Roman"/>
                <w:b w:val="0"/>
                <w:bCs w:val="0"/>
                <w:color w:val="auto"/>
                <w:sz w:val="24"/>
                <w:szCs w:val="24"/>
              </w:rPr>
              <w:t>中要求</w:t>
            </w:r>
            <w:r>
              <w:rPr>
                <w:rFonts w:hint="eastAsia" w:cs="Times New Roman"/>
                <w:b w:val="0"/>
                <w:bCs w:val="0"/>
                <w:color w:val="auto"/>
                <w:sz w:val="24"/>
                <w:szCs w:val="24"/>
                <w:lang w:eastAsia="zh-CN"/>
              </w:rPr>
              <w:t>（</w:t>
            </w:r>
            <w:r>
              <w:rPr>
                <w:rFonts w:hint="eastAsia" w:cs="Times New Roman"/>
                <w:b w:val="0"/>
                <w:bCs w:val="0"/>
                <w:color w:val="auto"/>
                <w:sz w:val="24"/>
                <w:szCs w:val="24"/>
              </w:rPr>
              <w:t>氮氧化物排放限值分别不高于</w:t>
            </w:r>
            <w:r>
              <w:rPr>
                <w:rFonts w:hint="eastAsia" w:cs="Times New Roman"/>
                <w:b w:val="0"/>
                <w:bCs w:val="0"/>
                <w:color w:val="auto"/>
                <w:sz w:val="24"/>
                <w:szCs w:val="24"/>
                <w:lang w:val="en-US" w:eastAsia="zh-CN"/>
              </w:rPr>
              <w:t>5</w:t>
            </w:r>
            <w:r>
              <w:rPr>
                <w:rFonts w:hint="eastAsia" w:cs="Times New Roman"/>
                <w:b w:val="0"/>
                <w:bCs w:val="0"/>
                <w:color w:val="auto"/>
                <w:sz w:val="24"/>
                <w:szCs w:val="24"/>
              </w:rPr>
              <w:t>0毫克/立方米</w:t>
            </w:r>
            <w:r>
              <w:rPr>
                <w:rFonts w:hint="eastAsia" w:cs="Times New Roman"/>
                <w:b w:val="0"/>
                <w:bCs w:val="0"/>
                <w:color w:val="auto"/>
                <w:sz w:val="24"/>
                <w:szCs w:val="24"/>
                <w:lang w:eastAsia="zh-CN"/>
              </w:rPr>
              <w:t>）。</w:t>
            </w:r>
          </w:p>
          <w:p w14:paraId="52C834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72" w:firstLineChars="196"/>
              <w:textAlignment w:val="auto"/>
              <w:rPr>
                <w:rFonts w:hint="default" w:ascii="Times New Roman" w:hAnsi="Times New Roman" w:eastAsia="宋体" w:cs="Times New Roman"/>
                <w:b/>
                <w:bCs w:val="0"/>
                <w:color w:val="auto"/>
                <w:sz w:val="24"/>
              </w:rPr>
            </w:pPr>
            <w:r>
              <w:rPr>
                <w:rFonts w:hint="default" w:ascii="Times New Roman" w:hAnsi="Times New Roman" w:eastAsia="宋体" w:cs="Times New Roman"/>
                <w:b/>
                <w:bCs w:val="0"/>
                <w:color w:val="auto"/>
                <w:sz w:val="24"/>
                <w:lang w:val="en-US" w:eastAsia="zh-CN"/>
              </w:rPr>
              <w:t>1.3</w:t>
            </w:r>
            <w:r>
              <w:rPr>
                <w:rFonts w:hint="default" w:ascii="Times New Roman" w:hAnsi="Times New Roman" w:eastAsia="宋体" w:cs="Times New Roman"/>
                <w:b/>
                <w:bCs w:val="0"/>
                <w:color w:val="auto"/>
                <w:sz w:val="24"/>
              </w:rPr>
              <w:t>监测要求</w:t>
            </w:r>
          </w:p>
          <w:p w14:paraId="25359F2E">
            <w:pPr>
              <w:pStyle w:val="62"/>
              <w:keepNext w:val="0"/>
              <w:keepLines w:val="0"/>
              <w:suppressLineNumbers w:val="0"/>
              <w:bidi w:val="0"/>
              <w:spacing w:before="0" w:beforeAutospacing="0" w:after="0" w:afterAutospacing="0"/>
              <w:ind w:left="0" w:right="0"/>
              <w:rPr>
                <w:rFonts w:hint="eastAsia"/>
                <w:color w:val="auto"/>
              </w:rPr>
            </w:pPr>
            <w:r>
              <w:rPr>
                <w:rFonts w:hint="eastAsia" w:ascii="宋体" w:hAnsi="宋体" w:eastAsia="宋体" w:cs="宋体"/>
                <w:color w:val="auto"/>
                <w:kern w:val="0"/>
                <w:sz w:val="24"/>
                <w:szCs w:val="24"/>
                <w:lang w:val="en-US" w:eastAsia="zh-CN" w:bidi="ar"/>
              </w:rPr>
              <w:t>根据本项目生产特征和污染物的排放特征，参照</w:t>
            </w:r>
            <w:r>
              <w:rPr>
                <w:rFonts w:hint="default" w:ascii="Times New Roman" w:hAnsi="Times New Roman" w:eastAsia="宋体" w:cs="Times New Roman"/>
                <w:color w:val="auto"/>
                <w:sz w:val="24"/>
                <w:szCs w:val="24"/>
                <w:highlight w:val="none"/>
                <w:lang w:eastAsia="zh-CN"/>
              </w:rPr>
              <w:t>《排污单位自行监测技术指南</w:t>
            </w:r>
            <w:r>
              <w:rPr>
                <w:rFonts w:hint="default" w:ascii="Times New Roman" w:hAnsi="Times New Roman" w:eastAsia="宋体" w:cs="Times New Roman"/>
                <w:color w:val="auto"/>
                <w:sz w:val="24"/>
                <w:szCs w:val="24"/>
                <w:highlight w:val="none"/>
                <w:lang w:val="en-US" w:eastAsia="zh-CN"/>
              </w:rPr>
              <w:t xml:space="preserve">  </w:t>
            </w:r>
            <w:r>
              <w:rPr>
                <w:rFonts w:hint="eastAsia" w:ascii="Times New Roman" w:hAnsi="Times New Roman" w:eastAsia="宋体" w:cs="Times New Roman"/>
                <w:color w:val="auto"/>
                <w:sz w:val="24"/>
                <w:szCs w:val="24"/>
                <w:highlight w:val="none"/>
                <w:lang w:val="en-US" w:eastAsia="zh-CN"/>
              </w:rPr>
              <w:t>总则</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 xml:space="preserve">HJ </w:t>
            </w:r>
            <w:r>
              <w:rPr>
                <w:rFonts w:hint="eastAsia" w:ascii="Times New Roman" w:hAnsi="Times New Roman" w:eastAsia="宋体" w:cs="Times New Roman"/>
                <w:color w:val="auto"/>
                <w:sz w:val="24"/>
                <w:szCs w:val="24"/>
                <w:highlight w:val="none"/>
                <w:lang w:val="en-US" w:eastAsia="zh-CN"/>
              </w:rPr>
              <w:t>819</w:t>
            </w:r>
            <w:r>
              <w:rPr>
                <w:rFonts w:hint="default" w:ascii="Times New Roman" w:hAnsi="Times New Roman" w:eastAsia="宋体" w:cs="Times New Roman"/>
                <w:color w:val="auto"/>
                <w:sz w:val="24"/>
                <w:szCs w:val="24"/>
                <w:highlight w:val="none"/>
                <w:lang w:val="en-US" w:eastAsia="zh-CN"/>
              </w:rPr>
              <w:t>-2017</w:t>
            </w:r>
            <w:r>
              <w:rPr>
                <w:rFonts w:hint="default"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highlight w:val="none"/>
                <w:lang w:val="en-US" w:eastAsia="zh-CN"/>
              </w:rPr>
              <w:t>《排污许可证申请与核发技术规范铁路、船舶、航空航天和其他运输设备制造业》（HJ1124-2020）</w:t>
            </w:r>
            <w:r>
              <w:rPr>
                <w:rFonts w:hint="eastAsia" w:ascii="宋体" w:hAnsi="宋体" w:eastAsia="宋体" w:cs="宋体"/>
                <w:color w:val="auto"/>
                <w:kern w:val="0"/>
                <w:sz w:val="24"/>
                <w:szCs w:val="24"/>
                <w:lang w:val="en-US" w:eastAsia="zh-CN" w:bidi="ar"/>
              </w:rPr>
              <w:t>中相关要求制定本项目的监测计划和工作方案</w:t>
            </w:r>
            <w:r>
              <w:rPr>
                <w:rFonts w:hint="eastAsia"/>
                <w:color w:val="auto"/>
                <w:lang w:val="en-US" w:eastAsia="zh-CN"/>
              </w:rPr>
              <w:t>，本项目</w:t>
            </w:r>
            <w:r>
              <w:rPr>
                <w:rFonts w:hint="eastAsia"/>
                <w:color w:val="auto"/>
              </w:rPr>
              <w:t>环境监测计划详见下表。</w:t>
            </w:r>
          </w:p>
          <w:p w14:paraId="20F2D3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宋体" w:cs="Times New Roman"/>
                <w:b/>
                <w:color w:val="auto"/>
                <w:kern w:val="0"/>
                <w:szCs w:val="21"/>
              </w:rPr>
            </w:pPr>
            <w:r>
              <w:rPr>
                <w:rFonts w:hint="default" w:ascii="Times New Roman" w:hAnsi="Times New Roman" w:eastAsia="宋体" w:cs="Times New Roman"/>
                <w:b/>
                <w:color w:val="auto"/>
                <w:kern w:val="0"/>
                <w:szCs w:val="21"/>
              </w:rPr>
              <w:t>表4-</w:t>
            </w:r>
            <w:r>
              <w:rPr>
                <w:rFonts w:hint="eastAsia" w:ascii="Times New Roman" w:hAnsi="Times New Roman" w:cs="Times New Roman"/>
                <w:b/>
                <w:color w:val="auto"/>
                <w:kern w:val="0"/>
                <w:szCs w:val="21"/>
                <w:lang w:val="en-US" w:eastAsia="zh-CN"/>
              </w:rPr>
              <w:t>7</w:t>
            </w:r>
            <w:r>
              <w:rPr>
                <w:rFonts w:hint="default" w:ascii="Times New Roman" w:hAnsi="Times New Roman" w:eastAsia="宋体" w:cs="Times New Roman"/>
                <w:b/>
                <w:color w:val="auto"/>
                <w:kern w:val="0"/>
                <w:szCs w:val="21"/>
                <w:lang w:val="en-US" w:eastAsia="zh-CN"/>
              </w:rPr>
              <w:t xml:space="preserve"> </w:t>
            </w:r>
            <w:r>
              <w:rPr>
                <w:rFonts w:hint="default" w:ascii="Times New Roman" w:hAnsi="Times New Roman" w:eastAsia="宋体" w:cs="Times New Roman"/>
                <w:b/>
                <w:color w:val="auto"/>
                <w:kern w:val="0"/>
                <w:szCs w:val="21"/>
              </w:rPr>
              <w:t xml:space="preserve"> 排污单位有组织废气排放监测点位、监测指标及最低监测频次</w:t>
            </w:r>
          </w:p>
          <w:tbl>
            <w:tblPr>
              <w:tblStyle w:val="52"/>
              <w:tblW w:w="4997"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4"/>
              <w:gridCol w:w="3374"/>
              <w:gridCol w:w="2796"/>
              <w:gridCol w:w="1606"/>
            </w:tblGrid>
            <w:tr w14:paraId="1FC930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cantSplit/>
                <w:trHeight w:val="306" w:hRule="atLeast"/>
                <w:jc w:val="center"/>
              </w:trPr>
              <w:tc>
                <w:tcPr>
                  <w:tcW w:w="784" w:type="dxa"/>
                  <w:noWrap w:val="0"/>
                  <w:vAlign w:val="center"/>
                </w:tcPr>
                <w:p w14:paraId="13BACA8D">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序号</w:t>
                  </w:r>
                </w:p>
              </w:tc>
              <w:tc>
                <w:tcPr>
                  <w:tcW w:w="3374" w:type="dxa"/>
                  <w:noWrap w:val="0"/>
                  <w:vAlign w:val="center"/>
                </w:tcPr>
                <w:p w14:paraId="7A6BDCE1">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监测点位</w:t>
                  </w:r>
                </w:p>
              </w:tc>
              <w:tc>
                <w:tcPr>
                  <w:tcW w:w="2796" w:type="dxa"/>
                  <w:noWrap w:val="0"/>
                  <w:vAlign w:val="center"/>
                </w:tcPr>
                <w:p w14:paraId="4A972475">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监测指标</w:t>
                  </w:r>
                </w:p>
              </w:tc>
              <w:tc>
                <w:tcPr>
                  <w:tcW w:w="1606" w:type="dxa"/>
                  <w:noWrap w:val="0"/>
                  <w:vAlign w:val="center"/>
                </w:tcPr>
                <w:p w14:paraId="096EE231">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监测频率</w:t>
                  </w:r>
                </w:p>
              </w:tc>
            </w:tr>
            <w:tr w14:paraId="14CCE2C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06" w:hRule="atLeast"/>
                <w:jc w:val="center"/>
              </w:trPr>
              <w:tc>
                <w:tcPr>
                  <w:tcW w:w="784" w:type="dxa"/>
                  <w:noWrap w:val="0"/>
                  <w:vAlign w:val="center"/>
                </w:tcPr>
                <w:p w14:paraId="1EBC6993">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szCs w:val="21"/>
                    </w:rPr>
                  </w:pPr>
                  <w:r>
                    <w:rPr>
                      <w:rFonts w:hint="default" w:ascii="Times New Roman" w:hAnsi="Times New Roman" w:eastAsia="Times New Roman" w:cs="Times New Roman"/>
                      <w:color w:val="auto"/>
                      <w:szCs w:val="21"/>
                    </w:rPr>
                    <w:t>1</w:t>
                  </w:r>
                </w:p>
              </w:tc>
              <w:tc>
                <w:tcPr>
                  <w:tcW w:w="3374" w:type="dxa"/>
                  <w:noWrap w:val="0"/>
                  <w:vAlign w:val="center"/>
                </w:tcPr>
                <w:p w14:paraId="24E511B2">
                  <w:pPr>
                    <w:keepNext w:val="0"/>
                    <w:keepLines w:val="0"/>
                    <w:suppressLineNumbers w:val="0"/>
                    <w:spacing w:before="0" w:beforeAutospacing="0" w:after="0" w:afterAutospacing="0" w:line="240" w:lineRule="auto"/>
                    <w:ind w:left="-63" w:leftChars="-30" w:right="-63" w:rightChars="-30"/>
                    <w:jc w:val="center"/>
                    <w:rPr>
                      <w:rStyle w:val="60"/>
                      <w:rFonts w:hint="default" w:ascii="Times New Roman" w:hAnsi="Times New Roman" w:eastAsia="宋体" w:cs="Times New Roman"/>
                      <w:color w:val="auto"/>
                      <w:lang w:val="en-US" w:eastAsia="zh-CN"/>
                    </w:rPr>
                  </w:pPr>
                  <w:r>
                    <w:rPr>
                      <w:rFonts w:hint="eastAsia" w:ascii="Times New Roman" w:hAnsi="Times New Roman" w:cs="Times New Roman"/>
                      <w:color w:val="auto"/>
                      <w:sz w:val="21"/>
                      <w:szCs w:val="21"/>
                      <w:lang w:val="en-US" w:eastAsia="zh-CN"/>
                    </w:rPr>
                    <w:t>箱式渗碳</w:t>
                  </w:r>
                  <w:r>
                    <w:rPr>
                      <w:rFonts w:hint="eastAsia" w:ascii="Times New Roman" w:hAnsi="Times New Roman" w:eastAsia="Times New Roman" w:cs="Times New Roman"/>
                      <w:b w:val="0"/>
                      <w:bCs/>
                      <w:color w:val="auto"/>
                      <w:sz w:val="21"/>
                      <w:szCs w:val="21"/>
                      <w:lang w:val="en-US" w:eastAsia="zh-CN"/>
                    </w:rPr>
                    <w:t>、淬火回火</w:t>
                  </w:r>
                  <w:r>
                    <w:rPr>
                      <w:rStyle w:val="60"/>
                      <w:rFonts w:hint="eastAsia" w:ascii="Times New Roman" w:hAnsi="Times New Roman" w:eastAsia="Times New Roman" w:cs="Times New Roman"/>
                      <w:color w:val="auto"/>
                      <w:lang w:val="en-US" w:eastAsia="zh-CN"/>
                    </w:rPr>
                    <w:t>废气</w:t>
                  </w:r>
                  <w:r>
                    <w:rPr>
                      <w:rStyle w:val="60"/>
                      <w:rFonts w:hint="default" w:ascii="Times New Roman" w:hAnsi="Times New Roman" w:eastAsia="Times New Roman" w:cs="Times New Roman"/>
                      <w:color w:val="auto"/>
                      <w:lang w:val="en-US" w:eastAsia="zh-CN"/>
                    </w:rPr>
                    <w:t>排放口</w:t>
                  </w:r>
                  <w:r>
                    <w:rPr>
                      <w:rStyle w:val="60"/>
                      <w:rFonts w:hint="default" w:ascii="Times New Roman" w:hAnsi="Times New Roman" w:eastAsia="Times New Roman" w:cs="Times New Roman"/>
                      <w:color w:val="auto"/>
                    </w:rPr>
                    <w:t>（</w:t>
                  </w:r>
                  <w:r>
                    <w:rPr>
                      <w:rFonts w:hint="default" w:ascii="Times New Roman" w:hAnsi="Times New Roman" w:eastAsia="Times New Roman" w:cs="Times New Roman"/>
                      <w:color w:val="auto"/>
                      <w:kern w:val="0"/>
                      <w:szCs w:val="21"/>
                    </w:rPr>
                    <w:t>DA00</w:t>
                  </w:r>
                  <w:r>
                    <w:rPr>
                      <w:rFonts w:hint="default" w:ascii="Times New Roman" w:hAnsi="Times New Roman" w:eastAsia="Times New Roman" w:cs="Times New Roman"/>
                      <w:color w:val="auto"/>
                      <w:kern w:val="0"/>
                      <w:szCs w:val="21"/>
                      <w:lang w:val="en-US" w:eastAsia="zh-CN"/>
                    </w:rPr>
                    <w:t>1</w:t>
                  </w:r>
                  <w:r>
                    <w:rPr>
                      <w:rStyle w:val="60"/>
                      <w:rFonts w:hint="default" w:ascii="Times New Roman" w:hAnsi="Times New Roman" w:eastAsia="Times New Roman" w:cs="Times New Roman"/>
                      <w:color w:val="auto"/>
                    </w:rPr>
                    <w:t>）</w:t>
                  </w:r>
                </w:p>
              </w:tc>
              <w:tc>
                <w:tcPr>
                  <w:tcW w:w="2796" w:type="dxa"/>
                  <w:noWrap w:val="0"/>
                  <w:vAlign w:val="center"/>
                </w:tcPr>
                <w:p w14:paraId="4D09E8C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Cs w:val="21"/>
                      <w:lang w:val="en-US" w:eastAsia="zh-CN"/>
                    </w:rPr>
                  </w:pPr>
                  <w:r>
                    <w:rPr>
                      <w:rFonts w:hint="default" w:ascii="Times New Roman" w:hAnsi="Times New Roman" w:eastAsia="Times New Roman" w:cs="Times New Roman"/>
                      <w:color w:val="auto"/>
                      <w:szCs w:val="21"/>
                    </w:rPr>
                    <w:t>非甲烷总烃</w:t>
                  </w:r>
                  <w:r>
                    <w:rPr>
                      <w:rFonts w:hint="eastAsia" w:ascii="Times New Roman" w:hAnsi="Times New Roman" w:eastAsia="宋体" w:cs="Times New Roman"/>
                      <w:color w:val="auto"/>
                      <w:szCs w:val="21"/>
                      <w:lang w:eastAsia="zh-CN"/>
                    </w:rPr>
                    <w:t>、</w:t>
                  </w:r>
                  <w:r>
                    <w:rPr>
                      <w:rFonts w:hint="eastAsia" w:ascii="Times New Roman" w:hAnsi="Times New Roman" w:eastAsia="Times New Roman" w:cs="Times New Roman"/>
                      <w:color w:val="auto"/>
                      <w:szCs w:val="21"/>
                      <w:lang w:val="en-US" w:eastAsia="zh-CN"/>
                    </w:rPr>
                    <w:t>颗粒物</w:t>
                  </w:r>
                </w:p>
              </w:tc>
              <w:tc>
                <w:tcPr>
                  <w:tcW w:w="1606" w:type="dxa"/>
                  <w:noWrap w:val="0"/>
                  <w:vAlign w:val="center"/>
                </w:tcPr>
                <w:p w14:paraId="44F83629">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bCs/>
                      <w:color w:val="auto"/>
                      <w:szCs w:val="21"/>
                    </w:rPr>
                  </w:pPr>
                  <w:r>
                    <w:rPr>
                      <w:rFonts w:hint="default" w:ascii="Times New Roman" w:hAnsi="Times New Roman" w:eastAsia="Times New Roman" w:cs="Times New Roman"/>
                      <w:color w:val="auto"/>
                      <w:kern w:val="0"/>
                      <w:szCs w:val="21"/>
                    </w:rPr>
                    <w:t>1次/</w:t>
                  </w:r>
                  <w:r>
                    <w:rPr>
                      <w:rFonts w:hint="eastAsia" w:ascii="Times New Roman" w:hAnsi="Times New Roman" w:eastAsia="宋体" w:cs="Times New Roman"/>
                      <w:color w:val="auto"/>
                      <w:kern w:val="0"/>
                      <w:szCs w:val="21"/>
                      <w:lang w:val="en-US" w:eastAsia="zh-CN"/>
                    </w:rPr>
                    <w:t>半</w:t>
                  </w:r>
                  <w:r>
                    <w:rPr>
                      <w:rFonts w:hint="default" w:ascii="Times New Roman" w:hAnsi="Times New Roman" w:eastAsia="Times New Roman" w:cs="Times New Roman"/>
                      <w:color w:val="auto"/>
                      <w:kern w:val="0"/>
                      <w:szCs w:val="21"/>
                    </w:rPr>
                    <w:t>年</w:t>
                  </w:r>
                </w:p>
              </w:tc>
            </w:tr>
            <w:tr w14:paraId="14661E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06" w:hRule="atLeast"/>
                <w:jc w:val="center"/>
              </w:trPr>
              <w:tc>
                <w:tcPr>
                  <w:tcW w:w="784" w:type="dxa"/>
                  <w:noWrap w:val="0"/>
                  <w:vAlign w:val="center"/>
                </w:tcPr>
                <w:p w14:paraId="7D0E5A7E">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w:t>
                  </w:r>
                </w:p>
              </w:tc>
              <w:tc>
                <w:tcPr>
                  <w:tcW w:w="3374" w:type="dxa"/>
                  <w:noWrap w:val="0"/>
                  <w:vAlign w:val="center"/>
                </w:tcPr>
                <w:p w14:paraId="1BD9CB92">
                  <w:pPr>
                    <w:keepNext w:val="0"/>
                    <w:keepLines w:val="0"/>
                    <w:suppressLineNumbers w:val="0"/>
                    <w:spacing w:before="0" w:beforeAutospacing="0" w:after="0" w:afterAutospacing="0" w:line="240" w:lineRule="auto"/>
                    <w:ind w:left="-63" w:leftChars="-30" w:right="-63" w:rightChars="-30"/>
                    <w:jc w:val="center"/>
                    <w:rPr>
                      <w:rFonts w:hint="eastAsia" w:ascii="Times New Roman" w:hAnsi="Times New Roman" w:eastAsia="Times New Roman" w:cs="Times New Roman"/>
                      <w:b w:val="0"/>
                      <w:bCs/>
                      <w:color w:val="auto"/>
                      <w:sz w:val="21"/>
                      <w:szCs w:val="21"/>
                      <w:lang w:val="en-US" w:eastAsia="zh-CN"/>
                    </w:rPr>
                  </w:pPr>
                  <w:r>
                    <w:rPr>
                      <w:rFonts w:hint="eastAsia" w:ascii="Times New Roman" w:hAnsi="Times New Roman" w:cs="Times New Roman"/>
                      <w:color w:val="auto"/>
                      <w:sz w:val="21"/>
                      <w:szCs w:val="21"/>
                      <w:lang w:val="en-US" w:eastAsia="zh-CN"/>
                    </w:rPr>
                    <w:t>天然气燃烧</w:t>
                  </w:r>
                  <w:r>
                    <w:rPr>
                      <w:rStyle w:val="60"/>
                      <w:rFonts w:hint="eastAsia" w:ascii="Times New Roman" w:hAnsi="Times New Roman" w:eastAsia="Times New Roman" w:cs="Times New Roman"/>
                      <w:color w:val="auto"/>
                      <w:lang w:val="en-US" w:eastAsia="zh-CN"/>
                    </w:rPr>
                    <w:t>废气</w:t>
                  </w:r>
                  <w:r>
                    <w:rPr>
                      <w:rStyle w:val="60"/>
                      <w:rFonts w:hint="default" w:ascii="Times New Roman" w:hAnsi="Times New Roman" w:eastAsia="Times New Roman" w:cs="Times New Roman"/>
                      <w:color w:val="auto"/>
                      <w:lang w:val="en-US" w:eastAsia="zh-CN"/>
                    </w:rPr>
                    <w:t>排放口</w:t>
                  </w:r>
                  <w:r>
                    <w:rPr>
                      <w:rStyle w:val="60"/>
                      <w:rFonts w:hint="default" w:ascii="Times New Roman" w:hAnsi="Times New Roman" w:eastAsia="Times New Roman" w:cs="Times New Roman"/>
                      <w:color w:val="auto"/>
                    </w:rPr>
                    <w:t>（</w:t>
                  </w:r>
                  <w:r>
                    <w:rPr>
                      <w:rFonts w:hint="default" w:ascii="Times New Roman" w:hAnsi="Times New Roman" w:eastAsia="Times New Roman" w:cs="Times New Roman"/>
                      <w:color w:val="auto"/>
                      <w:kern w:val="0"/>
                      <w:szCs w:val="21"/>
                    </w:rPr>
                    <w:t>DA00</w:t>
                  </w:r>
                  <w:r>
                    <w:rPr>
                      <w:rFonts w:hint="default" w:ascii="Times New Roman" w:hAnsi="Times New Roman" w:eastAsia="Times New Roman" w:cs="Times New Roman"/>
                      <w:color w:val="auto"/>
                      <w:kern w:val="0"/>
                      <w:szCs w:val="21"/>
                      <w:lang w:val="en-US" w:eastAsia="zh-CN"/>
                    </w:rPr>
                    <w:t>1</w:t>
                  </w:r>
                  <w:r>
                    <w:rPr>
                      <w:rStyle w:val="60"/>
                      <w:rFonts w:hint="default" w:ascii="Times New Roman" w:hAnsi="Times New Roman" w:eastAsia="Times New Roman" w:cs="Times New Roman"/>
                      <w:color w:val="auto"/>
                    </w:rPr>
                    <w:t>）</w:t>
                  </w:r>
                </w:p>
              </w:tc>
              <w:tc>
                <w:tcPr>
                  <w:tcW w:w="2796" w:type="dxa"/>
                  <w:noWrap w:val="0"/>
                  <w:vAlign w:val="center"/>
                </w:tcPr>
                <w:p w14:paraId="59FCBE00">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szCs w:val="21"/>
                    </w:rPr>
                  </w:pPr>
                  <w:r>
                    <w:rPr>
                      <w:rFonts w:hint="eastAsia" w:ascii="Times New Roman" w:hAnsi="Times New Roman" w:eastAsia="宋体" w:cs="Times New Roman"/>
                      <w:color w:val="auto"/>
                      <w:sz w:val="21"/>
                      <w:szCs w:val="21"/>
                      <w:lang w:val="en-US" w:eastAsia="zh-CN"/>
                    </w:rPr>
                    <w:t>颗粒物、二氧化硫、氮氧化物</w:t>
                  </w:r>
                </w:p>
              </w:tc>
              <w:tc>
                <w:tcPr>
                  <w:tcW w:w="1606" w:type="dxa"/>
                  <w:noWrap w:val="0"/>
                  <w:vAlign w:val="center"/>
                </w:tcPr>
                <w:p w14:paraId="53E76EF0">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kern w:val="0"/>
                      <w:szCs w:val="21"/>
                    </w:rPr>
                  </w:pPr>
                  <w:r>
                    <w:rPr>
                      <w:rFonts w:hint="default" w:ascii="Times New Roman" w:hAnsi="Times New Roman" w:eastAsia="Times New Roman" w:cs="Times New Roman"/>
                      <w:color w:val="auto"/>
                      <w:kern w:val="0"/>
                      <w:szCs w:val="21"/>
                    </w:rPr>
                    <w:t>1次/</w:t>
                  </w:r>
                  <w:r>
                    <w:rPr>
                      <w:rFonts w:hint="eastAsia" w:ascii="Times New Roman" w:hAnsi="Times New Roman" w:eastAsia="宋体" w:cs="Times New Roman"/>
                      <w:color w:val="auto"/>
                      <w:kern w:val="0"/>
                      <w:szCs w:val="21"/>
                      <w:lang w:val="en-US" w:eastAsia="zh-CN"/>
                    </w:rPr>
                    <w:t>半</w:t>
                  </w:r>
                  <w:r>
                    <w:rPr>
                      <w:rFonts w:hint="default" w:ascii="Times New Roman" w:hAnsi="Times New Roman" w:eastAsia="Times New Roman" w:cs="Times New Roman"/>
                      <w:color w:val="auto"/>
                      <w:kern w:val="0"/>
                      <w:szCs w:val="21"/>
                    </w:rPr>
                    <w:t>年</w:t>
                  </w:r>
                </w:p>
              </w:tc>
            </w:tr>
          </w:tbl>
          <w:p w14:paraId="3CAE3A5D">
            <w:pPr>
              <w:keepNext w:val="0"/>
              <w:keepLines w:val="0"/>
              <w:suppressLineNumbers w:val="0"/>
              <w:spacing w:before="0" w:beforeAutospacing="0" w:after="0" w:afterAutospacing="0" w:line="440" w:lineRule="exact"/>
              <w:ind w:left="0" w:right="0"/>
              <w:jc w:val="center"/>
              <w:rPr>
                <w:rFonts w:hint="default" w:ascii="Times New Roman" w:hAnsi="Times New Roman" w:eastAsia="宋体" w:cs="Times New Roman"/>
                <w:b/>
                <w:color w:val="auto"/>
                <w:kern w:val="0"/>
                <w:szCs w:val="21"/>
              </w:rPr>
            </w:pPr>
            <w:r>
              <w:rPr>
                <w:rFonts w:hint="default" w:ascii="Times New Roman" w:hAnsi="Times New Roman" w:eastAsia="宋体" w:cs="Times New Roman"/>
                <w:b/>
                <w:color w:val="auto"/>
                <w:kern w:val="0"/>
                <w:szCs w:val="21"/>
              </w:rPr>
              <w:t>表4-</w:t>
            </w:r>
            <w:r>
              <w:rPr>
                <w:rFonts w:hint="eastAsia" w:ascii="Times New Roman" w:hAnsi="Times New Roman" w:cs="Times New Roman"/>
                <w:b/>
                <w:color w:val="auto"/>
                <w:kern w:val="0"/>
                <w:szCs w:val="21"/>
                <w:lang w:val="en-US" w:eastAsia="zh-CN"/>
              </w:rPr>
              <w:t>8</w:t>
            </w:r>
            <w:r>
              <w:rPr>
                <w:rFonts w:hint="default" w:ascii="Times New Roman" w:hAnsi="Times New Roman" w:eastAsia="宋体" w:cs="Times New Roman"/>
                <w:b/>
                <w:color w:val="auto"/>
                <w:kern w:val="0"/>
                <w:szCs w:val="21"/>
                <w:lang w:val="en-US" w:eastAsia="zh-CN"/>
              </w:rPr>
              <w:t xml:space="preserve"> </w:t>
            </w:r>
            <w:r>
              <w:rPr>
                <w:rFonts w:hint="default" w:ascii="Times New Roman" w:hAnsi="Times New Roman" w:eastAsia="宋体" w:cs="Times New Roman"/>
                <w:b/>
                <w:color w:val="auto"/>
                <w:kern w:val="0"/>
                <w:szCs w:val="21"/>
              </w:rPr>
              <w:t xml:space="preserve"> 无组织废气排放监测点位、监测指标及最低监测频次</w:t>
            </w:r>
          </w:p>
          <w:tbl>
            <w:tblPr>
              <w:tblStyle w:val="52"/>
              <w:tblW w:w="4997"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00"/>
              <w:gridCol w:w="2077"/>
              <w:gridCol w:w="4081"/>
              <w:gridCol w:w="1602"/>
            </w:tblGrid>
            <w:tr w14:paraId="37E3C5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06" w:hRule="atLeast"/>
                <w:jc w:val="center"/>
              </w:trPr>
              <w:tc>
                <w:tcPr>
                  <w:tcW w:w="467" w:type="pct"/>
                  <w:noWrap w:val="0"/>
                  <w:vAlign w:val="center"/>
                </w:tcPr>
                <w:p w14:paraId="191FC6DD">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序号</w:t>
                  </w:r>
                </w:p>
              </w:tc>
              <w:tc>
                <w:tcPr>
                  <w:tcW w:w="1213" w:type="pct"/>
                  <w:noWrap w:val="0"/>
                  <w:vAlign w:val="center"/>
                </w:tcPr>
                <w:p w14:paraId="5EAD01EB">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监测点位</w:t>
                  </w:r>
                </w:p>
              </w:tc>
              <w:tc>
                <w:tcPr>
                  <w:tcW w:w="2383" w:type="pct"/>
                  <w:noWrap w:val="0"/>
                  <w:vAlign w:val="center"/>
                </w:tcPr>
                <w:p w14:paraId="3CBCDA50">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监测指标</w:t>
                  </w:r>
                </w:p>
              </w:tc>
              <w:tc>
                <w:tcPr>
                  <w:tcW w:w="935" w:type="pct"/>
                  <w:noWrap w:val="0"/>
                  <w:vAlign w:val="center"/>
                </w:tcPr>
                <w:p w14:paraId="19BBA627">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监测频率</w:t>
                  </w:r>
                </w:p>
              </w:tc>
            </w:tr>
            <w:tr w14:paraId="5B36AA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76" w:hRule="atLeast"/>
                <w:jc w:val="center"/>
              </w:trPr>
              <w:tc>
                <w:tcPr>
                  <w:tcW w:w="467" w:type="pct"/>
                  <w:noWrap w:val="0"/>
                  <w:vAlign w:val="center"/>
                </w:tcPr>
                <w:p w14:paraId="0C67289D">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szCs w:val="21"/>
                    </w:rPr>
                  </w:pPr>
                  <w:r>
                    <w:rPr>
                      <w:rFonts w:hint="default" w:ascii="Times New Roman" w:hAnsi="Times New Roman" w:eastAsia="Times New Roman" w:cs="Times New Roman"/>
                      <w:color w:val="auto"/>
                      <w:szCs w:val="21"/>
                    </w:rPr>
                    <w:t>1</w:t>
                  </w:r>
                </w:p>
              </w:tc>
              <w:tc>
                <w:tcPr>
                  <w:tcW w:w="1213" w:type="pct"/>
                  <w:noWrap w:val="0"/>
                  <w:vAlign w:val="center"/>
                </w:tcPr>
                <w:p w14:paraId="4572FC67">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Times New Roman" w:cs="Times New Roman"/>
                      <w:color w:val="auto"/>
                      <w:szCs w:val="21"/>
                    </w:rPr>
                  </w:pPr>
                  <w:r>
                    <w:rPr>
                      <w:rStyle w:val="60"/>
                      <w:rFonts w:hint="default" w:ascii="Times New Roman" w:hAnsi="Times New Roman" w:eastAsia="Times New Roman" w:cs="Times New Roman"/>
                      <w:color w:val="auto"/>
                    </w:rPr>
                    <w:t>厂界</w:t>
                  </w:r>
                </w:p>
              </w:tc>
              <w:tc>
                <w:tcPr>
                  <w:tcW w:w="2383" w:type="pct"/>
                  <w:noWrap w:val="0"/>
                  <w:vAlign w:val="center"/>
                </w:tcPr>
                <w:p w14:paraId="40540547">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szCs w:val="21"/>
                    </w:rPr>
                  </w:pPr>
                  <w:r>
                    <w:rPr>
                      <w:rFonts w:hint="default" w:ascii="Times New Roman" w:hAnsi="Times New Roman" w:eastAsia="Times New Roman" w:cs="Times New Roman"/>
                      <w:color w:val="auto"/>
                      <w:szCs w:val="21"/>
                    </w:rPr>
                    <w:t>非甲烷总烃</w:t>
                  </w:r>
                  <w:r>
                    <w:rPr>
                      <w:rFonts w:hint="eastAsia" w:ascii="Times New Roman" w:hAnsi="Times New Roman" w:eastAsia="Times New Roman" w:cs="Times New Roman"/>
                      <w:color w:val="auto"/>
                      <w:szCs w:val="21"/>
                      <w:lang w:eastAsia="zh-CN"/>
                    </w:rPr>
                    <w:t>、</w:t>
                  </w:r>
                  <w:r>
                    <w:rPr>
                      <w:rFonts w:hint="eastAsia" w:ascii="Times New Roman" w:hAnsi="Times New Roman" w:eastAsia="Times New Roman" w:cs="Times New Roman"/>
                      <w:color w:val="auto"/>
                      <w:szCs w:val="21"/>
                      <w:lang w:val="en-US" w:eastAsia="zh-CN"/>
                    </w:rPr>
                    <w:t>颗粒物</w:t>
                  </w:r>
                </w:p>
              </w:tc>
              <w:tc>
                <w:tcPr>
                  <w:tcW w:w="935" w:type="pct"/>
                  <w:noWrap w:val="0"/>
                  <w:vAlign w:val="center"/>
                </w:tcPr>
                <w:p w14:paraId="0E241AED">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bCs/>
                      <w:color w:val="auto"/>
                      <w:szCs w:val="21"/>
                    </w:rPr>
                  </w:pPr>
                  <w:r>
                    <w:rPr>
                      <w:rFonts w:hint="default" w:ascii="Times New Roman" w:hAnsi="Times New Roman" w:eastAsia="Times New Roman" w:cs="Times New Roman"/>
                      <w:color w:val="auto"/>
                      <w:kern w:val="0"/>
                      <w:szCs w:val="21"/>
                    </w:rPr>
                    <w:t>1次/</w:t>
                  </w:r>
                  <w:r>
                    <w:rPr>
                      <w:rFonts w:hint="eastAsia" w:ascii="Times New Roman" w:hAnsi="Times New Roman" w:eastAsia="宋体" w:cs="Times New Roman"/>
                      <w:color w:val="auto"/>
                      <w:kern w:val="0"/>
                      <w:szCs w:val="21"/>
                      <w:lang w:val="en-US" w:eastAsia="zh-CN"/>
                    </w:rPr>
                    <w:t>半</w:t>
                  </w:r>
                  <w:r>
                    <w:rPr>
                      <w:rFonts w:hint="default" w:ascii="Times New Roman" w:hAnsi="Times New Roman" w:eastAsia="Times New Roman" w:cs="Times New Roman"/>
                      <w:color w:val="auto"/>
                      <w:kern w:val="0"/>
                      <w:szCs w:val="21"/>
                    </w:rPr>
                    <w:t>年</w:t>
                  </w:r>
                </w:p>
              </w:tc>
            </w:tr>
            <w:tr w14:paraId="148A54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76" w:hRule="atLeast"/>
                <w:jc w:val="center"/>
              </w:trPr>
              <w:tc>
                <w:tcPr>
                  <w:tcW w:w="467" w:type="pct"/>
                  <w:noWrap w:val="0"/>
                  <w:vAlign w:val="center"/>
                </w:tcPr>
                <w:p w14:paraId="598D0992">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color w:val="auto"/>
                      <w:szCs w:val="21"/>
                      <w:lang w:val="en-US" w:eastAsia="zh-CN"/>
                    </w:rPr>
                  </w:pPr>
                  <w:r>
                    <w:rPr>
                      <w:rFonts w:hint="eastAsia" w:ascii="Times New Roman" w:hAnsi="Times New Roman" w:eastAsia="Times New Roman" w:cs="Times New Roman"/>
                      <w:color w:val="auto"/>
                      <w:szCs w:val="21"/>
                      <w:lang w:val="en-US" w:eastAsia="zh-CN"/>
                    </w:rPr>
                    <w:t>2</w:t>
                  </w:r>
                </w:p>
              </w:tc>
              <w:tc>
                <w:tcPr>
                  <w:tcW w:w="1213" w:type="pct"/>
                  <w:noWrap w:val="0"/>
                  <w:vAlign w:val="center"/>
                </w:tcPr>
                <w:p w14:paraId="2B45DAC4">
                  <w:pPr>
                    <w:keepNext w:val="0"/>
                    <w:keepLines w:val="0"/>
                    <w:suppressLineNumbers w:val="0"/>
                    <w:spacing w:before="0" w:beforeAutospacing="0" w:after="0" w:afterAutospacing="0" w:line="240" w:lineRule="auto"/>
                    <w:ind w:left="-63" w:leftChars="-30" w:right="-63" w:rightChars="-30"/>
                    <w:jc w:val="center"/>
                    <w:rPr>
                      <w:rStyle w:val="60"/>
                      <w:rFonts w:hint="eastAsia" w:ascii="Times New Roman" w:hAnsi="Times New Roman" w:eastAsia="Times New Roman" w:cs="Times New Roman"/>
                      <w:color w:val="auto"/>
                      <w:lang w:val="en-US" w:eastAsia="zh-CN"/>
                    </w:rPr>
                  </w:pPr>
                  <w:r>
                    <w:rPr>
                      <w:rStyle w:val="60"/>
                      <w:rFonts w:hint="default" w:ascii="Times New Roman" w:hAnsi="Times New Roman" w:eastAsia="Times New Roman" w:cs="Times New Roman"/>
                      <w:color w:val="auto"/>
                      <w:lang w:val="en-US" w:eastAsia="zh-CN"/>
                    </w:rPr>
                    <w:t>厂区内</w:t>
                  </w:r>
                  <w:r>
                    <w:rPr>
                      <w:rStyle w:val="60"/>
                      <w:rFonts w:hint="default" w:ascii="Times New Roman" w:hAnsi="Times New Roman" w:eastAsia="Times New Roman" w:cs="Times New Roman"/>
                      <w:color w:val="auto"/>
                    </w:rPr>
                    <w:t>厂房外</w:t>
                  </w:r>
                </w:p>
              </w:tc>
              <w:tc>
                <w:tcPr>
                  <w:tcW w:w="2383" w:type="pct"/>
                  <w:tcBorders>
                    <w:bottom w:val="single" w:color="auto" w:sz="4" w:space="0"/>
                  </w:tcBorders>
                  <w:noWrap w:val="0"/>
                  <w:vAlign w:val="center"/>
                </w:tcPr>
                <w:p w14:paraId="50C446B9">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szCs w:val="21"/>
                      <w:lang w:val="en-US" w:eastAsia="zh-CN"/>
                    </w:rPr>
                  </w:pPr>
                  <w:r>
                    <w:rPr>
                      <w:rFonts w:hint="default" w:ascii="Times New Roman" w:hAnsi="Times New Roman" w:eastAsia="Times New Roman" w:cs="Times New Roman"/>
                      <w:color w:val="auto"/>
                      <w:szCs w:val="21"/>
                    </w:rPr>
                    <w:t>非甲烷总烃</w:t>
                  </w:r>
                </w:p>
              </w:tc>
              <w:tc>
                <w:tcPr>
                  <w:tcW w:w="935" w:type="pct"/>
                  <w:tcBorders>
                    <w:bottom w:val="single" w:color="auto" w:sz="4" w:space="0"/>
                  </w:tcBorders>
                  <w:noWrap w:val="0"/>
                  <w:vAlign w:val="center"/>
                </w:tcPr>
                <w:p w14:paraId="681B8EEF">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kern w:val="0"/>
                      <w:szCs w:val="21"/>
                    </w:rPr>
                  </w:pPr>
                  <w:r>
                    <w:rPr>
                      <w:rFonts w:hint="default" w:ascii="Times New Roman" w:hAnsi="Times New Roman" w:eastAsia="Times New Roman" w:cs="Times New Roman"/>
                      <w:color w:val="auto"/>
                      <w:kern w:val="0"/>
                      <w:szCs w:val="21"/>
                    </w:rPr>
                    <w:t>1次/</w:t>
                  </w:r>
                  <w:r>
                    <w:rPr>
                      <w:rFonts w:hint="eastAsia" w:ascii="Times New Roman" w:hAnsi="Times New Roman" w:eastAsia="宋体" w:cs="Times New Roman"/>
                      <w:color w:val="auto"/>
                      <w:kern w:val="0"/>
                      <w:szCs w:val="21"/>
                      <w:lang w:val="en-US" w:eastAsia="zh-CN"/>
                    </w:rPr>
                    <w:t>半</w:t>
                  </w:r>
                  <w:r>
                    <w:rPr>
                      <w:rFonts w:hint="default" w:ascii="Times New Roman" w:hAnsi="Times New Roman" w:eastAsia="Times New Roman" w:cs="Times New Roman"/>
                      <w:color w:val="auto"/>
                      <w:kern w:val="0"/>
                      <w:szCs w:val="21"/>
                    </w:rPr>
                    <w:t>年</w:t>
                  </w:r>
                </w:p>
              </w:tc>
            </w:tr>
          </w:tbl>
          <w:p w14:paraId="10540D73">
            <w:pPr>
              <w:keepNext w:val="0"/>
              <w:keepLines w:val="0"/>
              <w:suppressLineNumbers w:val="0"/>
              <w:spacing w:before="0" w:beforeAutospacing="0" w:after="0" w:afterAutospacing="0" w:line="440" w:lineRule="exact"/>
              <w:ind w:left="0" w:right="0" w:firstLine="472" w:firstLineChars="196"/>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1.4</w:t>
            </w:r>
            <w:r>
              <w:rPr>
                <w:rFonts w:hint="default" w:ascii="Times New Roman" w:hAnsi="Times New Roman" w:eastAsia="宋体" w:cs="Times New Roman"/>
                <w:b/>
                <w:bCs/>
                <w:color w:val="auto"/>
                <w:sz w:val="24"/>
              </w:rPr>
              <w:t>非正常排放分析</w:t>
            </w:r>
          </w:p>
          <w:p w14:paraId="0757B25F">
            <w:pPr>
              <w:pStyle w:val="62"/>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本非正常排放指非正常工况下的污染物排放。如设备检修、污染物排放控制措施达不到应有效率、工艺设备运转异常等情况下的排放。本次非正常工况情景主要设定为废气处理装置</w:t>
            </w:r>
            <w:r>
              <w:rPr>
                <w:rFonts w:hint="default" w:ascii="Times New Roman" w:hAnsi="Times New Roman" w:cs="Times New Roman"/>
                <w:color w:val="auto"/>
                <w:lang w:val="en-US" w:eastAsia="zh-CN"/>
              </w:rPr>
              <w:t>异常（去除效率降至50%）</w:t>
            </w:r>
            <w:r>
              <w:rPr>
                <w:rFonts w:hint="default" w:ascii="Times New Roman" w:hAnsi="Times New Roman" w:cs="Times New Roman"/>
                <w:color w:val="auto"/>
              </w:rPr>
              <w:t>，</w:t>
            </w:r>
            <w:r>
              <w:rPr>
                <w:rFonts w:hint="default" w:ascii="Times New Roman" w:hAnsi="Times New Roman" w:cs="Times New Roman"/>
                <w:color w:val="auto"/>
                <w:lang w:val="en-US" w:eastAsia="zh-CN"/>
              </w:rPr>
              <w:t>在非正常工况下，污染物有组织排放情况详见下表</w:t>
            </w:r>
            <w:r>
              <w:rPr>
                <w:rFonts w:hint="default" w:ascii="Times New Roman" w:hAnsi="Times New Roman" w:cs="Times New Roman"/>
                <w:color w:val="auto"/>
              </w:rPr>
              <w:t>。</w:t>
            </w:r>
          </w:p>
          <w:p w14:paraId="4860A78C">
            <w:pPr>
              <w:pStyle w:val="63"/>
              <w:keepNext w:val="0"/>
              <w:keepLines w:val="0"/>
              <w:suppressLineNumbers w:val="0"/>
              <w:bidi w:val="0"/>
              <w:spacing w:before="0" w:beforeAutospacing="0" w:after="0" w:afterAutospacing="0"/>
              <w:ind w:left="0" w:right="0"/>
              <w:rPr>
                <w:rFonts w:hint="default" w:ascii="Times New Roman" w:hAnsi="Times New Roman" w:cs="Times New Roman"/>
                <w:color w:val="auto"/>
              </w:rPr>
            </w:pPr>
          </w:p>
          <w:p w14:paraId="55B08336">
            <w:pPr>
              <w:pStyle w:val="63"/>
              <w:keepNext w:val="0"/>
              <w:keepLines w:val="0"/>
              <w:suppressLineNumbers w:val="0"/>
              <w:bidi w:val="0"/>
              <w:spacing w:before="0" w:beforeAutospacing="0" w:after="0" w:afterAutospacing="0"/>
              <w:ind w:left="0" w:right="0"/>
              <w:rPr>
                <w:rFonts w:hint="default" w:ascii="Times New Roman" w:hAnsi="Times New Roman" w:cs="Times New Roman"/>
                <w:color w:val="auto"/>
              </w:rPr>
            </w:pPr>
          </w:p>
          <w:p w14:paraId="4B0CFC96">
            <w:pPr>
              <w:pStyle w:val="63"/>
              <w:keepNext w:val="0"/>
              <w:keepLines w:val="0"/>
              <w:suppressLineNumbers w:val="0"/>
              <w:bidi w:val="0"/>
              <w:spacing w:before="0" w:beforeAutospacing="0" w:after="0" w:afterAutospacing="0"/>
              <w:ind w:left="0" w:right="0"/>
              <w:rPr>
                <w:rFonts w:hint="default" w:ascii="Times New Roman" w:hAnsi="Times New Roman" w:cs="Times New Roman"/>
                <w:color w:val="auto"/>
              </w:rPr>
            </w:pPr>
          </w:p>
          <w:p w14:paraId="1D8B7112">
            <w:pPr>
              <w:pStyle w:val="63"/>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表4-</w:t>
            </w:r>
            <w:r>
              <w:rPr>
                <w:rFonts w:hint="eastAsia" w:cs="Times New Roman"/>
                <w:color w:val="auto"/>
                <w:lang w:val="en-US" w:eastAsia="zh-CN"/>
              </w:rPr>
              <w:t>9</w:t>
            </w:r>
            <w:r>
              <w:rPr>
                <w:rFonts w:hint="default" w:ascii="Times New Roman" w:hAnsi="Times New Roman" w:cs="Times New Roman"/>
                <w:color w:val="auto"/>
              </w:rPr>
              <w:t xml:space="preserve">  污染源非正常排放量情况</w:t>
            </w:r>
          </w:p>
          <w:tbl>
            <w:tblPr>
              <w:tblStyle w:val="52"/>
              <w:tblW w:w="852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69"/>
              <w:gridCol w:w="709"/>
              <w:gridCol w:w="699"/>
              <w:gridCol w:w="859"/>
              <w:gridCol w:w="794"/>
              <w:gridCol w:w="798"/>
              <w:gridCol w:w="840"/>
              <w:gridCol w:w="869"/>
              <w:gridCol w:w="950"/>
              <w:gridCol w:w="939"/>
            </w:tblGrid>
            <w:tr w14:paraId="5BBEDDB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90" w:hRule="atLeast"/>
                <w:jc w:val="center"/>
              </w:trPr>
              <w:tc>
                <w:tcPr>
                  <w:tcW w:w="1069" w:type="dxa"/>
                  <w:vMerge w:val="restart"/>
                  <w:tcBorders>
                    <w:tl2br w:val="nil"/>
                    <w:tr2bl w:val="nil"/>
                  </w:tcBorders>
                  <w:noWrap w:val="0"/>
                  <w:vAlign w:val="center"/>
                </w:tcPr>
                <w:p w14:paraId="1EC6AF66">
                  <w:pPr>
                    <w:pStyle w:val="46"/>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产污环节</w:t>
                  </w:r>
                </w:p>
              </w:tc>
              <w:tc>
                <w:tcPr>
                  <w:tcW w:w="709" w:type="dxa"/>
                  <w:vMerge w:val="restart"/>
                  <w:tcBorders>
                    <w:tl2br w:val="nil"/>
                    <w:tr2bl w:val="nil"/>
                  </w:tcBorders>
                  <w:noWrap w:val="0"/>
                  <w:vAlign w:val="center"/>
                </w:tcPr>
                <w:p w14:paraId="4EC862DA">
                  <w:pPr>
                    <w:pStyle w:val="46"/>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污染源</w:t>
                  </w:r>
                </w:p>
              </w:tc>
              <w:tc>
                <w:tcPr>
                  <w:tcW w:w="699" w:type="dxa"/>
                  <w:vMerge w:val="restart"/>
                  <w:tcBorders>
                    <w:tl2br w:val="nil"/>
                    <w:tr2bl w:val="nil"/>
                  </w:tcBorders>
                  <w:noWrap w:val="0"/>
                  <w:vAlign w:val="center"/>
                </w:tcPr>
                <w:p w14:paraId="6972F573">
                  <w:pPr>
                    <w:pStyle w:val="46"/>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污染物</w:t>
                  </w:r>
                </w:p>
              </w:tc>
              <w:tc>
                <w:tcPr>
                  <w:tcW w:w="3291" w:type="dxa"/>
                  <w:gridSpan w:val="4"/>
                  <w:tcBorders>
                    <w:tl2br w:val="nil"/>
                    <w:tr2bl w:val="nil"/>
                  </w:tcBorders>
                  <w:noWrap w:val="0"/>
                  <w:vAlign w:val="center"/>
                </w:tcPr>
                <w:p w14:paraId="78850C0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非正常排放状况</w:t>
                  </w:r>
                </w:p>
              </w:tc>
              <w:tc>
                <w:tcPr>
                  <w:tcW w:w="1819" w:type="dxa"/>
                  <w:gridSpan w:val="2"/>
                  <w:tcBorders>
                    <w:tl2br w:val="nil"/>
                    <w:tr2bl w:val="nil"/>
                  </w:tcBorders>
                  <w:noWrap w:val="0"/>
                  <w:vAlign w:val="center"/>
                </w:tcPr>
                <w:p w14:paraId="2433471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排放标准</w:t>
                  </w:r>
                </w:p>
              </w:tc>
              <w:tc>
                <w:tcPr>
                  <w:tcW w:w="939" w:type="dxa"/>
                  <w:vMerge w:val="restart"/>
                  <w:tcBorders>
                    <w:tl2br w:val="nil"/>
                    <w:tr2bl w:val="nil"/>
                  </w:tcBorders>
                  <w:noWrap w:val="0"/>
                  <w:vAlign w:val="center"/>
                </w:tcPr>
                <w:p w14:paraId="0210AF8F">
                  <w:pPr>
                    <w:pStyle w:val="46"/>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应对措施</w:t>
                  </w:r>
                </w:p>
              </w:tc>
            </w:tr>
            <w:tr w14:paraId="16B9AD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1069" w:type="dxa"/>
                  <w:vMerge w:val="continue"/>
                  <w:tcBorders>
                    <w:tl2br w:val="nil"/>
                    <w:tr2bl w:val="nil"/>
                  </w:tcBorders>
                  <w:noWrap w:val="0"/>
                  <w:vAlign w:val="center"/>
                </w:tcPr>
                <w:p w14:paraId="6688A95B">
                  <w:pPr>
                    <w:pStyle w:val="46"/>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auto"/>
                      <w:sz w:val="21"/>
                      <w:szCs w:val="21"/>
                    </w:rPr>
                  </w:pPr>
                </w:p>
              </w:tc>
              <w:tc>
                <w:tcPr>
                  <w:tcW w:w="709" w:type="dxa"/>
                  <w:vMerge w:val="continue"/>
                  <w:tcBorders>
                    <w:tl2br w:val="nil"/>
                    <w:tr2bl w:val="nil"/>
                  </w:tcBorders>
                  <w:noWrap w:val="0"/>
                  <w:vAlign w:val="center"/>
                </w:tcPr>
                <w:p w14:paraId="36650966">
                  <w:pPr>
                    <w:pStyle w:val="46"/>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auto"/>
                      <w:sz w:val="21"/>
                      <w:szCs w:val="21"/>
                    </w:rPr>
                  </w:pPr>
                </w:p>
              </w:tc>
              <w:tc>
                <w:tcPr>
                  <w:tcW w:w="699" w:type="dxa"/>
                  <w:vMerge w:val="continue"/>
                  <w:tcBorders>
                    <w:tl2br w:val="nil"/>
                    <w:tr2bl w:val="nil"/>
                  </w:tcBorders>
                  <w:noWrap w:val="0"/>
                  <w:vAlign w:val="center"/>
                </w:tcPr>
                <w:p w14:paraId="351D7A9C">
                  <w:pPr>
                    <w:pStyle w:val="46"/>
                    <w:keepNext w:val="0"/>
                    <w:keepLines w:val="0"/>
                    <w:suppressLineNumbers w:val="0"/>
                    <w:spacing w:beforeAutospacing="0" w:afterAutospacing="0" w:line="240" w:lineRule="auto"/>
                    <w:ind w:left="-63" w:leftChars="-30" w:right="-63" w:rightChars="-30"/>
                    <w:jc w:val="center"/>
                    <w:rPr>
                      <w:rFonts w:hint="default" w:ascii="Times New Roman" w:hAnsi="Times New Roman" w:eastAsia="宋体" w:cs="Times New Roman"/>
                      <w:b/>
                      <w:color w:val="auto"/>
                      <w:sz w:val="21"/>
                      <w:szCs w:val="21"/>
                    </w:rPr>
                  </w:pPr>
                </w:p>
              </w:tc>
              <w:tc>
                <w:tcPr>
                  <w:tcW w:w="859" w:type="dxa"/>
                  <w:tcBorders>
                    <w:tl2br w:val="nil"/>
                    <w:tr2bl w:val="nil"/>
                  </w:tcBorders>
                  <w:noWrap w:val="0"/>
                  <w:vAlign w:val="center"/>
                </w:tcPr>
                <w:p w14:paraId="50E52C64">
                  <w:pPr>
                    <w:pStyle w:val="4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浓度(mg/m</w:t>
                  </w:r>
                  <w:r>
                    <w:rPr>
                      <w:rFonts w:hint="default" w:ascii="Times New Roman" w:hAnsi="Times New Roman" w:eastAsia="宋体" w:cs="Times New Roman"/>
                      <w:b/>
                      <w:color w:val="auto"/>
                      <w:sz w:val="21"/>
                      <w:szCs w:val="21"/>
                      <w:vertAlign w:val="superscript"/>
                    </w:rPr>
                    <w:t>3</w:t>
                  </w:r>
                  <w:r>
                    <w:rPr>
                      <w:rFonts w:hint="default" w:ascii="Times New Roman" w:hAnsi="Times New Roman" w:eastAsia="宋体" w:cs="Times New Roman"/>
                      <w:b/>
                      <w:color w:val="auto"/>
                      <w:sz w:val="21"/>
                      <w:szCs w:val="21"/>
                    </w:rPr>
                    <w:t>)</w:t>
                  </w:r>
                </w:p>
              </w:tc>
              <w:tc>
                <w:tcPr>
                  <w:tcW w:w="794" w:type="dxa"/>
                  <w:tcBorders>
                    <w:tl2br w:val="nil"/>
                    <w:tr2bl w:val="nil"/>
                  </w:tcBorders>
                  <w:noWrap w:val="0"/>
                  <w:vAlign w:val="center"/>
                </w:tcPr>
                <w:p w14:paraId="414A74F0">
                  <w:pPr>
                    <w:pStyle w:val="4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速率</w:t>
                  </w:r>
                </w:p>
                <w:p w14:paraId="76F72DBB">
                  <w:pPr>
                    <w:pStyle w:val="4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(kg/h)</w:t>
                  </w:r>
                </w:p>
              </w:tc>
              <w:tc>
                <w:tcPr>
                  <w:tcW w:w="798" w:type="dxa"/>
                  <w:tcBorders>
                    <w:tl2br w:val="nil"/>
                    <w:tr2bl w:val="nil"/>
                  </w:tcBorders>
                  <w:noWrap w:val="0"/>
                  <w:vAlign w:val="center"/>
                </w:tcPr>
                <w:p w14:paraId="0647A30C">
                  <w:pPr>
                    <w:pStyle w:val="4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频次</w:t>
                  </w:r>
                  <w:r>
                    <w:rPr>
                      <w:rFonts w:hint="default" w:ascii="Times New Roman" w:hAnsi="Times New Roman" w:eastAsia="宋体" w:cs="Times New Roman"/>
                      <w:b/>
                      <w:color w:val="auto"/>
                      <w:sz w:val="21"/>
                      <w:szCs w:val="21"/>
                      <w:lang w:eastAsia="zh-CN"/>
                    </w:rPr>
                    <w:t>、</w:t>
                  </w:r>
                  <w:r>
                    <w:rPr>
                      <w:rFonts w:hint="default" w:ascii="Times New Roman" w:hAnsi="Times New Roman" w:eastAsia="宋体" w:cs="Times New Roman"/>
                      <w:b/>
                      <w:color w:val="auto"/>
                      <w:sz w:val="21"/>
                      <w:szCs w:val="21"/>
                    </w:rPr>
                    <w:t>持续时间</w:t>
                  </w:r>
                </w:p>
              </w:tc>
              <w:tc>
                <w:tcPr>
                  <w:tcW w:w="840" w:type="dxa"/>
                  <w:tcBorders>
                    <w:tl2br w:val="nil"/>
                    <w:tr2bl w:val="nil"/>
                  </w:tcBorders>
                  <w:noWrap w:val="0"/>
                  <w:vAlign w:val="center"/>
                </w:tcPr>
                <w:p w14:paraId="615533B3">
                  <w:pPr>
                    <w:pStyle w:val="4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排放量(kg/a)</w:t>
                  </w:r>
                </w:p>
              </w:tc>
              <w:tc>
                <w:tcPr>
                  <w:tcW w:w="869" w:type="dxa"/>
                  <w:tcBorders>
                    <w:tl2br w:val="nil"/>
                    <w:tr2bl w:val="nil"/>
                  </w:tcBorders>
                  <w:noWrap w:val="0"/>
                  <w:vAlign w:val="center"/>
                </w:tcPr>
                <w:p w14:paraId="5AEF1F06">
                  <w:pPr>
                    <w:pStyle w:val="4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浓度(mg/m</w:t>
                  </w:r>
                  <w:r>
                    <w:rPr>
                      <w:rFonts w:hint="default" w:ascii="Times New Roman" w:hAnsi="Times New Roman" w:eastAsia="宋体" w:cs="Times New Roman"/>
                      <w:b/>
                      <w:color w:val="auto"/>
                      <w:sz w:val="21"/>
                      <w:szCs w:val="21"/>
                      <w:vertAlign w:val="superscript"/>
                    </w:rPr>
                    <w:t>3</w:t>
                  </w:r>
                  <w:r>
                    <w:rPr>
                      <w:rFonts w:hint="default" w:ascii="Times New Roman" w:hAnsi="Times New Roman" w:eastAsia="宋体" w:cs="Times New Roman"/>
                      <w:b/>
                      <w:color w:val="auto"/>
                      <w:sz w:val="21"/>
                      <w:szCs w:val="21"/>
                    </w:rPr>
                    <w:t>)</w:t>
                  </w:r>
                </w:p>
              </w:tc>
              <w:tc>
                <w:tcPr>
                  <w:tcW w:w="950" w:type="dxa"/>
                  <w:tcBorders>
                    <w:tl2br w:val="nil"/>
                    <w:tr2bl w:val="nil"/>
                  </w:tcBorders>
                  <w:noWrap w:val="0"/>
                  <w:vAlign w:val="center"/>
                </w:tcPr>
                <w:p w14:paraId="40AC8A76">
                  <w:pPr>
                    <w:pStyle w:val="4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b/>
                      <w:color w:val="auto"/>
                      <w:sz w:val="21"/>
                      <w:szCs w:val="21"/>
                    </w:rPr>
                  </w:pPr>
                  <w:r>
                    <w:rPr>
                      <w:rFonts w:hint="eastAsia" w:ascii="宋体" w:hAnsi="宋体" w:eastAsia="宋体" w:cs="宋体"/>
                      <w:b/>
                      <w:bCs/>
                      <w:color w:val="auto"/>
                      <w:kern w:val="2"/>
                      <w:sz w:val="21"/>
                      <w:szCs w:val="21"/>
                      <w:lang w:val="en-US" w:eastAsia="zh-CN" w:bidi="ar-SA"/>
                    </w:rPr>
                    <w:t>严格50%排放速率</w:t>
                  </w:r>
                  <w:r>
                    <w:rPr>
                      <w:rFonts w:hint="eastAsia" w:ascii="宋体" w:hAnsi="宋体" w:cs="宋体"/>
                      <w:b/>
                      <w:bCs/>
                      <w:color w:val="auto"/>
                      <w:sz w:val="21"/>
                      <w:szCs w:val="21"/>
                    </w:rPr>
                    <w:t>（kg/h）</w:t>
                  </w:r>
                </w:p>
              </w:tc>
              <w:tc>
                <w:tcPr>
                  <w:tcW w:w="939" w:type="dxa"/>
                  <w:vMerge w:val="continue"/>
                  <w:tcBorders>
                    <w:tl2br w:val="nil"/>
                    <w:tr2bl w:val="nil"/>
                  </w:tcBorders>
                  <w:noWrap w:val="0"/>
                  <w:vAlign w:val="center"/>
                </w:tcPr>
                <w:p w14:paraId="70337EE3">
                  <w:pPr>
                    <w:pStyle w:val="46"/>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b/>
                      <w:color w:val="auto"/>
                      <w:sz w:val="21"/>
                      <w:szCs w:val="21"/>
                    </w:rPr>
                  </w:pPr>
                </w:p>
              </w:tc>
            </w:tr>
            <w:tr w14:paraId="539EBB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7" w:hRule="atLeast"/>
                <w:jc w:val="center"/>
              </w:trPr>
              <w:tc>
                <w:tcPr>
                  <w:tcW w:w="1069" w:type="dxa"/>
                  <w:vMerge w:val="restart"/>
                  <w:tcBorders>
                    <w:top w:val="single" w:color="auto" w:sz="4" w:space="0"/>
                    <w:tl2br w:val="nil"/>
                    <w:tr2bl w:val="nil"/>
                  </w:tcBorders>
                  <w:noWrap w:val="0"/>
                  <w:vAlign w:val="center"/>
                </w:tcPr>
                <w:p w14:paraId="7B66822C">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箱式渗碳、淬火回火</w:t>
                  </w:r>
                </w:p>
              </w:tc>
              <w:tc>
                <w:tcPr>
                  <w:tcW w:w="709" w:type="dxa"/>
                  <w:vMerge w:val="restart"/>
                  <w:tcBorders>
                    <w:top w:val="single" w:color="auto" w:sz="4" w:space="0"/>
                    <w:tl2br w:val="nil"/>
                    <w:tr2bl w:val="nil"/>
                  </w:tcBorders>
                  <w:noWrap w:val="0"/>
                  <w:vAlign w:val="center"/>
                </w:tcPr>
                <w:p w14:paraId="5457BBC7">
                  <w:pPr>
                    <w:pStyle w:val="217"/>
                    <w:keepNext w:val="0"/>
                    <w:keepLines w:val="0"/>
                    <w:suppressLineNumbers w:val="0"/>
                    <w:spacing w:before="0" w:beforeAutospacing="0" w:after="0" w:afterAutospacing="0" w:line="240" w:lineRule="auto"/>
                    <w:ind w:left="-105" w:leftChars="-50" w:right="-105" w:rightChars="-50"/>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排气筒DA00</w:t>
                  </w:r>
                  <w:r>
                    <w:rPr>
                      <w:rFonts w:hint="eastAsia" w:ascii="Times New Roman" w:hAnsi="Times New Roman" w:cs="Times New Roman"/>
                      <w:color w:val="auto"/>
                      <w:sz w:val="21"/>
                      <w:lang w:val="en-US" w:eastAsia="zh-CN"/>
                    </w:rPr>
                    <w:t>1</w:t>
                  </w:r>
                </w:p>
              </w:tc>
              <w:tc>
                <w:tcPr>
                  <w:tcW w:w="699" w:type="dxa"/>
                  <w:tcBorders>
                    <w:top w:val="single" w:color="auto" w:sz="4" w:space="0"/>
                    <w:bottom w:val="single" w:color="auto" w:sz="4" w:space="0"/>
                    <w:tl2br w:val="nil"/>
                    <w:tr2bl w:val="nil"/>
                  </w:tcBorders>
                  <w:noWrap w:val="0"/>
                  <w:vAlign w:val="center"/>
                </w:tcPr>
                <w:p w14:paraId="7C8F9159">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 w:val="21"/>
                      <w:szCs w:val="21"/>
                      <w:lang w:val="en-US" w:eastAsia="zh-CN"/>
                    </w:rPr>
                    <w:t>颗粒物</w:t>
                  </w:r>
                </w:p>
              </w:tc>
              <w:tc>
                <w:tcPr>
                  <w:tcW w:w="859" w:type="dxa"/>
                  <w:tcBorders>
                    <w:top w:val="single" w:color="auto" w:sz="4" w:space="0"/>
                    <w:bottom w:val="single" w:color="auto" w:sz="4" w:space="0"/>
                    <w:tl2br w:val="nil"/>
                    <w:tr2bl w:val="nil"/>
                  </w:tcBorders>
                  <w:noWrap w:val="0"/>
                  <w:vAlign w:val="center"/>
                </w:tcPr>
                <w:p w14:paraId="1E4BD82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25.00 </w:t>
                  </w:r>
                </w:p>
              </w:tc>
              <w:tc>
                <w:tcPr>
                  <w:tcW w:w="794" w:type="dxa"/>
                  <w:tcBorders>
                    <w:top w:val="single" w:color="auto" w:sz="4" w:space="0"/>
                    <w:bottom w:val="single" w:color="auto" w:sz="4" w:space="0"/>
                    <w:tl2br w:val="nil"/>
                    <w:tr2bl w:val="nil"/>
                  </w:tcBorders>
                  <w:noWrap w:val="0"/>
                  <w:vAlign w:val="center"/>
                </w:tcPr>
                <w:p w14:paraId="4EDD1D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0.450 </w:t>
                  </w:r>
                </w:p>
              </w:tc>
              <w:tc>
                <w:tcPr>
                  <w:tcW w:w="798" w:type="dxa"/>
                  <w:vMerge w:val="restart"/>
                  <w:tcBorders>
                    <w:top w:val="single" w:color="auto" w:sz="4" w:space="0"/>
                    <w:tl2br w:val="nil"/>
                    <w:tr2bl w:val="nil"/>
                  </w:tcBorders>
                  <w:noWrap w:val="0"/>
                  <w:vAlign w:val="center"/>
                </w:tcPr>
                <w:p w14:paraId="432A66F8">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1次/a，</w:t>
                  </w:r>
                </w:p>
                <w:p w14:paraId="2CE03D1A">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1h/次</w:t>
                  </w:r>
                </w:p>
              </w:tc>
              <w:tc>
                <w:tcPr>
                  <w:tcW w:w="840" w:type="dxa"/>
                  <w:tcBorders>
                    <w:top w:val="single" w:color="auto" w:sz="4" w:space="0"/>
                    <w:bottom w:val="single" w:color="auto" w:sz="4" w:space="0"/>
                    <w:tl2br w:val="nil"/>
                    <w:tr2bl w:val="nil"/>
                  </w:tcBorders>
                  <w:noWrap w:val="0"/>
                  <w:vAlign w:val="center"/>
                </w:tcPr>
                <w:p w14:paraId="61B9110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0.450 </w:t>
                  </w:r>
                </w:p>
              </w:tc>
              <w:tc>
                <w:tcPr>
                  <w:tcW w:w="869" w:type="dxa"/>
                  <w:tcBorders>
                    <w:top w:val="single" w:color="auto" w:sz="4" w:space="0"/>
                    <w:bottom w:val="single" w:color="auto" w:sz="4" w:space="0"/>
                    <w:tl2br w:val="nil"/>
                    <w:tr2bl w:val="nil"/>
                  </w:tcBorders>
                  <w:noWrap w:val="0"/>
                  <w:vAlign w:val="center"/>
                </w:tcPr>
                <w:p w14:paraId="6C5083DA">
                  <w:pPr>
                    <w:keepNext w:val="0"/>
                    <w:keepLines w:val="0"/>
                    <w:suppressLineNumbers w:val="0"/>
                    <w:autoSpaceDN w:val="0"/>
                    <w:spacing w:before="0" w:beforeAutospacing="0" w:after="0" w:afterAutospacing="0" w:line="276" w:lineRule="auto"/>
                    <w:ind w:left="0" w:right="0"/>
                    <w:jc w:val="center"/>
                    <w:textAlignment w:val="center"/>
                    <w:rPr>
                      <w:rFonts w:hint="default" w:ascii="Times New Roman" w:hAnsi="Times New Roman" w:eastAsia="Times New Roman" w:cs="Times New Roman"/>
                      <w:color w:val="auto"/>
                      <w:szCs w:val="21"/>
                      <w:lang w:val="en-US" w:eastAsia="zh-CN"/>
                    </w:rPr>
                  </w:pPr>
                  <w:r>
                    <w:rPr>
                      <w:rFonts w:hint="default" w:ascii="Times New Roman" w:hAnsi="Times New Roman" w:cs="Times New Roman"/>
                      <w:color w:val="auto"/>
                      <w:sz w:val="21"/>
                      <w:szCs w:val="21"/>
                      <w:lang w:val="en-US" w:eastAsia="zh-CN"/>
                    </w:rPr>
                    <w:t>120</w:t>
                  </w:r>
                </w:p>
              </w:tc>
              <w:tc>
                <w:tcPr>
                  <w:tcW w:w="950" w:type="dxa"/>
                  <w:tcBorders>
                    <w:top w:val="single" w:color="auto" w:sz="4" w:space="0"/>
                    <w:bottom w:val="single" w:color="auto" w:sz="4" w:space="0"/>
                    <w:tl2br w:val="nil"/>
                    <w:tr2bl w:val="nil"/>
                  </w:tcBorders>
                  <w:noWrap w:val="0"/>
                  <w:vAlign w:val="center"/>
                </w:tcPr>
                <w:p w14:paraId="07D665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1.75</w:t>
                  </w:r>
                </w:p>
              </w:tc>
              <w:tc>
                <w:tcPr>
                  <w:tcW w:w="939" w:type="dxa"/>
                  <w:vMerge w:val="restart"/>
                  <w:tcBorders>
                    <w:top w:val="single" w:color="auto" w:sz="4" w:space="0"/>
                    <w:tl2br w:val="nil"/>
                    <w:tr2bl w:val="nil"/>
                  </w:tcBorders>
                  <w:noWrap w:val="0"/>
                  <w:vAlign w:val="center"/>
                </w:tcPr>
                <w:p w14:paraId="6ADD280E">
                  <w:pPr>
                    <w:keepNext w:val="0"/>
                    <w:keepLines w:val="0"/>
                    <w:suppressLineNumbers w:val="0"/>
                    <w:spacing w:before="0" w:beforeAutospacing="0" w:after="0" w:afterAutospacing="0" w:line="240" w:lineRule="auto"/>
                    <w:ind w:left="-84" w:leftChars="-40" w:right="-84" w:rightChars="-40"/>
                    <w:jc w:val="center"/>
                    <w:rPr>
                      <w:rFonts w:hint="default" w:ascii="Times New Roman" w:hAnsi="Times New Roman" w:eastAsia="Times New Roman" w:cs="Times New Roman"/>
                      <w:color w:val="auto"/>
                      <w:kern w:val="0"/>
                      <w:szCs w:val="21"/>
                    </w:rPr>
                  </w:pPr>
                  <w:r>
                    <w:rPr>
                      <w:rFonts w:hint="default" w:ascii="Times New Roman" w:hAnsi="Times New Roman" w:eastAsia="Times New Roman" w:cs="Times New Roman"/>
                      <w:color w:val="auto"/>
                      <w:kern w:val="0"/>
                      <w:szCs w:val="21"/>
                    </w:rPr>
                    <w:t>停止产污设施运营，待环保设施恢复正常后方可恢复运行</w:t>
                  </w:r>
                </w:p>
              </w:tc>
            </w:tr>
            <w:tr w14:paraId="1ECB3F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1069" w:type="dxa"/>
                  <w:vMerge w:val="continue"/>
                  <w:tcBorders>
                    <w:tl2br w:val="nil"/>
                    <w:tr2bl w:val="nil"/>
                  </w:tcBorders>
                  <w:noWrap w:val="0"/>
                  <w:vAlign w:val="center"/>
                </w:tcPr>
                <w:p w14:paraId="392428EC">
                  <w:pPr>
                    <w:pStyle w:val="46"/>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p>
              </w:tc>
              <w:tc>
                <w:tcPr>
                  <w:tcW w:w="709" w:type="dxa"/>
                  <w:vMerge w:val="continue"/>
                  <w:tcBorders>
                    <w:tl2br w:val="nil"/>
                    <w:tr2bl w:val="nil"/>
                  </w:tcBorders>
                  <w:noWrap w:val="0"/>
                  <w:vAlign w:val="center"/>
                </w:tcPr>
                <w:p w14:paraId="4966D66B">
                  <w:pPr>
                    <w:pStyle w:val="217"/>
                    <w:keepNext w:val="0"/>
                    <w:keepLines w:val="0"/>
                    <w:suppressLineNumbers w:val="0"/>
                    <w:spacing w:before="0" w:beforeAutospacing="0" w:after="0" w:afterAutospacing="0" w:line="240" w:lineRule="auto"/>
                    <w:ind w:left="-105" w:leftChars="-50" w:right="-105" w:rightChars="-50"/>
                    <w:rPr>
                      <w:rFonts w:hint="default" w:ascii="Times New Roman" w:hAnsi="Times New Roman" w:eastAsia="宋体" w:cs="Times New Roman"/>
                      <w:color w:val="auto"/>
                      <w:sz w:val="21"/>
                    </w:rPr>
                  </w:pPr>
                </w:p>
              </w:tc>
              <w:tc>
                <w:tcPr>
                  <w:tcW w:w="699" w:type="dxa"/>
                  <w:tcBorders>
                    <w:top w:val="single" w:color="auto" w:sz="4" w:space="0"/>
                    <w:bottom w:val="single" w:color="auto" w:sz="4" w:space="0"/>
                    <w:tl2br w:val="nil"/>
                    <w:tr2bl w:val="nil"/>
                  </w:tcBorders>
                  <w:noWrap w:val="0"/>
                  <w:vAlign w:val="center"/>
                </w:tcPr>
                <w:p w14:paraId="7D724018">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 w:val="21"/>
                      <w:szCs w:val="21"/>
                      <w:lang w:val="en-US" w:eastAsia="zh-CN"/>
                    </w:rPr>
                    <w:t>非甲烷总烃</w:t>
                  </w:r>
                </w:p>
              </w:tc>
              <w:tc>
                <w:tcPr>
                  <w:tcW w:w="859" w:type="dxa"/>
                  <w:tcBorders>
                    <w:top w:val="single" w:color="auto" w:sz="4" w:space="0"/>
                    <w:bottom w:val="single" w:color="auto" w:sz="4" w:space="0"/>
                    <w:tl2br w:val="nil"/>
                    <w:tr2bl w:val="nil"/>
                  </w:tcBorders>
                  <w:noWrap w:val="0"/>
                  <w:vAlign w:val="center"/>
                </w:tcPr>
                <w:p w14:paraId="50DA28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0.36 </w:t>
                  </w:r>
                </w:p>
              </w:tc>
              <w:tc>
                <w:tcPr>
                  <w:tcW w:w="794" w:type="dxa"/>
                  <w:tcBorders>
                    <w:top w:val="single" w:color="auto" w:sz="4" w:space="0"/>
                    <w:bottom w:val="single" w:color="auto" w:sz="4" w:space="0"/>
                    <w:tl2br w:val="nil"/>
                    <w:tr2bl w:val="nil"/>
                  </w:tcBorders>
                  <w:noWrap w:val="0"/>
                  <w:vAlign w:val="center"/>
                </w:tcPr>
                <w:p w14:paraId="0FD426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0.007 </w:t>
                  </w:r>
                </w:p>
              </w:tc>
              <w:tc>
                <w:tcPr>
                  <w:tcW w:w="798" w:type="dxa"/>
                  <w:vMerge w:val="continue"/>
                  <w:tcBorders>
                    <w:tl2br w:val="nil"/>
                    <w:tr2bl w:val="nil"/>
                  </w:tcBorders>
                  <w:noWrap w:val="0"/>
                  <w:vAlign w:val="center"/>
                </w:tcPr>
                <w:p w14:paraId="24F4E554">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Cs w:val="21"/>
                    </w:rPr>
                  </w:pPr>
                </w:p>
              </w:tc>
              <w:tc>
                <w:tcPr>
                  <w:tcW w:w="840" w:type="dxa"/>
                  <w:tcBorders>
                    <w:top w:val="single" w:color="auto" w:sz="4" w:space="0"/>
                    <w:bottom w:val="single" w:color="auto" w:sz="4" w:space="0"/>
                    <w:tl2br w:val="nil"/>
                    <w:tr2bl w:val="nil"/>
                  </w:tcBorders>
                  <w:noWrap w:val="0"/>
                  <w:vAlign w:val="center"/>
                </w:tcPr>
                <w:p w14:paraId="17668F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0.007 </w:t>
                  </w:r>
                </w:p>
              </w:tc>
              <w:tc>
                <w:tcPr>
                  <w:tcW w:w="869" w:type="dxa"/>
                  <w:tcBorders>
                    <w:top w:val="single" w:color="auto" w:sz="4" w:space="0"/>
                    <w:bottom w:val="single" w:color="auto" w:sz="4" w:space="0"/>
                    <w:tl2br w:val="nil"/>
                    <w:tr2bl w:val="nil"/>
                  </w:tcBorders>
                  <w:noWrap w:val="0"/>
                  <w:vAlign w:val="center"/>
                </w:tcPr>
                <w:p w14:paraId="3E613A69">
                  <w:pPr>
                    <w:keepNext w:val="0"/>
                    <w:keepLines w:val="0"/>
                    <w:suppressLineNumbers w:val="0"/>
                    <w:autoSpaceDN w:val="0"/>
                    <w:spacing w:before="0" w:beforeAutospacing="0" w:after="0" w:afterAutospacing="0" w:line="276" w:lineRule="auto"/>
                    <w:ind w:left="0" w:right="0"/>
                    <w:jc w:val="center"/>
                    <w:textAlignment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 w:val="21"/>
                      <w:szCs w:val="21"/>
                      <w:lang w:val="en-US" w:eastAsia="zh-CN"/>
                    </w:rPr>
                    <w:t>120</w:t>
                  </w:r>
                </w:p>
              </w:tc>
              <w:tc>
                <w:tcPr>
                  <w:tcW w:w="950" w:type="dxa"/>
                  <w:tcBorders>
                    <w:top w:val="single" w:color="auto" w:sz="4" w:space="0"/>
                    <w:bottom w:val="single" w:color="auto" w:sz="4" w:space="0"/>
                    <w:tl2br w:val="nil"/>
                    <w:tr2bl w:val="nil"/>
                  </w:tcBorders>
                  <w:noWrap w:val="0"/>
                  <w:vAlign w:val="center"/>
                </w:tcPr>
                <w:p w14:paraId="296FC6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5</w:t>
                  </w:r>
                </w:p>
              </w:tc>
              <w:tc>
                <w:tcPr>
                  <w:tcW w:w="939" w:type="dxa"/>
                  <w:vMerge w:val="continue"/>
                  <w:tcBorders>
                    <w:tl2br w:val="nil"/>
                    <w:tr2bl w:val="nil"/>
                  </w:tcBorders>
                  <w:noWrap w:val="0"/>
                  <w:vAlign w:val="center"/>
                </w:tcPr>
                <w:p w14:paraId="5669A77B">
                  <w:pPr>
                    <w:keepNext w:val="0"/>
                    <w:keepLines w:val="0"/>
                    <w:suppressLineNumbers w:val="0"/>
                    <w:spacing w:before="0" w:beforeAutospacing="0" w:after="0" w:afterAutospacing="0" w:line="240" w:lineRule="auto"/>
                    <w:ind w:left="-84" w:leftChars="-40" w:right="-84" w:rightChars="-40"/>
                    <w:jc w:val="center"/>
                    <w:rPr>
                      <w:rFonts w:hint="default" w:ascii="Times New Roman" w:hAnsi="Times New Roman" w:eastAsia="Times New Roman" w:cs="Times New Roman"/>
                      <w:color w:val="auto"/>
                      <w:kern w:val="0"/>
                      <w:szCs w:val="21"/>
                    </w:rPr>
                  </w:pPr>
                </w:p>
              </w:tc>
            </w:tr>
            <w:tr w14:paraId="13E239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1069" w:type="dxa"/>
                  <w:vMerge w:val="restart"/>
                  <w:tcBorders>
                    <w:tl2br w:val="nil"/>
                    <w:tr2bl w:val="nil"/>
                  </w:tcBorders>
                  <w:noWrap w:val="0"/>
                  <w:vAlign w:val="center"/>
                </w:tcPr>
                <w:p w14:paraId="39FB4C58">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b w:val="0"/>
                      <w:bCs/>
                      <w:color w:val="auto"/>
                      <w:sz w:val="21"/>
                      <w:szCs w:val="21"/>
                      <w:lang w:val="en-US" w:eastAsia="zh-CN"/>
                    </w:rPr>
                    <w:t>天然气燃烧</w:t>
                  </w:r>
                </w:p>
              </w:tc>
              <w:tc>
                <w:tcPr>
                  <w:tcW w:w="709" w:type="dxa"/>
                  <w:vMerge w:val="restart"/>
                  <w:tcBorders>
                    <w:tl2br w:val="nil"/>
                    <w:tr2bl w:val="nil"/>
                  </w:tcBorders>
                  <w:noWrap w:val="0"/>
                  <w:vAlign w:val="center"/>
                </w:tcPr>
                <w:p w14:paraId="32E9DC17">
                  <w:pPr>
                    <w:pStyle w:val="217"/>
                    <w:keepNext w:val="0"/>
                    <w:keepLines w:val="0"/>
                    <w:suppressLineNumbers w:val="0"/>
                    <w:spacing w:before="0" w:beforeAutospacing="0" w:after="0" w:afterAutospacing="0" w:line="240" w:lineRule="auto"/>
                    <w:ind w:left="-105" w:leftChars="-50" w:right="-105" w:rightChars="-50"/>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排气筒DA00</w:t>
                  </w:r>
                  <w:r>
                    <w:rPr>
                      <w:rFonts w:hint="eastAsia" w:ascii="Times New Roman" w:hAnsi="Times New Roman" w:cs="Times New Roman"/>
                      <w:color w:val="auto"/>
                      <w:sz w:val="21"/>
                      <w:lang w:val="en-US" w:eastAsia="zh-CN"/>
                    </w:rPr>
                    <w:t>2</w:t>
                  </w:r>
                </w:p>
              </w:tc>
              <w:tc>
                <w:tcPr>
                  <w:tcW w:w="699" w:type="dxa"/>
                  <w:tcBorders>
                    <w:top w:val="single" w:color="auto" w:sz="4" w:space="0"/>
                    <w:bottom w:val="single" w:color="auto" w:sz="4" w:space="0"/>
                    <w:tl2br w:val="nil"/>
                    <w:tr2bl w:val="nil"/>
                  </w:tcBorders>
                  <w:noWrap w:val="0"/>
                  <w:vAlign w:val="center"/>
                </w:tcPr>
                <w:p w14:paraId="5800127B">
                  <w:pPr>
                    <w:keepNext w:val="0"/>
                    <w:keepLines w:val="0"/>
                    <w:suppressLineNumbers w:val="0"/>
                    <w:spacing w:before="0" w:beforeAutospacing="0" w:after="0" w:afterAutospacing="0" w:line="240" w:lineRule="auto"/>
                    <w:ind w:left="-105" w:leftChars="-50" w:right="-105" w:rightChars="-50"/>
                    <w:jc w:val="center"/>
                    <w:rPr>
                      <w:rFonts w:hint="eastAsia" w:ascii="Times New Roman" w:hAnsi="Times New Roman" w:eastAsia="Times New Roman" w:cs="Times New Roman"/>
                      <w:color w:val="auto"/>
                      <w:szCs w:val="21"/>
                      <w:lang w:val="en-US" w:eastAsia="zh-CN"/>
                    </w:rPr>
                  </w:pPr>
                  <w:r>
                    <w:rPr>
                      <w:rFonts w:hint="default" w:ascii="Times New Roman" w:hAnsi="Times New Roman" w:eastAsia="宋体" w:cs="Times New Roman"/>
                      <w:color w:val="auto"/>
                      <w:szCs w:val="21"/>
                      <w:lang w:val="en-US" w:eastAsia="zh-CN"/>
                    </w:rPr>
                    <w:t>颗粒物</w:t>
                  </w:r>
                </w:p>
              </w:tc>
              <w:tc>
                <w:tcPr>
                  <w:tcW w:w="859" w:type="dxa"/>
                  <w:tcBorders>
                    <w:top w:val="single" w:color="auto" w:sz="4" w:space="0"/>
                    <w:bottom w:val="single" w:color="auto" w:sz="4" w:space="0"/>
                    <w:tl2br w:val="nil"/>
                    <w:tr2bl w:val="nil"/>
                  </w:tcBorders>
                  <w:noWrap w:val="0"/>
                  <w:vAlign w:val="center"/>
                </w:tcPr>
                <w:p w14:paraId="429BB9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21.28 </w:t>
                  </w:r>
                </w:p>
              </w:tc>
              <w:tc>
                <w:tcPr>
                  <w:tcW w:w="794" w:type="dxa"/>
                  <w:tcBorders>
                    <w:top w:val="single" w:color="auto" w:sz="4" w:space="0"/>
                    <w:bottom w:val="single" w:color="auto" w:sz="4" w:space="0"/>
                    <w:tl2br w:val="nil"/>
                    <w:tr2bl w:val="nil"/>
                  </w:tcBorders>
                  <w:noWrap w:val="0"/>
                  <w:vAlign w:val="center"/>
                </w:tcPr>
                <w:p w14:paraId="1D69B5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0.010 </w:t>
                  </w:r>
                </w:p>
              </w:tc>
              <w:tc>
                <w:tcPr>
                  <w:tcW w:w="798" w:type="dxa"/>
                  <w:vMerge w:val="continue"/>
                  <w:tcBorders>
                    <w:tl2br w:val="nil"/>
                    <w:tr2bl w:val="nil"/>
                  </w:tcBorders>
                  <w:noWrap w:val="0"/>
                  <w:vAlign w:val="center"/>
                </w:tcPr>
                <w:p w14:paraId="154807E3">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Cs w:val="21"/>
                    </w:rPr>
                  </w:pPr>
                </w:p>
              </w:tc>
              <w:tc>
                <w:tcPr>
                  <w:tcW w:w="840" w:type="dxa"/>
                  <w:tcBorders>
                    <w:top w:val="single" w:color="auto" w:sz="4" w:space="0"/>
                    <w:bottom w:val="single" w:color="auto" w:sz="4" w:space="0"/>
                    <w:tl2br w:val="nil"/>
                    <w:tr2bl w:val="nil"/>
                  </w:tcBorders>
                  <w:noWrap w:val="0"/>
                  <w:vAlign w:val="center"/>
                </w:tcPr>
                <w:p w14:paraId="673DD51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0.010 </w:t>
                  </w:r>
                </w:p>
              </w:tc>
              <w:tc>
                <w:tcPr>
                  <w:tcW w:w="869" w:type="dxa"/>
                  <w:tcBorders>
                    <w:top w:val="single" w:color="auto" w:sz="4" w:space="0"/>
                    <w:bottom w:val="single" w:color="auto" w:sz="4" w:space="0"/>
                    <w:tl2br w:val="nil"/>
                    <w:tr2bl w:val="nil"/>
                  </w:tcBorders>
                  <w:noWrap w:val="0"/>
                  <w:vAlign w:val="center"/>
                </w:tcPr>
                <w:p w14:paraId="32C9A694">
                  <w:pPr>
                    <w:keepNext w:val="0"/>
                    <w:keepLines w:val="0"/>
                    <w:suppressLineNumbers w:val="0"/>
                    <w:spacing w:before="0" w:beforeAutospacing="0" w:after="0" w:afterAutospacing="0" w:line="240" w:lineRule="auto"/>
                    <w:ind w:left="0" w:right="0"/>
                    <w:jc w:val="center"/>
                    <w:rPr>
                      <w:rFonts w:hint="eastAsia" w:ascii="Times New Roman" w:hAnsi="Times New Roman" w:eastAsia="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30</w:t>
                  </w:r>
                </w:p>
              </w:tc>
              <w:tc>
                <w:tcPr>
                  <w:tcW w:w="950" w:type="dxa"/>
                  <w:tcBorders>
                    <w:top w:val="single" w:color="auto" w:sz="4" w:space="0"/>
                    <w:bottom w:val="single" w:color="auto" w:sz="4" w:space="0"/>
                    <w:tl2br w:val="nil"/>
                    <w:tr2bl w:val="nil"/>
                  </w:tcBorders>
                  <w:noWrap w:val="0"/>
                  <w:vAlign w:val="center"/>
                </w:tcPr>
                <w:p w14:paraId="41F39560">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color w:val="auto"/>
                      <w:szCs w:val="21"/>
                      <w:lang w:val="en-US" w:eastAsia="zh-CN"/>
                    </w:rPr>
                  </w:pPr>
                  <w:r>
                    <w:rPr>
                      <w:rFonts w:hint="eastAsia" w:ascii="Times New Roman" w:hAnsi="Times New Roman" w:cs="Times New Roman"/>
                      <w:color w:val="auto"/>
                      <w:sz w:val="21"/>
                      <w:szCs w:val="21"/>
                      <w:lang w:val="en-US" w:eastAsia="zh-CN"/>
                    </w:rPr>
                    <w:t>/</w:t>
                  </w:r>
                </w:p>
              </w:tc>
              <w:tc>
                <w:tcPr>
                  <w:tcW w:w="939" w:type="dxa"/>
                  <w:vMerge w:val="continue"/>
                  <w:tcBorders>
                    <w:tl2br w:val="nil"/>
                    <w:tr2bl w:val="nil"/>
                  </w:tcBorders>
                  <w:noWrap w:val="0"/>
                  <w:vAlign w:val="center"/>
                </w:tcPr>
                <w:p w14:paraId="4644C5FE">
                  <w:pPr>
                    <w:keepNext w:val="0"/>
                    <w:keepLines w:val="0"/>
                    <w:suppressLineNumbers w:val="0"/>
                    <w:spacing w:before="0" w:beforeAutospacing="0" w:after="0" w:afterAutospacing="0" w:line="240" w:lineRule="auto"/>
                    <w:ind w:left="-84" w:leftChars="-40" w:right="-84" w:rightChars="-40"/>
                    <w:jc w:val="center"/>
                    <w:rPr>
                      <w:rFonts w:hint="default" w:ascii="Times New Roman" w:hAnsi="Times New Roman" w:eastAsia="Times New Roman" w:cs="Times New Roman"/>
                      <w:color w:val="auto"/>
                      <w:kern w:val="0"/>
                      <w:szCs w:val="21"/>
                    </w:rPr>
                  </w:pPr>
                </w:p>
              </w:tc>
            </w:tr>
            <w:tr w14:paraId="475DE9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1069" w:type="dxa"/>
                  <w:vMerge w:val="continue"/>
                  <w:tcBorders>
                    <w:tl2br w:val="nil"/>
                    <w:tr2bl w:val="nil"/>
                  </w:tcBorders>
                  <w:noWrap w:val="0"/>
                  <w:vAlign w:val="center"/>
                </w:tcPr>
                <w:p w14:paraId="36EDD4A9">
                  <w:pPr>
                    <w:pStyle w:val="46"/>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p>
              </w:tc>
              <w:tc>
                <w:tcPr>
                  <w:tcW w:w="709" w:type="dxa"/>
                  <w:vMerge w:val="continue"/>
                  <w:tcBorders>
                    <w:tl2br w:val="nil"/>
                    <w:tr2bl w:val="nil"/>
                  </w:tcBorders>
                  <w:noWrap w:val="0"/>
                  <w:vAlign w:val="center"/>
                </w:tcPr>
                <w:p w14:paraId="1A83FF59">
                  <w:pPr>
                    <w:pStyle w:val="217"/>
                    <w:keepNext w:val="0"/>
                    <w:keepLines w:val="0"/>
                    <w:suppressLineNumbers w:val="0"/>
                    <w:spacing w:before="0" w:beforeAutospacing="0" w:after="0" w:afterAutospacing="0" w:line="240" w:lineRule="auto"/>
                    <w:ind w:left="-105" w:leftChars="-50" w:right="-105" w:rightChars="-50"/>
                    <w:rPr>
                      <w:rFonts w:hint="default" w:ascii="Times New Roman" w:hAnsi="Times New Roman" w:eastAsia="宋体" w:cs="Times New Roman"/>
                      <w:color w:val="auto"/>
                      <w:sz w:val="21"/>
                    </w:rPr>
                  </w:pPr>
                </w:p>
              </w:tc>
              <w:tc>
                <w:tcPr>
                  <w:tcW w:w="699" w:type="dxa"/>
                  <w:tcBorders>
                    <w:top w:val="single" w:color="auto" w:sz="4" w:space="0"/>
                    <w:bottom w:val="single" w:color="auto" w:sz="4" w:space="0"/>
                    <w:tl2br w:val="nil"/>
                    <w:tr2bl w:val="nil"/>
                  </w:tcBorders>
                  <w:noWrap w:val="0"/>
                  <w:vAlign w:val="center"/>
                </w:tcPr>
                <w:p w14:paraId="6D21DEC8">
                  <w:pPr>
                    <w:pStyle w:val="224"/>
                    <w:keepNext w:val="0"/>
                    <w:keepLines w:val="0"/>
                    <w:suppressLineNumbers w:val="0"/>
                    <w:spacing w:before="0" w:beforeAutospacing="0" w:after="0" w:afterAutospacing="0" w:line="240" w:lineRule="auto"/>
                    <w:ind w:left="-63" w:leftChars="-30" w:right="-63" w:rightChars="-30" w:firstLine="0" w:firstLineChars="0"/>
                    <w:jc w:val="center"/>
                    <w:rPr>
                      <w:rFonts w:hint="eastAsia" w:ascii="Times New Roman" w:hAnsi="Times New Roman" w:eastAsia="Times New Roman" w:cs="Times New Roman"/>
                      <w:color w:val="auto"/>
                      <w:szCs w:val="21"/>
                      <w:lang w:val="en-US" w:eastAsia="zh-CN"/>
                    </w:rPr>
                  </w:pPr>
                  <w:r>
                    <w:rPr>
                      <w:rFonts w:hint="default" w:ascii="Times New Roman" w:hAnsi="Times New Roman" w:cs="Times New Roman"/>
                      <w:bCs/>
                      <w:color w:val="auto"/>
                      <w:sz w:val="21"/>
                      <w:szCs w:val="21"/>
                    </w:rPr>
                    <w:t>SO</w:t>
                  </w:r>
                  <w:r>
                    <w:rPr>
                      <w:rFonts w:hint="default" w:ascii="Times New Roman" w:hAnsi="Times New Roman" w:cs="Times New Roman"/>
                      <w:bCs/>
                      <w:color w:val="auto"/>
                      <w:sz w:val="21"/>
                      <w:szCs w:val="21"/>
                      <w:vertAlign w:val="subscript"/>
                    </w:rPr>
                    <w:t>2</w:t>
                  </w:r>
                </w:p>
              </w:tc>
              <w:tc>
                <w:tcPr>
                  <w:tcW w:w="859" w:type="dxa"/>
                  <w:tcBorders>
                    <w:top w:val="single" w:color="auto" w:sz="4" w:space="0"/>
                    <w:bottom w:val="single" w:color="auto" w:sz="4" w:space="0"/>
                    <w:tl2br w:val="nil"/>
                    <w:tr2bl w:val="nil"/>
                  </w:tcBorders>
                  <w:noWrap w:val="0"/>
                  <w:vAlign w:val="center"/>
                </w:tcPr>
                <w:p w14:paraId="5CE915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14.47 </w:t>
                  </w:r>
                </w:p>
              </w:tc>
              <w:tc>
                <w:tcPr>
                  <w:tcW w:w="794" w:type="dxa"/>
                  <w:tcBorders>
                    <w:top w:val="single" w:color="auto" w:sz="4" w:space="0"/>
                    <w:bottom w:val="single" w:color="auto" w:sz="4" w:space="0"/>
                    <w:tl2br w:val="nil"/>
                    <w:tr2bl w:val="nil"/>
                  </w:tcBorders>
                  <w:noWrap w:val="0"/>
                  <w:vAlign w:val="center"/>
                </w:tcPr>
                <w:p w14:paraId="67DE3CE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0.007 </w:t>
                  </w:r>
                </w:p>
              </w:tc>
              <w:tc>
                <w:tcPr>
                  <w:tcW w:w="798" w:type="dxa"/>
                  <w:vMerge w:val="continue"/>
                  <w:tcBorders>
                    <w:tl2br w:val="nil"/>
                    <w:tr2bl w:val="nil"/>
                  </w:tcBorders>
                  <w:noWrap w:val="0"/>
                  <w:vAlign w:val="center"/>
                </w:tcPr>
                <w:p w14:paraId="001486F8">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Cs w:val="21"/>
                    </w:rPr>
                  </w:pPr>
                </w:p>
              </w:tc>
              <w:tc>
                <w:tcPr>
                  <w:tcW w:w="840" w:type="dxa"/>
                  <w:tcBorders>
                    <w:top w:val="single" w:color="auto" w:sz="4" w:space="0"/>
                    <w:bottom w:val="single" w:color="auto" w:sz="4" w:space="0"/>
                    <w:tl2br w:val="nil"/>
                    <w:tr2bl w:val="nil"/>
                  </w:tcBorders>
                  <w:noWrap w:val="0"/>
                  <w:vAlign w:val="center"/>
                </w:tcPr>
                <w:p w14:paraId="1C4028A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0.007 </w:t>
                  </w:r>
                </w:p>
              </w:tc>
              <w:tc>
                <w:tcPr>
                  <w:tcW w:w="869" w:type="dxa"/>
                  <w:tcBorders>
                    <w:top w:val="single" w:color="auto" w:sz="4" w:space="0"/>
                    <w:bottom w:val="single" w:color="auto" w:sz="4" w:space="0"/>
                    <w:tl2br w:val="nil"/>
                    <w:tr2bl w:val="nil"/>
                  </w:tcBorders>
                  <w:noWrap w:val="0"/>
                  <w:vAlign w:val="center"/>
                </w:tcPr>
                <w:p w14:paraId="055EBC55">
                  <w:pPr>
                    <w:keepNext w:val="0"/>
                    <w:keepLines w:val="0"/>
                    <w:suppressLineNumbers w:val="0"/>
                    <w:spacing w:before="0" w:beforeAutospacing="0" w:after="0" w:afterAutospacing="0" w:line="240" w:lineRule="auto"/>
                    <w:ind w:left="0" w:right="0"/>
                    <w:jc w:val="center"/>
                    <w:rPr>
                      <w:rFonts w:hint="eastAsia" w:ascii="Times New Roman" w:hAnsi="Times New Roman" w:eastAsia="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200</w:t>
                  </w:r>
                </w:p>
              </w:tc>
              <w:tc>
                <w:tcPr>
                  <w:tcW w:w="950" w:type="dxa"/>
                  <w:tcBorders>
                    <w:top w:val="single" w:color="auto" w:sz="4" w:space="0"/>
                    <w:bottom w:val="single" w:color="auto" w:sz="4" w:space="0"/>
                    <w:tl2br w:val="nil"/>
                    <w:tr2bl w:val="nil"/>
                  </w:tcBorders>
                  <w:noWrap w:val="0"/>
                  <w:vAlign w:val="center"/>
                </w:tcPr>
                <w:p w14:paraId="45220BB6">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color w:val="auto"/>
                      <w:szCs w:val="21"/>
                      <w:lang w:val="en-US" w:eastAsia="zh-CN"/>
                    </w:rPr>
                  </w:pPr>
                  <w:r>
                    <w:rPr>
                      <w:rFonts w:hint="eastAsia" w:ascii="Times New Roman" w:hAnsi="Times New Roman" w:cs="Times New Roman"/>
                      <w:color w:val="auto"/>
                      <w:sz w:val="21"/>
                      <w:szCs w:val="21"/>
                      <w:lang w:val="en-US" w:eastAsia="zh-CN"/>
                    </w:rPr>
                    <w:t>/</w:t>
                  </w:r>
                </w:p>
              </w:tc>
              <w:tc>
                <w:tcPr>
                  <w:tcW w:w="939" w:type="dxa"/>
                  <w:vMerge w:val="continue"/>
                  <w:tcBorders>
                    <w:tl2br w:val="nil"/>
                    <w:tr2bl w:val="nil"/>
                  </w:tcBorders>
                  <w:noWrap w:val="0"/>
                  <w:vAlign w:val="center"/>
                </w:tcPr>
                <w:p w14:paraId="28DD52EE">
                  <w:pPr>
                    <w:keepNext w:val="0"/>
                    <w:keepLines w:val="0"/>
                    <w:suppressLineNumbers w:val="0"/>
                    <w:spacing w:before="0" w:beforeAutospacing="0" w:after="0" w:afterAutospacing="0" w:line="240" w:lineRule="auto"/>
                    <w:ind w:left="-84" w:leftChars="-40" w:right="-84" w:rightChars="-40"/>
                    <w:jc w:val="center"/>
                    <w:rPr>
                      <w:rFonts w:hint="default" w:ascii="Times New Roman" w:hAnsi="Times New Roman" w:eastAsia="Times New Roman" w:cs="Times New Roman"/>
                      <w:color w:val="auto"/>
                      <w:kern w:val="0"/>
                      <w:szCs w:val="21"/>
                    </w:rPr>
                  </w:pPr>
                </w:p>
              </w:tc>
            </w:tr>
            <w:tr w14:paraId="2E464B5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1069" w:type="dxa"/>
                  <w:vMerge w:val="continue"/>
                  <w:tcBorders>
                    <w:tl2br w:val="nil"/>
                    <w:tr2bl w:val="nil"/>
                  </w:tcBorders>
                  <w:noWrap w:val="0"/>
                  <w:vAlign w:val="center"/>
                </w:tcPr>
                <w:p w14:paraId="31426B60">
                  <w:pPr>
                    <w:pStyle w:val="46"/>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p>
              </w:tc>
              <w:tc>
                <w:tcPr>
                  <w:tcW w:w="709" w:type="dxa"/>
                  <w:vMerge w:val="continue"/>
                  <w:tcBorders>
                    <w:tl2br w:val="nil"/>
                    <w:tr2bl w:val="nil"/>
                  </w:tcBorders>
                  <w:noWrap w:val="0"/>
                  <w:vAlign w:val="center"/>
                </w:tcPr>
                <w:p w14:paraId="11294B40">
                  <w:pPr>
                    <w:pStyle w:val="217"/>
                    <w:keepNext w:val="0"/>
                    <w:keepLines w:val="0"/>
                    <w:suppressLineNumbers w:val="0"/>
                    <w:spacing w:before="0" w:beforeAutospacing="0" w:after="0" w:afterAutospacing="0" w:line="240" w:lineRule="auto"/>
                    <w:ind w:left="-105" w:leftChars="-50" w:right="-105" w:rightChars="-50"/>
                    <w:rPr>
                      <w:rFonts w:hint="default" w:ascii="Times New Roman" w:hAnsi="Times New Roman" w:eastAsia="宋体" w:cs="Times New Roman"/>
                      <w:color w:val="auto"/>
                      <w:sz w:val="21"/>
                    </w:rPr>
                  </w:pPr>
                </w:p>
              </w:tc>
              <w:tc>
                <w:tcPr>
                  <w:tcW w:w="699" w:type="dxa"/>
                  <w:tcBorders>
                    <w:top w:val="single" w:color="auto" w:sz="4" w:space="0"/>
                    <w:bottom w:val="single" w:color="auto" w:sz="4" w:space="0"/>
                    <w:tl2br w:val="nil"/>
                    <w:tr2bl w:val="nil"/>
                  </w:tcBorders>
                  <w:noWrap w:val="0"/>
                  <w:vAlign w:val="center"/>
                </w:tcPr>
                <w:p w14:paraId="60001F6E">
                  <w:pPr>
                    <w:pStyle w:val="224"/>
                    <w:keepNext w:val="0"/>
                    <w:keepLines w:val="0"/>
                    <w:suppressLineNumbers w:val="0"/>
                    <w:spacing w:before="0" w:beforeAutospacing="0" w:after="0" w:afterAutospacing="0" w:line="240" w:lineRule="auto"/>
                    <w:ind w:left="-63" w:leftChars="-30" w:right="-63" w:rightChars="-30" w:firstLine="0" w:firstLineChars="0"/>
                    <w:jc w:val="center"/>
                    <w:rPr>
                      <w:rFonts w:hint="eastAsia" w:ascii="Times New Roman" w:hAnsi="Times New Roman" w:eastAsia="Times New Roman" w:cs="Times New Roman"/>
                      <w:color w:val="auto"/>
                      <w:szCs w:val="21"/>
                      <w:lang w:val="en-US" w:eastAsia="zh-CN"/>
                    </w:rPr>
                  </w:pPr>
                  <w:r>
                    <w:rPr>
                      <w:rFonts w:hint="default" w:ascii="Times New Roman" w:hAnsi="Times New Roman" w:cs="Times New Roman"/>
                      <w:bCs/>
                      <w:color w:val="auto"/>
                      <w:sz w:val="21"/>
                      <w:szCs w:val="21"/>
                    </w:rPr>
                    <w:t>NO</w:t>
                  </w:r>
                  <w:r>
                    <w:rPr>
                      <w:rFonts w:hint="default" w:ascii="Times New Roman" w:hAnsi="Times New Roman" w:cs="Times New Roman"/>
                      <w:bCs/>
                      <w:color w:val="auto"/>
                      <w:sz w:val="21"/>
                      <w:szCs w:val="21"/>
                      <w:vertAlign w:val="subscript"/>
                    </w:rPr>
                    <w:t>X</w:t>
                  </w:r>
                </w:p>
              </w:tc>
              <w:tc>
                <w:tcPr>
                  <w:tcW w:w="859" w:type="dxa"/>
                  <w:tcBorders>
                    <w:top w:val="single" w:color="auto" w:sz="4" w:space="0"/>
                    <w:bottom w:val="single" w:color="auto" w:sz="4" w:space="0"/>
                    <w:tl2br w:val="nil"/>
                    <w:tr2bl w:val="nil"/>
                  </w:tcBorders>
                  <w:noWrap w:val="0"/>
                  <w:vAlign w:val="center"/>
                </w:tcPr>
                <w:p w14:paraId="2DFBE2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68.93 </w:t>
                  </w:r>
                </w:p>
              </w:tc>
              <w:tc>
                <w:tcPr>
                  <w:tcW w:w="794" w:type="dxa"/>
                  <w:tcBorders>
                    <w:top w:val="single" w:color="auto" w:sz="4" w:space="0"/>
                    <w:bottom w:val="single" w:color="auto" w:sz="4" w:space="0"/>
                    <w:tl2br w:val="nil"/>
                    <w:tr2bl w:val="nil"/>
                  </w:tcBorders>
                  <w:noWrap w:val="0"/>
                  <w:vAlign w:val="center"/>
                </w:tcPr>
                <w:p w14:paraId="3F2CAB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0.034 </w:t>
                  </w:r>
                </w:p>
              </w:tc>
              <w:tc>
                <w:tcPr>
                  <w:tcW w:w="798" w:type="dxa"/>
                  <w:vMerge w:val="continue"/>
                  <w:tcBorders>
                    <w:tl2br w:val="nil"/>
                    <w:tr2bl w:val="nil"/>
                  </w:tcBorders>
                  <w:noWrap w:val="0"/>
                  <w:vAlign w:val="center"/>
                </w:tcPr>
                <w:p w14:paraId="5D10A7BC">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Cs w:val="21"/>
                    </w:rPr>
                  </w:pPr>
                </w:p>
              </w:tc>
              <w:tc>
                <w:tcPr>
                  <w:tcW w:w="840" w:type="dxa"/>
                  <w:tcBorders>
                    <w:top w:val="single" w:color="auto" w:sz="4" w:space="0"/>
                    <w:bottom w:val="single" w:color="auto" w:sz="4" w:space="0"/>
                    <w:tl2br w:val="nil"/>
                    <w:tr2bl w:val="nil"/>
                  </w:tcBorders>
                  <w:noWrap w:val="0"/>
                  <w:vAlign w:val="center"/>
                </w:tcPr>
                <w:p w14:paraId="313AF73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0.034 </w:t>
                  </w:r>
                </w:p>
              </w:tc>
              <w:tc>
                <w:tcPr>
                  <w:tcW w:w="869" w:type="dxa"/>
                  <w:tcBorders>
                    <w:top w:val="single" w:color="auto" w:sz="4" w:space="0"/>
                    <w:bottom w:val="single" w:color="auto" w:sz="4" w:space="0"/>
                    <w:tl2br w:val="nil"/>
                    <w:tr2bl w:val="nil"/>
                  </w:tcBorders>
                  <w:noWrap w:val="0"/>
                  <w:vAlign w:val="center"/>
                </w:tcPr>
                <w:p w14:paraId="6708B21A">
                  <w:pPr>
                    <w:keepNext w:val="0"/>
                    <w:keepLines w:val="0"/>
                    <w:suppressLineNumbers w:val="0"/>
                    <w:spacing w:before="0" w:beforeAutospacing="0" w:after="0" w:afterAutospacing="0" w:line="240" w:lineRule="auto"/>
                    <w:ind w:left="0" w:right="0"/>
                    <w:jc w:val="center"/>
                    <w:rPr>
                      <w:rFonts w:hint="eastAsia" w:ascii="Times New Roman" w:hAnsi="Times New Roman" w:eastAsia="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50</w:t>
                  </w:r>
                </w:p>
              </w:tc>
              <w:tc>
                <w:tcPr>
                  <w:tcW w:w="950" w:type="dxa"/>
                  <w:tcBorders>
                    <w:top w:val="single" w:color="auto" w:sz="4" w:space="0"/>
                    <w:bottom w:val="single" w:color="auto" w:sz="4" w:space="0"/>
                    <w:tl2br w:val="nil"/>
                    <w:tr2bl w:val="nil"/>
                  </w:tcBorders>
                  <w:noWrap w:val="0"/>
                  <w:vAlign w:val="center"/>
                </w:tcPr>
                <w:p w14:paraId="21976D24">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color w:val="auto"/>
                      <w:szCs w:val="21"/>
                      <w:lang w:val="en-US" w:eastAsia="zh-CN"/>
                    </w:rPr>
                  </w:pPr>
                  <w:r>
                    <w:rPr>
                      <w:rFonts w:hint="eastAsia" w:ascii="Times New Roman" w:hAnsi="Times New Roman" w:cs="Times New Roman"/>
                      <w:b w:val="0"/>
                      <w:bCs w:val="0"/>
                      <w:color w:val="auto"/>
                      <w:sz w:val="21"/>
                      <w:szCs w:val="21"/>
                      <w:lang w:val="en-US" w:eastAsia="zh-CN"/>
                    </w:rPr>
                    <w:t>/</w:t>
                  </w:r>
                </w:p>
              </w:tc>
              <w:tc>
                <w:tcPr>
                  <w:tcW w:w="939" w:type="dxa"/>
                  <w:vMerge w:val="continue"/>
                  <w:tcBorders>
                    <w:tl2br w:val="nil"/>
                    <w:tr2bl w:val="nil"/>
                  </w:tcBorders>
                  <w:noWrap w:val="0"/>
                  <w:vAlign w:val="center"/>
                </w:tcPr>
                <w:p w14:paraId="68CBB588">
                  <w:pPr>
                    <w:keepNext w:val="0"/>
                    <w:keepLines w:val="0"/>
                    <w:suppressLineNumbers w:val="0"/>
                    <w:spacing w:before="0" w:beforeAutospacing="0" w:after="0" w:afterAutospacing="0" w:line="240" w:lineRule="auto"/>
                    <w:ind w:left="-84" w:leftChars="-40" w:right="-84" w:rightChars="-40"/>
                    <w:jc w:val="center"/>
                    <w:rPr>
                      <w:rFonts w:hint="default" w:ascii="Times New Roman" w:hAnsi="Times New Roman" w:eastAsia="Times New Roman" w:cs="Times New Roman"/>
                      <w:color w:val="auto"/>
                      <w:kern w:val="0"/>
                      <w:szCs w:val="21"/>
                    </w:rPr>
                  </w:pPr>
                </w:p>
              </w:tc>
            </w:tr>
          </w:tbl>
          <w:p w14:paraId="2B1B6906">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firstLine="470" w:firstLineChars="196"/>
              <w:textAlignment w:val="auto"/>
              <w:rPr>
                <w:rFonts w:hint="default" w:ascii="Times New Roman" w:hAnsi="Times New Roman" w:eastAsia="宋体" w:cs="Times New Roman"/>
                <w:bCs/>
                <w:color w:val="0000FF"/>
                <w:sz w:val="24"/>
              </w:rPr>
            </w:pPr>
            <w:r>
              <w:rPr>
                <w:rFonts w:hint="default" w:ascii="Times New Roman" w:hAnsi="Times New Roman" w:eastAsia="Times New Roman" w:cs="Times New Roman"/>
                <w:bCs/>
                <w:color w:val="auto"/>
                <w:sz w:val="24"/>
              </w:rPr>
              <w:t>为确保项目废气处理装置正常运行，建设方在日常运行过程中，拟采取如下措施：建设单位应加强设备的保养及日常管理，降低废气处理装置出现非正常工作情况的概率，并制定废气处置装置非正常排放的应急预案，一旦出现非正常排放的情况，需要采取一系列措施，</w:t>
            </w:r>
            <w:r>
              <w:rPr>
                <w:rFonts w:hint="default" w:ascii="Times New Roman" w:hAnsi="Times New Roman" w:eastAsia="宋体" w:cs="Times New Roman"/>
                <w:bCs/>
                <w:color w:val="auto"/>
                <w:sz w:val="24"/>
              </w:rPr>
              <w:t>如紧急生产停工，工程应急措施及必要的社会应急措施，降低环境影响。</w:t>
            </w:r>
          </w:p>
          <w:p w14:paraId="6F7C6EA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440" w:lineRule="exact"/>
              <w:ind w:left="0" w:right="0" w:firstLine="480"/>
              <w:textAlignment w:val="auto"/>
              <w:rPr>
                <w:rFonts w:hint="default" w:ascii="Times New Roman" w:hAnsi="Times New Roman" w:eastAsia="宋体" w:cs="Times New Roman"/>
                <w:b/>
                <w:color w:val="auto"/>
                <w:sz w:val="24"/>
                <w:lang w:val="en-US" w:eastAsia="zh-CN"/>
              </w:rPr>
            </w:pPr>
            <w:r>
              <w:rPr>
                <w:rFonts w:hint="default" w:ascii="Times New Roman" w:hAnsi="Times New Roman" w:eastAsia="宋体" w:cs="Times New Roman"/>
                <w:b/>
                <w:color w:val="auto"/>
                <w:sz w:val="24"/>
                <w:lang w:val="en-US" w:eastAsia="zh-CN"/>
              </w:rPr>
              <w:t>1.5</w:t>
            </w:r>
            <w:r>
              <w:rPr>
                <w:rFonts w:hint="default" w:ascii="Times New Roman" w:hAnsi="Times New Roman" w:eastAsia="宋体" w:cs="Times New Roman"/>
                <w:b/>
                <w:color w:val="auto"/>
                <w:sz w:val="24"/>
              </w:rPr>
              <w:t>污染控制措施可行性分析</w:t>
            </w:r>
          </w:p>
          <w:p w14:paraId="1CB85387">
            <w:pPr>
              <w:pStyle w:val="62"/>
              <w:keepNext w:val="0"/>
              <w:keepLines w:val="0"/>
              <w:suppressLineNumbers w:val="0"/>
              <w:bidi w:val="0"/>
              <w:spacing w:before="0" w:beforeAutospacing="0" w:after="0" w:afterAutospacing="0"/>
              <w:ind w:left="0" w:right="0"/>
              <w:rPr>
                <w:rFonts w:hint="default" w:cs="Times New Roman"/>
                <w:b/>
                <w:bCs/>
                <w:color w:val="auto"/>
                <w:lang w:val="en-US" w:eastAsia="zh-CN"/>
              </w:rPr>
            </w:pPr>
            <w:r>
              <w:rPr>
                <w:rFonts w:hint="eastAsia" w:cs="Times New Roman"/>
                <w:b/>
                <w:bCs/>
                <w:color w:val="auto"/>
                <w:lang w:val="en-US" w:eastAsia="zh-CN"/>
              </w:rPr>
              <w:t>（1）技术可行性分析</w:t>
            </w:r>
          </w:p>
          <w:p w14:paraId="112E87B9">
            <w:pPr>
              <w:pStyle w:val="62"/>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本项目箱式渗碳、淬火回火过程中产生的有组织废气（颗粒物、非甲烷总烃）通过废气间接冷却装置+静电吸附油雾净化装置+三级干式过滤器+二级活性炭吸附装置处理后经1根15m高排气筒排放（DA001）；天然气采用</w:t>
            </w:r>
            <w:r>
              <w:rPr>
                <w:rFonts w:hint="default"/>
                <w:color w:val="auto"/>
                <w:lang w:val="en-US" w:eastAsia="zh-CN"/>
              </w:rPr>
              <w:t>FGR低氮燃烧器</w:t>
            </w:r>
            <w:r>
              <w:rPr>
                <w:rFonts w:hint="eastAsia"/>
                <w:color w:val="auto"/>
                <w:lang w:val="en-US" w:eastAsia="zh-CN"/>
              </w:rPr>
              <w:t>燃烧，有组织废气（颗粒物、二氧化硫、氮氧化物）经1根15m高排气筒排放（DA002）。</w:t>
            </w:r>
          </w:p>
          <w:p w14:paraId="1BE778B9">
            <w:pPr>
              <w:pStyle w:val="62"/>
              <w:keepNext w:val="0"/>
              <w:keepLines w:val="0"/>
              <w:suppressLineNumbers w:val="0"/>
              <w:bidi w:val="0"/>
              <w:spacing w:before="0" w:beforeAutospacing="0" w:after="0" w:afterAutospacing="0"/>
              <w:ind w:left="0" w:right="0"/>
              <w:rPr>
                <w:rFonts w:hint="eastAsia"/>
                <w:b/>
                <w:bCs/>
                <w:color w:val="0000FF"/>
                <w:lang w:val="en-US" w:eastAsia="zh-CN"/>
              </w:rPr>
            </w:pPr>
            <w:r>
              <w:rPr>
                <w:rFonts w:hint="default" w:ascii="Times New Roman" w:hAnsi="Times New Roman" w:eastAsia="宋体" w:cs="Times New Roman"/>
                <w:color w:val="auto"/>
                <w:sz w:val="24"/>
                <w:lang w:val="en-US" w:eastAsia="zh-CN"/>
              </w:rPr>
              <w:t>根据《排污许可证申请与核发技术规范 总则》（HJ 942-2018）</w:t>
            </w:r>
            <w:r>
              <w:rPr>
                <w:rFonts w:hint="eastAsia" w:ascii="Times New Roman" w:hAnsi="Times New Roman" w:eastAsia="宋体" w:cs="Times New Roman"/>
                <w:color w:val="auto"/>
                <w:sz w:val="24"/>
                <w:lang w:val="en-US" w:eastAsia="zh-CN"/>
              </w:rPr>
              <w:t>、依据</w:t>
            </w:r>
            <w:r>
              <w:rPr>
                <w:rFonts w:hint="eastAsia" w:ascii="Times New Roman" w:hAnsi="Times New Roman" w:eastAsia="宋体" w:cs="Times New Roman"/>
                <w:color w:val="auto"/>
                <w:sz w:val="24"/>
                <w:highlight w:val="none"/>
                <w:lang w:val="en-US" w:eastAsia="zh-CN"/>
              </w:rPr>
              <w:t>《排污许可证申请与核发技术规范铁路、船舶、航空航天和其他运输设备制造业》（HJ1124-2020）表 C.4其他运输设备制造排污单位废气污染防治推荐可行技术，</w:t>
            </w:r>
            <w:r>
              <w:rPr>
                <w:rFonts w:hint="eastAsia"/>
                <w:color w:val="auto"/>
                <w:sz w:val="24"/>
                <w:szCs w:val="24"/>
              </w:rPr>
              <w:t>本项目</w:t>
            </w:r>
            <w:r>
              <w:rPr>
                <w:rFonts w:hint="eastAsia"/>
                <w:color w:val="auto"/>
                <w:sz w:val="24"/>
                <w:szCs w:val="24"/>
                <w:lang w:val="en-US" w:eastAsia="zh-CN"/>
              </w:rPr>
              <w:t>采取的废气处理设施</w:t>
            </w:r>
            <w:r>
              <w:rPr>
                <w:rFonts w:hint="eastAsia"/>
                <w:color w:val="auto"/>
                <w:sz w:val="24"/>
                <w:szCs w:val="24"/>
              </w:rPr>
              <w:t>均属于规范中废气处理中可行性技术。</w:t>
            </w:r>
          </w:p>
          <w:p w14:paraId="7B5F3123">
            <w:pPr>
              <w:pStyle w:val="62"/>
              <w:keepNext w:val="0"/>
              <w:keepLines w:val="0"/>
              <w:suppressLineNumbers w:val="0"/>
              <w:bidi w:val="0"/>
              <w:spacing w:before="0" w:beforeAutospacing="0" w:after="0" w:afterAutospacing="0"/>
              <w:ind w:left="0" w:right="0"/>
              <w:rPr>
                <w:rFonts w:hint="default"/>
                <w:b/>
                <w:bCs/>
                <w:color w:val="0000FF"/>
                <w:lang w:val="en-US" w:eastAsia="zh-CN"/>
              </w:rPr>
            </w:pPr>
            <w:r>
              <w:rPr>
                <w:rFonts w:hint="eastAsia"/>
                <w:b/>
                <w:bCs/>
                <w:color w:val="auto"/>
                <w:lang w:val="en-US" w:eastAsia="zh-CN"/>
              </w:rPr>
              <w:t>（2）废气处理设施原理</w:t>
            </w:r>
          </w:p>
          <w:p w14:paraId="3618D34A">
            <w:pPr>
              <w:keepNext w:val="0"/>
              <w:keepLines w:val="0"/>
              <w:pageBreakBefore w:val="0"/>
              <w:widowControl w:val="0"/>
              <w:suppressLineNumbers w:val="0"/>
              <w:kinsoku/>
              <w:wordWrap/>
              <w:overflowPunct/>
              <w:autoSpaceDN/>
              <w:bidi w:val="0"/>
              <w:adjustRightInd/>
              <w:snapToGrid/>
              <w:spacing w:before="0" w:beforeAutospacing="0" w:after="0" w:afterAutospacing="0" w:line="480" w:lineRule="exact"/>
              <w:ind w:left="0" w:right="0" w:firstLine="482"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szCs w:val="24"/>
                <w:lang w:val="en-US" w:eastAsia="zh-CN"/>
              </w:rPr>
              <w:t>静电吸附油雾净化</w:t>
            </w:r>
            <w:r>
              <w:rPr>
                <w:rFonts w:hint="default"/>
                <w:b/>
                <w:bCs/>
                <w:color w:val="auto"/>
                <w:sz w:val="24"/>
                <w:szCs w:val="24"/>
                <w:lang w:val="en-US" w:eastAsia="zh-CN"/>
              </w:rPr>
              <w:t>装置</w:t>
            </w:r>
            <w:r>
              <w:rPr>
                <w:rFonts w:hint="eastAsia"/>
                <w:b/>
                <w:bCs/>
                <w:color w:val="auto"/>
                <w:sz w:val="24"/>
                <w:szCs w:val="24"/>
                <w:lang w:val="en-US" w:eastAsia="zh-CN"/>
              </w:rPr>
              <w:t>：</w:t>
            </w:r>
            <w:r>
              <w:rPr>
                <w:rFonts w:hint="eastAsia" w:ascii="Times New Roman" w:hAnsi="Times New Roman" w:eastAsia="宋体" w:cs="Times New Roman"/>
                <w:color w:val="auto"/>
                <w:sz w:val="24"/>
                <w:lang w:val="en-US" w:eastAsia="zh-CN"/>
              </w:rPr>
              <w:t>静电吸附油雾净化装置是一种用于机加工净化油雾的一种环保产品，该产品采用高效的精华滤材和高品质的点击组合而成。通过风轮把油气抽出来，然后达到净化和分离，采用的是物理过滤方法，把过滤的油雾重新回到油缸里面。实现了机械在生产的同时产生的油雾和水雾可以重新回收。静电吸附油雾净化器是在高压静电的作用下，电场的放电极产生电场，使油烟小颗粒荷电，带电的油烟小颗粒迅速向正极运动，与气体分子碰撞并离子化，当油烟废气通过环保油烟净化机高压电场时，油烟粒子在极短的时间内因碰撞俘获气体离子而导致荷电，受电场力作用向正极集尘板运动，从而达到吸附油烟的效果。静电吸附油雾净化装置具有投资少、占地小、无二次污染、运行费用低等特点，由于易于捕捉粒径较小的粉尘，具有能耗低，阻力小的特点，</w:t>
            </w:r>
            <w:r>
              <w:rPr>
                <w:rFonts w:hint="eastAsia" w:cs="Times New Roman"/>
                <w:color w:val="auto"/>
                <w:sz w:val="24"/>
                <w:lang w:val="en-US" w:eastAsia="zh-CN"/>
              </w:rPr>
              <w:t>从而</w:t>
            </w:r>
            <w:r>
              <w:rPr>
                <w:rFonts w:hint="eastAsia" w:ascii="Times New Roman" w:hAnsi="Times New Roman" w:eastAsia="宋体" w:cs="Times New Roman"/>
                <w:color w:val="auto"/>
                <w:sz w:val="24"/>
                <w:lang w:val="en-US" w:eastAsia="zh-CN"/>
              </w:rPr>
              <w:t>降低与之配套的风机功率，达到降低成本的目的。静电吸附油雾净化的电场分布装置采用模块化活动结构，拆装自由，清洗方便，组合式箱体，可根据需要自由选择进出风口方位，安装方便，设备电源设有过流、过压、触电、漏电、故障保护装置，多重装置保护油烟净化器正常工作。静电吸附油雾净化可实现环保油烟净化机与控制分离操作，结构紧凑、新颖、体积小、重量轻；电场电压稳定，不会随电场电流的增加而</w:t>
            </w:r>
            <w:r>
              <w:rPr>
                <w:rFonts w:hint="default" w:ascii="Times New Roman" w:hAnsi="Times New Roman" w:eastAsia="宋体" w:cs="Times New Roman"/>
                <w:color w:val="auto"/>
                <w:sz w:val="24"/>
                <w:lang w:val="en-US" w:eastAsia="zh-CN"/>
              </w:rPr>
              <w:t>下降。</w:t>
            </w:r>
            <w:r>
              <w:rPr>
                <w:rFonts w:hint="eastAsia" w:ascii="Times New Roman" w:hAnsi="Times New Roman" w:eastAsia="宋体" w:cs="Times New Roman"/>
                <w:color w:val="auto"/>
                <w:sz w:val="24"/>
                <w:lang w:val="en-US" w:eastAsia="zh-CN"/>
              </w:rPr>
              <w:t>本项目淬火、回火工段产生的废气主要为油雾，可选择静电吸附油雾净化作为主要净化措施。捕集效率按90</w:t>
            </w:r>
            <w:r>
              <w:rPr>
                <w:rFonts w:hint="default" w:ascii="Times New Roman" w:hAnsi="Times New Roman" w:eastAsia="宋体" w:cs="Times New Roman"/>
                <w:color w:val="auto"/>
                <w:sz w:val="24"/>
                <w:lang w:val="en-US" w:eastAsia="zh-CN"/>
              </w:rPr>
              <w:t>%</w:t>
            </w:r>
            <w:r>
              <w:rPr>
                <w:rFonts w:hint="eastAsia" w:ascii="Times New Roman" w:hAnsi="Times New Roman" w:eastAsia="宋体" w:cs="Times New Roman"/>
                <w:color w:val="auto"/>
                <w:sz w:val="24"/>
                <w:lang w:val="en-US" w:eastAsia="zh-CN"/>
              </w:rPr>
              <w:t>计，静电吸附油雾净化率取90%</w:t>
            </w:r>
            <w:r>
              <w:rPr>
                <w:rFonts w:hint="default" w:ascii="Times New Roman" w:hAnsi="Times New Roman" w:eastAsia="宋体" w:cs="Times New Roman"/>
                <w:color w:val="auto"/>
                <w:sz w:val="24"/>
              </w:rPr>
              <w:t>。</w:t>
            </w:r>
          </w:p>
          <w:p w14:paraId="42A4AE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b/>
                <w:bCs/>
                <w:color w:val="auto"/>
                <w:lang w:val="en-US" w:eastAsia="zh-CN"/>
              </w:rPr>
            </w:pPr>
            <w:r>
              <w:rPr>
                <w:rFonts w:hint="eastAsia" w:ascii="Times New Roman" w:hAnsi="Times New Roman" w:eastAsia="Times New Roman" w:cs="Times New Roman"/>
                <w:b/>
                <w:bCs/>
                <w:color w:val="auto"/>
                <w:sz w:val="24"/>
                <w:szCs w:val="24"/>
                <w:lang w:val="en-US" w:eastAsia="zh-CN"/>
              </w:rPr>
              <w:t>三级干式过滤器工作原理</w:t>
            </w:r>
            <w:r>
              <w:rPr>
                <w:rFonts w:hint="eastAsia" w:ascii="Times New Roman" w:hAnsi="Times New Roman" w:eastAsia="Times New Roman" w:cs="Times New Roman"/>
                <w:color w:val="auto"/>
                <w:sz w:val="24"/>
                <w:szCs w:val="24"/>
                <w:lang w:val="en-US" w:eastAsia="zh-CN"/>
              </w:rPr>
              <w:t>：油雾（颗粒物）经</w:t>
            </w:r>
            <w:r>
              <w:rPr>
                <w:rFonts w:hint="eastAsia" w:ascii="Times New Roman" w:hAnsi="Times New Roman" w:eastAsia="宋体" w:cs="Times New Roman"/>
                <w:color w:val="auto"/>
                <w:sz w:val="24"/>
                <w:lang w:val="en-US" w:eastAsia="zh-CN"/>
              </w:rPr>
              <w:t>静电吸附油雾净化装置处理后，</w:t>
            </w:r>
            <w:r>
              <w:rPr>
                <w:rFonts w:hint="eastAsia" w:ascii="Times New Roman" w:hAnsi="Times New Roman" w:eastAsia="Times New Roman" w:cs="Times New Roman"/>
                <w:color w:val="auto"/>
                <w:sz w:val="24"/>
                <w:szCs w:val="24"/>
              </w:rPr>
              <w:t>通过干式过滤器内三种不同过滤材料将微小</w:t>
            </w:r>
            <w:r>
              <w:rPr>
                <w:rFonts w:hint="eastAsia" w:ascii="Times New Roman" w:hAnsi="Times New Roman" w:eastAsia="Times New Roman" w:cs="Times New Roman"/>
                <w:color w:val="auto"/>
                <w:sz w:val="24"/>
                <w:szCs w:val="24"/>
                <w:lang w:val="en-US" w:eastAsia="zh-CN"/>
              </w:rPr>
              <w:t>油雾（颗粒物）</w:t>
            </w:r>
            <w:r>
              <w:rPr>
                <w:rFonts w:hint="eastAsia" w:ascii="Times New Roman" w:hAnsi="Times New Roman" w:eastAsia="Times New Roman" w:cs="Times New Roman"/>
                <w:color w:val="auto"/>
                <w:sz w:val="24"/>
                <w:szCs w:val="24"/>
              </w:rPr>
              <w:t>拦截下来</w:t>
            </w:r>
            <w:r>
              <w:rPr>
                <w:rFonts w:hint="eastAsia" w:ascii="Times New Roman" w:hAnsi="Times New Roman" w:eastAsia="宋体" w:cs="Times New Roman"/>
                <w:color w:val="auto"/>
                <w:sz w:val="24"/>
                <w:szCs w:val="24"/>
                <w:lang w:eastAsia="zh-CN"/>
              </w:rPr>
              <w:t>，</w:t>
            </w:r>
            <w:r>
              <w:rPr>
                <w:rFonts w:hint="eastAsia" w:ascii="Times New Roman" w:hAnsi="Times New Roman" w:eastAsia="Times New Roman" w:cs="Times New Roman"/>
                <w:color w:val="auto"/>
                <w:sz w:val="24"/>
                <w:szCs w:val="24"/>
              </w:rPr>
              <w:t>从而</w:t>
            </w:r>
            <w:r>
              <w:rPr>
                <w:rFonts w:hint="eastAsia" w:ascii="Times New Roman" w:hAnsi="Times New Roman" w:eastAsia="宋体" w:cs="Times New Roman"/>
                <w:color w:val="auto"/>
                <w:sz w:val="24"/>
                <w:szCs w:val="24"/>
                <w:lang w:val="en-US" w:eastAsia="zh-CN"/>
              </w:rPr>
              <w:t>满足两级活性炭前端预处理后颗粒物浓度要求</w:t>
            </w:r>
            <w:r>
              <w:rPr>
                <w:rFonts w:hint="eastAsia" w:ascii="Times New Roman" w:hAnsi="Times New Roman" w:eastAsia="Times New Roman" w:cs="Times New Roman"/>
                <w:color w:val="auto"/>
                <w:sz w:val="24"/>
                <w:szCs w:val="24"/>
              </w:rPr>
              <w:t>。</w:t>
            </w:r>
            <w:r>
              <w:rPr>
                <w:rFonts w:hint="eastAsia" w:ascii="Times New Roman" w:hAnsi="Times New Roman" w:eastAsia="宋体" w:cs="Times New Roman"/>
                <w:color w:val="auto"/>
                <w:sz w:val="24"/>
                <w:lang w:val="en-US" w:eastAsia="zh-CN"/>
              </w:rPr>
              <w:t>油雾净化率取90%</w:t>
            </w:r>
            <w:r>
              <w:rPr>
                <w:rFonts w:hint="default" w:ascii="Times New Roman" w:hAnsi="Times New Roman" w:eastAsia="宋体" w:cs="Times New Roman"/>
                <w:color w:val="auto"/>
                <w:sz w:val="24"/>
              </w:rPr>
              <w:t>。</w:t>
            </w:r>
          </w:p>
          <w:p w14:paraId="11D95750">
            <w:pPr>
              <w:pStyle w:val="62"/>
              <w:keepNext w:val="0"/>
              <w:keepLines w:val="0"/>
              <w:suppressLineNumbers w:val="0"/>
              <w:bidi w:val="0"/>
              <w:spacing w:before="0" w:beforeAutospacing="0" w:after="0" w:afterAutospacing="0"/>
              <w:ind w:left="0" w:right="0"/>
              <w:rPr>
                <w:rFonts w:hint="default"/>
                <w:color w:val="auto"/>
                <w:lang w:val="en-US" w:eastAsia="zh-CN"/>
              </w:rPr>
            </w:pPr>
            <w:r>
              <w:rPr>
                <w:rFonts w:hint="eastAsia"/>
                <w:b/>
                <w:bCs/>
                <w:color w:val="auto"/>
                <w:lang w:val="en-US" w:eastAsia="zh-CN"/>
              </w:rPr>
              <w:t>两级活性炭吸附装置：</w:t>
            </w:r>
            <w:r>
              <w:rPr>
                <w:rFonts w:hint="default"/>
                <w:color w:val="auto"/>
                <w:lang w:val="en-US" w:eastAsia="zh-CN"/>
              </w:rPr>
              <w:t>活性炭是由各种含碳物质（如木材、泥煤、果核、椰壳等原料）在高温下炭化后，再用水蒸气或化学药品（如氯化锌、氯化锰、氯化钙和磷酸等）进行活化处理，然后制成的孔隙十分丰富的吸附剂，比表面积一般在700～1500m</w:t>
            </w:r>
            <w:r>
              <w:rPr>
                <w:rFonts w:hint="default"/>
                <w:color w:val="auto"/>
                <w:vertAlign w:val="superscript"/>
                <w:lang w:val="en-US" w:eastAsia="zh-CN"/>
              </w:rPr>
              <w:t>2</w:t>
            </w:r>
            <w:r>
              <w:rPr>
                <w:rFonts w:hint="default"/>
                <w:color w:val="auto"/>
                <w:lang w:val="en-US" w:eastAsia="zh-CN"/>
              </w:rPr>
              <w:t>/g范围内，具有优良的吸附能力。其孔径分布一般为：活性炭5nm以下，活性焦炭2nm以下，炭分子筛1nm以下。炭分子筛</w:t>
            </w:r>
            <w:r>
              <w:rPr>
                <w:rFonts w:hint="eastAsia"/>
                <w:color w:val="auto"/>
                <w:lang w:val="en-US" w:eastAsia="zh-CN"/>
              </w:rPr>
              <w:t>是</w:t>
            </w:r>
            <w:r>
              <w:rPr>
                <w:rFonts w:hint="default"/>
                <w:color w:val="auto"/>
                <w:lang w:val="en-US" w:eastAsia="zh-CN"/>
              </w:rPr>
              <w:t>新近发展的一种孔径均一的分子筛型新品种，具有良好的选择吸附能力。</w:t>
            </w:r>
          </w:p>
          <w:p w14:paraId="7785D9F6">
            <w:pPr>
              <w:pStyle w:val="62"/>
              <w:keepNext w:val="0"/>
              <w:keepLines w:val="0"/>
              <w:suppressLineNumbers w:val="0"/>
              <w:bidi w:val="0"/>
              <w:spacing w:before="0" w:beforeAutospacing="0" w:after="0" w:afterAutospacing="0"/>
              <w:ind w:left="0" w:right="0"/>
              <w:rPr>
                <w:rFonts w:hint="default"/>
                <w:color w:val="auto"/>
              </w:rPr>
            </w:pPr>
            <w:r>
              <w:rPr>
                <w:rFonts w:hint="default"/>
                <w:color w:val="auto"/>
              </w:rPr>
              <w:t>活性炭吸附装置的优点：吸附效率高，适用面广；维护方便，无技术要求；能同时处理多种混合废气。</w:t>
            </w:r>
          </w:p>
          <w:p w14:paraId="6815BF78">
            <w:pPr>
              <w:pStyle w:val="452"/>
              <w:keepNext w:val="0"/>
              <w:keepLines w:val="0"/>
              <w:suppressLineNumbers w:val="0"/>
              <w:spacing w:before="0" w:beforeAutospacing="0" w:after="0" w:afterAutospacing="0"/>
              <w:ind w:left="0" w:right="0"/>
              <w:jc w:val="center"/>
              <w:rPr>
                <w:rFonts w:hint="default" w:ascii="Times New Roman" w:hAnsi="Times New Roman" w:eastAsia="Times New Roman" w:cs="Times New Roman"/>
                <w:color w:val="0000FF"/>
                <w:highlight w:val="none"/>
              </w:rPr>
            </w:pPr>
            <w:r>
              <w:rPr>
                <w:rFonts w:hint="default" w:ascii="Times New Roman" w:hAnsi="Times New Roman" w:eastAsia="Times New Roman" w:cs="Times New Roman"/>
                <w:color w:val="0000FF"/>
                <w:highlight w:val="none"/>
              </w:rPr>
              <w:pict>
                <v:shape id="_x0000_i1025" o:spt="75" type="#_x0000_t75" style="height:125.5pt;width:261.85pt;" filled="f" o:preferrelative="t" stroked="f" coordsize="21600,21600">
                  <v:path/>
                  <v:fill on="f" focussize="0,0"/>
                  <v:stroke on="f"/>
                  <v:imagedata r:id="rId22" o:title=""/>
                  <o:lock v:ext="edit" aspectratio="t"/>
                  <w10:wrap type="none"/>
                  <w10:anchorlock/>
                </v:shape>
              </w:pict>
            </w:r>
          </w:p>
          <w:p w14:paraId="52FC53BA">
            <w:pPr>
              <w:pStyle w:val="62"/>
              <w:keepNext w:val="0"/>
              <w:keepLines w:val="0"/>
              <w:suppressLineNumbers w:val="0"/>
              <w:bidi w:val="0"/>
              <w:spacing w:before="0" w:beforeAutospacing="0" w:after="0" w:afterAutospacing="0"/>
              <w:ind w:left="0" w:leftChars="0" w:right="0" w:firstLine="0" w:firstLineChars="0"/>
              <w:jc w:val="center"/>
              <w:rPr>
                <w:rFonts w:hint="eastAsia"/>
                <w:b/>
                <w:bCs/>
                <w:color w:val="auto"/>
              </w:rPr>
            </w:pPr>
            <w:r>
              <w:rPr>
                <w:rFonts w:hint="eastAsia"/>
                <w:b/>
                <w:bCs/>
                <w:color w:val="auto"/>
                <w:lang w:val="en-US" w:eastAsia="zh-CN"/>
              </w:rPr>
              <w:t xml:space="preserve">图4-1 </w:t>
            </w:r>
            <w:r>
              <w:rPr>
                <w:rFonts w:hint="eastAsia"/>
                <w:b/>
                <w:bCs/>
                <w:color w:val="auto"/>
              </w:rPr>
              <w:t>活性炭吸附装置内部构造示意图</w:t>
            </w:r>
          </w:p>
          <w:p w14:paraId="4A3443FA">
            <w:pPr>
              <w:pStyle w:val="62"/>
              <w:keepNext w:val="0"/>
              <w:keepLines w:val="0"/>
              <w:suppressLineNumbers w:val="0"/>
              <w:bidi w:val="0"/>
              <w:spacing w:before="0" w:beforeAutospacing="0" w:after="0" w:afterAutospacing="0"/>
              <w:ind w:left="0" w:right="0"/>
              <w:rPr>
                <w:rFonts w:hint="default" w:ascii="Times New Roman" w:hAnsi="Times New Roman" w:cs="Times New Roman"/>
                <w:b/>
                <w:bCs w:val="0"/>
                <w:color w:val="auto"/>
                <w:sz w:val="24"/>
                <w:lang w:eastAsia="zh-CN"/>
              </w:rPr>
            </w:pPr>
            <w:r>
              <w:rPr>
                <w:rFonts w:hint="default"/>
                <w:color w:val="auto"/>
              </w:rPr>
              <w:t>本项目利用</w:t>
            </w:r>
            <w:r>
              <w:rPr>
                <w:rFonts w:hint="eastAsia"/>
                <w:color w:val="auto"/>
                <w:lang w:eastAsia="zh-CN"/>
              </w:rPr>
              <w:t>“</w:t>
            </w:r>
            <w:r>
              <w:rPr>
                <w:rFonts w:hint="default"/>
                <w:color w:val="auto"/>
                <w:lang w:val="en-US" w:eastAsia="zh-CN"/>
              </w:rPr>
              <w:t>二级</w:t>
            </w:r>
            <w:r>
              <w:rPr>
                <w:rFonts w:hint="default"/>
                <w:color w:val="auto"/>
              </w:rPr>
              <w:t>活性炭吸附装置</w:t>
            </w:r>
            <w:r>
              <w:rPr>
                <w:rFonts w:hint="eastAsia"/>
                <w:color w:val="auto"/>
                <w:lang w:eastAsia="zh-CN"/>
              </w:rPr>
              <w:t>”</w:t>
            </w:r>
            <w:r>
              <w:rPr>
                <w:rFonts w:hint="default"/>
                <w:color w:val="auto"/>
              </w:rPr>
              <w:t>处理有机废气，为国内较为普遍的有机废气处理方式，现有的管理经验较为丰富，企业可以节省大量管理维护培训费用，活性炭吸附装置运行稳定，维护简单。</w:t>
            </w:r>
          </w:p>
          <w:p w14:paraId="29845A9C">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firstLine="482" w:firstLineChars="200"/>
              <w:textAlignment w:val="auto"/>
              <w:rPr>
                <w:rFonts w:hint="default" w:ascii="Times New Roman" w:hAnsi="Times New Roman" w:cs="Times New Roman"/>
                <w:b/>
                <w:bCs w:val="0"/>
                <w:color w:val="auto"/>
                <w:sz w:val="24"/>
                <w:lang w:val="en-US" w:eastAsia="zh-CN"/>
              </w:rPr>
            </w:pPr>
            <w:r>
              <w:rPr>
                <w:rFonts w:hint="default" w:ascii="Times New Roman" w:hAnsi="Times New Roman" w:cs="Times New Roman"/>
                <w:b/>
                <w:bCs w:val="0"/>
                <w:color w:val="auto"/>
                <w:sz w:val="24"/>
                <w:lang w:eastAsia="zh-CN"/>
              </w:rPr>
              <w:t>FGR低氮燃烧器</w:t>
            </w:r>
            <w:r>
              <w:rPr>
                <w:rFonts w:hint="eastAsia" w:ascii="Times New Roman" w:hAnsi="Times New Roman" w:cs="Times New Roman"/>
                <w:b/>
                <w:bCs w:val="0"/>
                <w:color w:val="auto"/>
                <w:sz w:val="24"/>
                <w:lang w:val="en-US" w:eastAsia="zh-CN"/>
              </w:rPr>
              <w:t>原理：</w:t>
            </w:r>
            <w:r>
              <w:rPr>
                <w:rFonts w:hint="eastAsia" w:ascii="Times New Roman" w:hAnsi="Times New Roman" w:cs="Times New Roman"/>
                <w:b w:val="0"/>
                <w:bCs/>
                <w:color w:val="auto"/>
                <w:sz w:val="24"/>
                <w:lang w:val="en-US" w:eastAsia="zh-CN"/>
              </w:rPr>
              <w:t>起源欧美，国内已广泛用于燃气锅炉、热处理退火炉、导热油炉、工业燃气加热炉等。FGR=烟气外循环，抽取15%~25%低温洁净烟气混入助燃空气，配合分级/全预混结构、电子比例空燃比自控：降低火焰峰值温度、稀释氧浓度，从源头抑制热力型NOₓ生成，属于成熟源头低氮减排技术。</w:t>
            </w:r>
          </w:p>
          <w:p w14:paraId="207B7D54">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firstLine="482" w:firstLineChars="200"/>
              <w:textAlignment w:val="auto"/>
              <w:rPr>
                <w:rFonts w:hint="default" w:eastAsia="宋体"/>
                <w:b w:val="0"/>
                <w:bCs/>
                <w:color w:val="auto"/>
                <w:sz w:val="24"/>
                <w:lang w:val="en-US" w:eastAsia="zh-CN"/>
              </w:rPr>
            </w:pPr>
            <w:r>
              <w:rPr>
                <w:rFonts w:hint="default" w:ascii="Times New Roman" w:hAnsi="Times New Roman" w:cs="Times New Roman"/>
                <w:b/>
                <w:bCs w:val="0"/>
                <w:color w:val="auto"/>
                <w:sz w:val="24"/>
                <w:lang w:eastAsia="zh-CN"/>
              </w:rPr>
              <w:t>（</w:t>
            </w:r>
            <w:r>
              <w:rPr>
                <w:rFonts w:hint="default" w:ascii="Times New Roman" w:hAnsi="Times New Roman" w:cs="Times New Roman"/>
                <w:b/>
                <w:bCs w:val="0"/>
                <w:color w:val="auto"/>
                <w:sz w:val="24"/>
                <w:lang w:val="en-US" w:eastAsia="zh-CN"/>
              </w:rPr>
              <w:t>3</w:t>
            </w:r>
            <w:r>
              <w:rPr>
                <w:rFonts w:hint="default" w:ascii="Times New Roman" w:hAnsi="Times New Roman" w:cs="Times New Roman"/>
                <w:b/>
                <w:bCs w:val="0"/>
                <w:color w:val="auto"/>
                <w:sz w:val="24"/>
                <w:lang w:eastAsia="zh-CN"/>
              </w:rPr>
              <w:t>）</w:t>
            </w:r>
            <w:r>
              <w:rPr>
                <w:rFonts w:hint="eastAsia"/>
                <w:b/>
                <w:bCs w:val="0"/>
                <w:color w:val="auto"/>
                <w:sz w:val="24"/>
                <w:lang w:val="en-US" w:eastAsia="zh-CN"/>
              </w:rPr>
              <w:t>有机废气处理设施合理性分析</w:t>
            </w:r>
          </w:p>
          <w:p w14:paraId="7B2A1F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70" w:firstLineChars="196"/>
              <w:textAlignment w:val="auto"/>
              <w:rPr>
                <w:rFonts w:hint="default" w:ascii="Times New Roman" w:hAnsi="Times New Roman" w:eastAsia="Times New Roman" w:cs="Times New Roman"/>
                <w:b/>
                <w:bCs/>
                <w:color w:val="auto"/>
                <w:kern w:val="0"/>
                <w:sz w:val="24"/>
                <w:lang w:eastAsia="zh-CN"/>
              </w:rPr>
            </w:pPr>
            <w:r>
              <w:rPr>
                <w:rFonts w:hint="eastAsia" w:ascii="宋体" w:hAnsi="宋体" w:eastAsia="宋体" w:cs="宋体"/>
                <w:b w:val="0"/>
                <w:bCs w:val="0"/>
                <w:color w:val="auto"/>
                <w:kern w:val="0"/>
                <w:sz w:val="24"/>
                <w:szCs w:val="24"/>
                <w:lang w:val="en-US" w:eastAsia="zh-CN"/>
              </w:rPr>
              <w:t>根据</w:t>
            </w:r>
            <w:r>
              <w:rPr>
                <w:rFonts w:hint="eastAsia" w:ascii="宋体" w:hAnsi="宋体" w:eastAsia="宋体" w:cs="宋体"/>
                <w:b w:val="0"/>
                <w:bCs w:val="0"/>
                <w:color w:val="auto"/>
                <w:kern w:val="0"/>
                <w:sz w:val="24"/>
                <w:szCs w:val="24"/>
              </w:rPr>
              <w:t>《吸附法工业有机废气治理工程技术规范》（HJ2026-2013）</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lang w:val="en-US" w:eastAsia="zh-CN"/>
              </w:rPr>
              <w:t>6.3.2.2</w:t>
            </w:r>
            <w:r>
              <w:rPr>
                <w:rFonts w:hint="eastAsia" w:ascii="宋体" w:hAnsi="宋体" w:eastAsia="宋体" w:cs="宋体"/>
                <w:b w:val="0"/>
                <w:bCs w:val="0"/>
                <w:color w:val="auto"/>
                <w:kern w:val="0"/>
                <w:sz w:val="24"/>
                <w:szCs w:val="24"/>
                <w:lang w:val="en-US" w:eastAsia="zh-CN" w:bidi="ar"/>
              </w:rPr>
              <w:t>当废气中颗粒物含量超过1mg/m</w:t>
            </w:r>
            <w:r>
              <w:rPr>
                <w:rFonts w:hint="eastAsia" w:ascii="宋体" w:hAnsi="宋体" w:eastAsia="宋体" w:cs="宋体"/>
                <w:b w:val="0"/>
                <w:bCs w:val="0"/>
                <w:color w:val="auto"/>
                <w:kern w:val="0"/>
                <w:sz w:val="24"/>
                <w:szCs w:val="24"/>
                <w:vertAlign w:val="superscript"/>
                <w:lang w:val="en-US" w:eastAsia="zh-CN" w:bidi="ar"/>
              </w:rPr>
              <w:t>3</w:t>
            </w:r>
            <w:r>
              <w:rPr>
                <w:rFonts w:hint="eastAsia" w:ascii="宋体" w:hAnsi="宋体" w:eastAsia="宋体" w:cs="宋体"/>
                <w:b w:val="0"/>
                <w:bCs w:val="0"/>
                <w:color w:val="auto"/>
                <w:kern w:val="0"/>
                <w:sz w:val="24"/>
                <w:szCs w:val="24"/>
                <w:lang w:val="en-US" w:eastAsia="zh-CN" w:bidi="ar"/>
              </w:rPr>
              <w:t>时，应先采用过滤或洗涤等方式进行预处理</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lang w:val="en-US" w:eastAsia="zh-CN"/>
              </w:rPr>
              <w:t>即</w:t>
            </w:r>
            <w:r>
              <w:rPr>
                <w:rFonts w:hint="eastAsia" w:ascii="宋体" w:hAnsi="宋体" w:eastAsia="宋体" w:cs="宋体"/>
                <w:b w:val="0"/>
                <w:bCs w:val="0"/>
                <w:color w:val="auto"/>
                <w:kern w:val="0"/>
                <w:sz w:val="24"/>
                <w:szCs w:val="24"/>
                <w:lang w:val="en-US" w:eastAsia="zh-CN" w:bidi="ar"/>
              </w:rPr>
              <w:t>废气中颗粒物小于1mg/m</w:t>
            </w:r>
            <w:r>
              <w:rPr>
                <w:rFonts w:hint="eastAsia" w:ascii="宋体" w:hAnsi="宋体" w:eastAsia="宋体" w:cs="宋体"/>
                <w:b w:val="0"/>
                <w:bCs w:val="0"/>
                <w:color w:val="auto"/>
                <w:kern w:val="0"/>
                <w:sz w:val="24"/>
                <w:szCs w:val="24"/>
                <w:vertAlign w:val="superscript"/>
                <w:lang w:val="en-US" w:eastAsia="zh-CN" w:bidi="ar"/>
              </w:rPr>
              <w:t>3</w:t>
            </w:r>
            <w:r>
              <w:rPr>
                <w:rFonts w:hint="eastAsia" w:ascii="宋体" w:hAnsi="宋体" w:eastAsia="宋体" w:cs="宋体"/>
                <w:b w:val="0"/>
                <w:bCs w:val="0"/>
                <w:color w:val="auto"/>
                <w:kern w:val="0"/>
                <w:sz w:val="24"/>
                <w:szCs w:val="24"/>
                <w:lang w:val="en-US" w:eastAsia="zh-CN" w:bidi="ar"/>
              </w:rPr>
              <w:t>时，无需对颗粒物进行预处理。</w:t>
            </w:r>
            <w:r>
              <w:rPr>
                <w:rFonts w:hint="eastAsia" w:ascii="宋体" w:hAnsi="宋体" w:eastAsia="宋体" w:cs="宋体"/>
                <w:b w:val="0"/>
                <w:bCs w:val="0"/>
                <w:color w:val="auto"/>
                <w:kern w:val="0"/>
                <w:sz w:val="24"/>
                <w:szCs w:val="24"/>
                <w:lang w:val="en-US" w:eastAsia="zh-CN"/>
              </w:rPr>
              <w:t>本次</w:t>
            </w:r>
            <w:r>
              <w:rPr>
                <w:rFonts w:hint="eastAsia"/>
                <w:color w:val="auto"/>
                <w:sz w:val="24"/>
                <w:szCs w:val="24"/>
                <w:lang w:val="en-US" w:eastAsia="zh-CN"/>
              </w:rPr>
              <w:t>箱式渗碳、淬火回火产生的废气</w:t>
            </w:r>
            <w:r>
              <w:rPr>
                <w:rFonts w:hint="eastAsia" w:ascii="宋体" w:hAnsi="宋体" w:eastAsia="宋体" w:cs="宋体"/>
                <w:b w:val="0"/>
                <w:bCs w:val="0"/>
                <w:color w:val="auto"/>
                <w:kern w:val="0"/>
                <w:sz w:val="24"/>
                <w:szCs w:val="24"/>
                <w:lang w:val="en-US" w:eastAsia="zh-CN"/>
              </w:rPr>
              <w:t>共用一个处理设施，由上计算可知，颗粒物有组织排放浓度为0.</w:t>
            </w:r>
            <w:r>
              <w:rPr>
                <w:rFonts w:hint="eastAsia" w:ascii="宋体" w:hAnsi="宋体" w:cs="宋体"/>
                <w:b w:val="0"/>
                <w:bCs w:val="0"/>
                <w:color w:val="auto"/>
                <w:kern w:val="0"/>
                <w:sz w:val="24"/>
                <w:szCs w:val="24"/>
                <w:lang w:val="en-US" w:eastAsia="zh-CN"/>
              </w:rPr>
              <w:t>5</w:t>
            </w:r>
            <w:r>
              <w:rPr>
                <w:rFonts w:hint="eastAsia" w:ascii="宋体" w:hAnsi="宋体" w:eastAsia="宋体" w:cs="宋体"/>
                <w:b w:val="0"/>
                <w:bCs w:val="0"/>
                <w:color w:val="auto"/>
                <w:kern w:val="0"/>
                <w:sz w:val="24"/>
                <w:szCs w:val="24"/>
                <w:lang w:val="en-US" w:eastAsia="zh-CN" w:bidi="ar"/>
              </w:rPr>
              <w:t>mg/m</w:t>
            </w:r>
            <w:r>
              <w:rPr>
                <w:rFonts w:hint="eastAsia" w:ascii="宋体" w:hAnsi="宋体" w:eastAsia="宋体" w:cs="宋体"/>
                <w:b w:val="0"/>
                <w:bCs w:val="0"/>
                <w:color w:val="auto"/>
                <w:kern w:val="0"/>
                <w:sz w:val="24"/>
                <w:szCs w:val="24"/>
                <w:vertAlign w:val="superscript"/>
                <w:lang w:val="en-US" w:eastAsia="zh-CN" w:bidi="ar"/>
              </w:rPr>
              <w:t>3</w:t>
            </w:r>
            <w:r>
              <w:rPr>
                <w:rFonts w:hint="eastAsia" w:ascii="宋体" w:hAnsi="宋体" w:eastAsia="宋体" w:cs="宋体"/>
                <w:b w:val="0"/>
                <w:bCs w:val="0"/>
                <w:color w:val="auto"/>
                <w:kern w:val="0"/>
                <w:sz w:val="24"/>
                <w:szCs w:val="24"/>
                <w:vertAlign w:val="baseline"/>
                <w:lang w:val="en-US" w:eastAsia="zh-CN" w:bidi="ar"/>
              </w:rPr>
              <w:t>，</w:t>
            </w:r>
            <w:r>
              <w:rPr>
                <w:rFonts w:hint="eastAsia" w:ascii="宋体" w:hAnsi="宋体" w:eastAsia="宋体" w:cs="宋体"/>
                <w:b w:val="0"/>
                <w:bCs w:val="0"/>
                <w:color w:val="auto"/>
                <w:kern w:val="0"/>
                <w:sz w:val="24"/>
                <w:szCs w:val="24"/>
                <w:lang w:val="en-US" w:eastAsia="zh-CN"/>
              </w:rPr>
              <w:t>小于</w:t>
            </w:r>
            <w:r>
              <w:rPr>
                <w:rFonts w:hint="eastAsia" w:ascii="宋体" w:hAnsi="宋体" w:eastAsia="宋体" w:cs="宋体"/>
                <w:b w:val="0"/>
                <w:bCs w:val="0"/>
                <w:color w:val="auto"/>
                <w:kern w:val="0"/>
                <w:sz w:val="24"/>
                <w:szCs w:val="24"/>
                <w:lang w:val="en-US" w:eastAsia="zh-CN" w:bidi="ar"/>
              </w:rPr>
              <w:t>1mg/m</w:t>
            </w:r>
            <w:r>
              <w:rPr>
                <w:rFonts w:hint="eastAsia" w:ascii="宋体" w:hAnsi="宋体" w:eastAsia="宋体" w:cs="宋体"/>
                <w:b w:val="0"/>
                <w:bCs w:val="0"/>
                <w:color w:val="auto"/>
                <w:kern w:val="0"/>
                <w:sz w:val="24"/>
                <w:szCs w:val="24"/>
                <w:vertAlign w:val="superscript"/>
                <w:lang w:val="en-US" w:eastAsia="zh-CN" w:bidi="ar"/>
              </w:rPr>
              <w:t>3</w:t>
            </w:r>
            <w:r>
              <w:rPr>
                <w:rFonts w:hint="eastAsia" w:ascii="宋体" w:hAnsi="宋体" w:eastAsia="宋体" w:cs="宋体"/>
                <w:b w:val="0"/>
                <w:bCs w:val="0"/>
                <w:color w:val="auto"/>
                <w:kern w:val="0"/>
                <w:sz w:val="24"/>
                <w:szCs w:val="24"/>
                <w:vertAlign w:val="baseline"/>
                <w:lang w:val="en-US" w:eastAsia="zh-CN" w:bidi="ar"/>
              </w:rPr>
              <w:t>，则</w:t>
            </w:r>
            <w:r>
              <w:rPr>
                <w:rFonts w:hint="eastAsia" w:ascii="宋体" w:hAnsi="宋体" w:eastAsia="宋体" w:cs="宋体"/>
                <w:b w:val="0"/>
                <w:bCs w:val="0"/>
                <w:color w:val="auto"/>
                <w:kern w:val="0"/>
                <w:sz w:val="24"/>
                <w:szCs w:val="24"/>
                <w:lang w:val="en-US" w:eastAsia="zh-CN"/>
              </w:rPr>
              <w:t>颗粒物（油雾）经过</w:t>
            </w:r>
            <w:r>
              <w:rPr>
                <w:rFonts w:hint="eastAsia"/>
                <w:color w:val="auto"/>
                <w:sz w:val="24"/>
                <w:szCs w:val="24"/>
                <w:lang w:val="en-US" w:eastAsia="zh-CN"/>
              </w:rPr>
              <w:t>静电吸附油雾净化装置</w:t>
            </w:r>
            <w:r>
              <w:rPr>
                <w:rFonts w:hint="eastAsia" w:ascii="宋体" w:hAnsi="宋体" w:eastAsia="宋体" w:cs="宋体"/>
                <w:b w:val="0"/>
                <w:bCs w:val="0"/>
                <w:color w:val="auto"/>
                <w:kern w:val="0"/>
                <w:sz w:val="24"/>
                <w:szCs w:val="24"/>
                <w:lang w:val="en-US" w:eastAsia="zh-CN"/>
              </w:rPr>
              <w:t>处理后，浓度满足两级活性炭吸附装置颗粒物含量要求。</w:t>
            </w:r>
          </w:p>
          <w:p w14:paraId="74442451">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firstLine="480" w:firstLineChars="200"/>
              <w:jc w:val="left"/>
              <w:textAlignment w:val="auto"/>
              <w:rPr>
                <w:rFonts w:hint="default" w:ascii="Times New Roman" w:hAnsi="Times New Roman" w:eastAsia="Times New Roman" w:cs="Times New Roman"/>
                <w:color w:val="auto"/>
                <w:kern w:val="0"/>
                <w:sz w:val="24"/>
              </w:rPr>
            </w:pPr>
            <w:r>
              <w:rPr>
                <w:rFonts w:hint="default" w:ascii="Times New Roman" w:hAnsi="Times New Roman" w:eastAsia="Times New Roman" w:cs="Times New Roman"/>
                <w:b/>
                <w:bCs/>
                <w:color w:val="auto"/>
                <w:kern w:val="0"/>
                <w:sz w:val="24"/>
                <w:lang w:eastAsia="zh-CN"/>
              </w:rPr>
              <w:t>（</w:t>
            </w:r>
            <w:r>
              <w:rPr>
                <w:rFonts w:hint="eastAsia" w:ascii="Times New Roman" w:hAnsi="Times New Roman" w:eastAsia="Times New Roman" w:cs="Times New Roman"/>
                <w:b/>
                <w:bCs/>
                <w:color w:val="auto"/>
                <w:kern w:val="0"/>
                <w:sz w:val="24"/>
                <w:lang w:val="en-US" w:eastAsia="zh-CN"/>
              </w:rPr>
              <w:t>4</w:t>
            </w:r>
            <w:r>
              <w:rPr>
                <w:rFonts w:hint="default" w:ascii="Times New Roman" w:hAnsi="Times New Roman" w:eastAsia="Times New Roman" w:cs="Times New Roman"/>
                <w:b/>
                <w:bCs/>
                <w:color w:val="auto"/>
                <w:kern w:val="0"/>
                <w:sz w:val="24"/>
                <w:lang w:eastAsia="zh-CN"/>
              </w:rPr>
              <w:t>）</w:t>
            </w:r>
            <w:r>
              <w:rPr>
                <w:rFonts w:hint="default" w:ascii="Times New Roman" w:hAnsi="Times New Roman" w:eastAsia="Times New Roman" w:cs="Times New Roman"/>
                <w:b/>
                <w:color w:val="auto"/>
                <w:kern w:val="0"/>
                <w:sz w:val="24"/>
              </w:rPr>
              <w:t>有机废气治理措施设计参数</w:t>
            </w:r>
          </w:p>
          <w:p w14:paraId="764EE9F6">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firstLine="480"/>
              <w:jc w:val="both"/>
              <w:textAlignment w:val="auto"/>
              <w:rPr>
                <w:rFonts w:hint="default" w:ascii="Times New Roman" w:hAnsi="Times New Roman" w:eastAsia="Times New Roman" w:cs="Times New Roman"/>
                <w:color w:val="auto"/>
                <w:kern w:val="0"/>
                <w:sz w:val="24"/>
              </w:rPr>
            </w:pPr>
            <w:r>
              <w:rPr>
                <w:rStyle w:val="67"/>
                <w:rFonts w:hint="eastAsia" w:ascii="宋体" w:hAnsi="宋体" w:eastAsia="宋体" w:cs="宋体"/>
                <w:color w:val="auto"/>
                <w:sz w:val="24"/>
                <w:szCs w:val="24"/>
              </w:rPr>
              <w:t>项目</w:t>
            </w:r>
            <w:r>
              <w:rPr>
                <w:rFonts w:hint="eastAsia"/>
                <w:color w:val="auto"/>
                <w:sz w:val="24"/>
                <w:szCs w:val="24"/>
                <w:lang w:val="en-US" w:eastAsia="zh-CN"/>
              </w:rPr>
              <w:t>箱式渗碳、淬火回火</w:t>
            </w:r>
            <w:r>
              <w:rPr>
                <w:rStyle w:val="67"/>
                <w:rFonts w:hint="eastAsia" w:ascii="宋体" w:hAnsi="宋体" w:eastAsia="宋体" w:cs="宋体"/>
                <w:color w:val="auto"/>
                <w:sz w:val="24"/>
                <w:szCs w:val="24"/>
              </w:rPr>
              <w:t>工序产生的有机废气拟采用“两级活性炭吸附装置”</w:t>
            </w:r>
            <w:r>
              <w:rPr>
                <w:rStyle w:val="67"/>
                <w:rFonts w:hint="default"/>
                <w:color w:val="auto"/>
                <w:sz w:val="24"/>
                <w:szCs w:val="24"/>
              </w:rPr>
              <w:t>，</w:t>
            </w:r>
            <w:r>
              <w:rPr>
                <w:rStyle w:val="67"/>
                <w:rFonts w:hint="default"/>
                <w:color w:val="auto"/>
              </w:rPr>
              <w:t>根据前文分析，进入有机废气净化系统的活性炭吸附装置内的风量为</w:t>
            </w:r>
            <w:r>
              <w:rPr>
                <w:rFonts w:hint="eastAsia" w:ascii="Times New Roman" w:hAnsi="Times New Roman" w:eastAsia="Times New Roman" w:cs="Times New Roman"/>
                <w:color w:val="auto"/>
                <w:kern w:val="0"/>
                <w:sz w:val="24"/>
                <w:lang w:val="en-US" w:eastAsia="zh-CN"/>
              </w:rPr>
              <w:t>18</w:t>
            </w:r>
            <w:r>
              <w:rPr>
                <w:rFonts w:hint="default" w:ascii="Times New Roman" w:hAnsi="Times New Roman" w:eastAsia="Times New Roman" w:cs="Times New Roman"/>
                <w:color w:val="auto"/>
                <w:kern w:val="0"/>
                <w:sz w:val="24"/>
                <w:lang w:val="en-US" w:eastAsia="zh-CN"/>
              </w:rPr>
              <w:t>0</w:t>
            </w:r>
            <w:r>
              <w:rPr>
                <w:rFonts w:hint="default" w:ascii="Times New Roman" w:hAnsi="Times New Roman" w:eastAsia="Times New Roman" w:cs="Times New Roman"/>
                <w:color w:val="auto"/>
                <w:kern w:val="0"/>
                <w:sz w:val="24"/>
              </w:rPr>
              <w:t>00m</w:t>
            </w:r>
            <w:r>
              <w:rPr>
                <w:rFonts w:hint="default" w:ascii="Times New Roman" w:hAnsi="Times New Roman" w:eastAsia="Times New Roman" w:cs="Times New Roman"/>
                <w:color w:val="auto"/>
                <w:kern w:val="0"/>
                <w:sz w:val="24"/>
                <w:vertAlign w:val="superscript"/>
              </w:rPr>
              <w:t>3</w:t>
            </w:r>
            <w:r>
              <w:rPr>
                <w:rFonts w:hint="default" w:ascii="Times New Roman" w:hAnsi="Times New Roman" w:eastAsia="Times New Roman" w:cs="Times New Roman"/>
                <w:color w:val="auto"/>
                <w:kern w:val="0"/>
                <w:sz w:val="24"/>
              </w:rPr>
              <w:t>/h，根据《吸附法工业有机废气治理工程技术规范》（HJ2026-2013）的规定，活性炭吸附装置废气流速宜低于1.2m/s。本次评价，保守估计取1.0m/s，</w:t>
            </w:r>
            <w:r>
              <w:rPr>
                <w:rFonts w:hint="eastAsia" w:ascii="Times New Roman" w:hAnsi="Times New Roman" w:eastAsia="宋体" w:cs="Times New Roman"/>
                <w:color w:val="auto"/>
                <w:kern w:val="0"/>
                <w:sz w:val="24"/>
                <w:lang w:val="en-US" w:eastAsia="zh-CN"/>
              </w:rPr>
              <w:t>则</w:t>
            </w:r>
            <w:r>
              <w:rPr>
                <w:rFonts w:hint="default" w:ascii="Times New Roman" w:hAnsi="Times New Roman" w:eastAsia="Times New Roman" w:cs="Times New Roman"/>
                <w:color w:val="auto"/>
                <w:kern w:val="0"/>
                <w:sz w:val="24"/>
              </w:rPr>
              <w:t>本项目活性炭吸附箱体最低吸附过滤面积为</w:t>
            </w:r>
            <w:r>
              <w:rPr>
                <w:rFonts w:hint="eastAsia" w:ascii="Times New Roman" w:hAnsi="Times New Roman" w:eastAsia="Times New Roman" w:cs="Times New Roman"/>
                <w:color w:val="auto"/>
                <w:kern w:val="0"/>
                <w:sz w:val="24"/>
                <w:lang w:val="en-US" w:eastAsia="zh-CN"/>
              </w:rPr>
              <w:t>18</w:t>
            </w:r>
            <w:r>
              <w:rPr>
                <w:rFonts w:hint="default" w:ascii="Times New Roman" w:hAnsi="Times New Roman" w:eastAsia="Times New Roman" w:cs="Times New Roman"/>
                <w:color w:val="auto"/>
                <w:kern w:val="0"/>
                <w:sz w:val="24"/>
                <w:lang w:val="en-US" w:eastAsia="zh-CN"/>
              </w:rPr>
              <w:t>0</w:t>
            </w:r>
            <w:r>
              <w:rPr>
                <w:rFonts w:hint="default" w:ascii="Times New Roman" w:hAnsi="Times New Roman" w:eastAsia="Times New Roman" w:cs="Times New Roman"/>
                <w:color w:val="auto"/>
                <w:kern w:val="0"/>
                <w:sz w:val="24"/>
              </w:rPr>
              <w:t>00/3600/1.0</w:t>
            </w:r>
            <w:r>
              <w:rPr>
                <w:rFonts w:hint="eastAsia" w:ascii="Times New Roman" w:hAnsi="Times New Roman" w:eastAsia="Times New Roman" w:cs="Times New Roman"/>
                <w:color w:val="auto"/>
                <w:kern w:val="0"/>
                <w:sz w:val="24"/>
                <w:lang w:val="en-US" w:eastAsia="zh-CN"/>
              </w:rPr>
              <w:t>=5</w:t>
            </w:r>
            <w:r>
              <w:rPr>
                <w:rFonts w:hint="default" w:ascii="Times New Roman" w:hAnsi="Times New Roman" w:eastAsia="Times New Roman" w:cs="Times New Roman"/>
                <w:color w:val="auto"/>
                <w:kern w:val="0"/>
                <w:sz w:val="24"/>
              </w:rPr>
              <w:t>m</w:t>
            </w:r>
            <w:r>
              <w:rPr>
                <w:rFonts w:hint="default" w:ascii="Times New Roman" w:hAnsi="Times New Roman" w:eastAsia="Times New Roman" w:cs="Times New Roman"/>
                <w:color w:val="auto"/>
                <w:kern w:val="0"/>
                <w:sz w:val="24"/>
                <w:vertAlign w:val="superscript"/>
              </w:rPr>
              <w:t>2</w:t>
            </w:r>
            <w:r>
              <w:rPr>
                <w:rFonts w:hint="eastAsia" w:ascii="Times New Roman" w:hAnsi="Times New Roman" w:eastAsia="宋体" w:cs="Times New Roman"/>
                <w:color w:val="auto"/>
                <w:kern w:val="0"/>
                <w:sz w:val="24"/>
                <w:vertAlign w:val="baseline"/>
                <w:lang w:eastAsia="zh-CN"/>
              </w:rPr>
              <w:t>（</w:t>
            </w:r>
            <w:r>
              <w:rPr>
                <w:rFonts w:hint="default" w:ascii="Times New Roman" w:hAnsi="Times New Roman" w:eastAsia="Times New Roman" w:cs="Times New Roman"/>
                <w:color w:val="auto"/>
                <w:kern w:val="0"/>
                <w:sz w:val="24"/>
              </w:rPr>
              <w:t>按</w:t>
            </w:r>
            <w:r>
              <w:rPr>
                <w:rFonts w:hint="eastAsia" w:ascii="Times New Roman" w:hAnsi="Times New Roman" w:eastAsia="Times New Roman" w:cs="Times New Roman"/>
                <w:color w:val="auto"/>
                <w:kern w:val="0"/>
                <w:sz w:val="24"/>
                <w:lang w:val="en-US" w:eastAsia="zh-CN"/>
              </w:rPr>
              <w:t>5</w:t>
            </w:r>
            <w:r>
              <w:rPr>
                <w:rFonts w:hint="default" w:ascii="Times New Roman" w:hAnsi="Times New Roman" w:eastAsia="Times New Roman" w:cs="Times New Roman"/>
                <w:color w:val="auto"/>
                <w:kern w:val="0"/>
                <w:sz w:val="24"/>
              </w:rPr>
              <w:t>m</w:t>
            </w:r>
            <w:r>
              <w:rPr>
                <w:rFonts w:hint="default" w:ascii="Times New Roman" w:hAnsi="Times New Roman" w:eastAsia="Times New Roman" w:cs="Times New Roman"/>
                <w:color w:val="auto"/>
                <w:kern w:val="0"/>
                <w:sz w:val="24"/>
                <w:vertAlign w:val="superscript"/>
              </w:rPr>
              <w:t>2</w:t>
            </w:r>
            <w:r>
              <w:rPr>
                <w:rFonts w:hint="default" w:ascii="Times New Roman" w:hAnsi="Times New Roman" w:eastAsia="Times New Roman" w:cs="Times New Roman"/>
                <w:color w:val="auto"/>
                <w:kern w:val="0"/>
                <w:sz w:val="24"/>
              </w:rPr>
              <w:t>进行设计</w:t>
            </w:r>
            <w:r>
              <w:rPr>
                <w:rFonts w:hint="eastAsia" w:ascii="Times New Roman" w:hAnsi="Times New Roman" w:eastAsia="宋体" w:cs="Times New Roman"/>
                <w:color w:val="auto"/>
                <w:kern w:val="0"/>
                <w:sz w:val="24"/>
                <w:vertAlign w:val="baseline"/>
                <w:lang w:eastAsia="zh-CN"/>
              </w:rPr>
              <w:t>）</w:t>
            </w:r>
            <w:r>
              <w:rPr>
                <w:rFonts w:hint="default" w:ascii="Times New Roman" w:hAnsi="Times New Roman" w:eastAsia="Times New Roman" w:cs="Times New Roman"/>
                <w:color w:val="auto"/>
                <w:kern w:val="0"/>
                <w:sz w:val="24"/>
              </w:rPr>
              <w:t>，单层蜂窝状活性炭厚度约0.1m，则活性炭充填量为</w:t>
            </w:r>
            <w:r>
              <w:rPr>
                <w:rFonts w:hint="eastAsia" w:ascii="Times New Roman" w:hAnsi="Times New Roman" w:eastAsia="Times New Roman" w:cs="Times New Roman"/>
                <w:color w:val="auto"/>
                <w:kern w:val="0"/>
                <w:sz w:val="24"/>
                <w:lang w:val="en-US" w:eastAsia="zh-CN"/>
              </w:rPr>
              <w:t>0.5</w:t>
            </w:r>
            <w:r>
              <w:rPr>
                <w:rFonts w:hint="default" w:ascii="Times New Roman" w:hAnsi="Times New Roman" w:eastAsia="Times New Roman" w:cs="Times New Roman"/>
                <w:color w:val="auto"/>
                <w:kern w:val="0"/>
                <w:sz w:val="24"/>
              </w:rPr>
              <w:t>m</w:t>
            </w:r>
            <w:r>
              <w:rPr>
                <w:rFonts w:hint="default" w:ascii="Times New Roman" w:hAnsi="Times New Roman" w:eastAsia="Times New Roman" w:cs="Times New Roman"/>
                <w:color w:val="auto"/>
                <w:kern w:val="0"/>
                <w:sz w:val="24"/>
                <w:vertAlign w:val="superscript"/>
              </w:rPr>
              <w:t>3</w:t>
            </w:r>
            <w:r>
              <w:rPr>
                <w:rFonts w:hint="default" w:ascii="Times New Roman" w:hAnsi="Times New Roman" w:eastAsia="Times New Roman" w:cs="Times New Roman"/>
                <w:color w:val="auto"/>
                <w:kern w:val="0"/>
                <w:sz w:val="24"/>
              </w:rPr>
              <w:t>，蜂窝活性炭的堆积密度按0.55g/cm</w:t>
            </w:r>
            <w:r>
              <w:rPr>
                <w:rFonts w:hint="default" w:ascii="Times New Roman" w:hAnsi="Times New Roman" w:eastAsia="Times New Roman" w:cs="Times New Roman"/>
                <w:color w:val="auto"/>
                <w:kern w:val="0"/>
                <w:sz w:val="24"/>
                <w:vertAlign w:val="superscript"/>
              </w:rPr>
              <w:t>3</w:t>
            </w:r>
            <w:r>
              <w:rPr>
                <w:rFonts w:hint="default" w:ascii="Times New Roman" w:hAnsi="Times New Roman" w:eastAsia="Times New Roman" w:cs="Times New Roman"/>
                <w:color w:val="auto"/>
                <w:kern w:val="0"/>
                <w:sz w:val="24"/>
              </w:rPr>
              <w:t>，</w:t>
            </w:r>
            <w:r>
              <w:rPr>
                <w:rFonts w:hint="default" w:ascii="Times New Roman" w:hAnsi="Times New Roman" w:eastAsia="Times New Roman" w:cs="Times New Roman"/>
                <w:color w:val="auto"/>
                <w:kern w:val="0"/>
                <w:sz w:val="24"/>
                <w:lang w:val="en-US" w:eastAsia="zh-CN"/>
              </w:rPr>
              <w:t>单台填充1层，</w:t>
            </w:r>
            <w:r>
              <w:rPr>
                <w:rFonts w:hint="default" w:ascii="Times New Roman" w:hAnsi="Times New Roman" w:eastAsia="Times New Roman" w:cs="Times New Roman"/>
                <w:color w:val="auto"/>
                <w:kern w:val="0"/>
                <w:sz w:val="24"/>
              </w:rPr>
              <w:t>单台活性炭吸附装置一次装填量约为</w:t>
            </w:r>
            <w:r>
              <w:rPr>
                <w:rFonts w:hint="eastAsia" w:ascii="Times New Roman" w:hAnsi="Times New Roman" w:eastAsia="Times New Roman" w:cs="Times New Roman"/>
                <w:color w:val="auto"/>
                <w:kern w:val="0"/>
                <w:sz w:val="24"/>
                <w:lang w:val="en-US" w:eastAsia="zh-CN"/>
              </w:rPr>
              <w:t>0.275</w:t>
            </w:r>
            <w:r>
              <w:rPr>
                <w:rFonts w:hint="eastAsia" w:ascii="Times New Roman" w:hAnsi="Times New Roman" w:eastAsia="宋体" w:cs="Times New Roman"/>
                <w:color w:val="auto"/>
                <w:kern w:val="0"/>
                <w:sz w:val="24"/>
                <w:lang w:val="en-US" w:eastAsia="zh-CN"/>
              </w:rPr>
              <w:t>t</w:t>
            </w:r>
            <w:r>
              <w:rPr>
                <w:rFonts w:hint="default" w:ascii="Times New Roman" w:hAnsi="Times New Roman" w:eastAsia="Times New Roman" w:cs="Times New Roman"/>
                <w:color w:val="auto"/>
                <w:kern w:val="0"/>
                <w:sz w:val="24"/>
              </w:rPr>
              <w:t>，本项目有机废气采用两级活性炭吸附装置，两台装置一次总装填活性炭量为</w:t>
            </w:r>
            <w:r>
              <w:rPr>
                <w:rFonts w:hint="eastAsia" w:ascii="Times New Roman" w:hAnsi="Times New Roman" w:eastAsia="Times New Roman" w:cs="Times New Roman"/>
                <w:color w:val="auto"/>
                <w:kern w:val="0"/>
                <w:sz w:val="24"/>
                <w:lang w:val="en-US" w:eastAsia="zh-CN"/>
              </w:rPr>
              <w:t>0.55</w:t>
            </w:r>
            <w:r>
              <w:rPr>
                <w:rFonts w:hint="default" w:ascii="Times New Roman" w:hAnsi="Times New Roman" w:eastAsia="Times New Roman" w:cs="Times New Roman"/>
                <w:color w:val="auto"/>
                <w:kern w:val="0"/>
                <w:sz w:val="24"/>
              </w:rPr>
              <w:t>t</w:t>
            </w:r>
            <w:r>
              <w:rPr>
                <w:rFonts w:hint="default" w:ascii="Times New Roman" w:hAnsi="Times New Roman" w:eastAsia="Times New Roman" w:cs="Times New Roman"/>
                <w:color w:val="auto"/>
                <w:sz w:val="24"/>
                <w:lang w:eastAsia="zh-CN"/>
              </w:rPr>
              <w:t>，</w:t>
            </w:r>
            <w:r>
              <w:rPr>
                <w:rFonts w:hint="default" w:ascii="Times New Roman" w:hAnsi="Times New Roman" w:eastAsia="Times New Roman" w:cs="Times New Roman"/>
                <w:color w:val="auto"/>
                <w:kern w:val="0"/>
                <w:sz w:val="24"/>
              </w:rPr>
              <w:t>则活性炭吸附装置吸附饱和时活性炭吸附量约为</w:t>
            </w:r>
            <w:r>
              <w:rPr>
                <w:rFonts w:hint="default" w:ascii="Times New Roman" w:hAnsi="Times New Roman" w:cs="Times New Roman"/>
                <w:color w:val="auto"/>
                <w:kern w:val="0"/>
                <w:sz w:val="24"/>
                <w:lang w:val="en-US" w:eastAsia="zh-CN"/>
              </w:rPr>
              <w:t>0.</w:t>
            </w:r>
            <w:r>
              <w:rPr>
                <w:rFonts w:hint="eastAsia" w:ascii="Times New Roman" w:hAnsi="Times New Roman" w:cs="Times New Roman"/>
                <w:color w:val="auto"/>
                <w:kern w:val="0"/>
                <w:sz w:val="24"/>
                <w:lang w:val="en-US" w:eastAsia="zh-CN"/>
              </w:rPr>
              <w:t>165</w:t>
            </w:r>
            <w:r>
              <w:rPr>
                <w:rFonts w:hint="default" w:ascii="Times New Roman" w:hAnsi="Times New Roman" w:eastAsia="Times New Roman" w:cs="Times New Roman"/>
                <w:color w:val="auto"/>
                <w:kern w:val="0"/>
                <w:sz w:val="24"/>
              </w:rPr>
              <w:t>t有机废气</w:t>
            </w:r>
            <w:r>
              <w:rPr>
                <w:rFonts w:hint="eastAsia" w:ascii="Times New Roman" w:hAnsi="Times New Roman" w:eastAsia="宋体" w:cs="Times New Roman"/>
                <w:color w:val="auto"/>
                <w:kern w:val="0"/>
                <w:sz w:val="24"/>
                <w:lang w:eastAsia="zh-CN"/>
              </w:rPr>
              <w:t>；</w:t>
            </w:r>
            <w:r>
              <w:rPr>
                <w:rFonts w:hint="default" w:ascii="Times New Roman" w:hAnsi="Times New Roman" w:eastAsia="Times New Roman" w:cs="Times New Roman"/>
                <w:color w:val="auto"/>
                <w:kern w:val="0"/>
                <w:sz w:val="24"/>
              </w:rPr>
              <w:t>活性炭吸附装置吸附有机废</w:t>
            </w:r>
            <w:r>
              <w:rPr>
                <w:rFonts w:hint="default" w:ascii="Times New Roman" w:hAnsi="Times New Roman" w:eastAsia="Times New Roman" w:cs="Times New Roman"/>
                <w:color w:val="auto"/>
                <w:kern w:val="0"/>
                <w:sz w:val="24"/>
                <w:szCs w:val="24"/>
              </w:rPr>
              <w:t>气量为</w:t>
            </w:r>
            <w:r>
              <w:rPr>
                <w:rFonts w:hint="default" w:ascii="Times New Roman" w:hAnsi="Times New Roman" w:cs="Times New Roman"/>
                <w:i w:val="0"/>
                <w:iCs w:val="0"/>
                <w:color w:val="auto"/>
                <w:kern w:val="0"/>
                <w:sz w:val="24"/>
                <w:szCs w:val="24"/>
                <w:u w:val="none"/>
                <w:lang w:val="en-US" w:eastAsia="zh-CN" w:bidi="ar"/>
              </w:rPr>
              <w:t>0.</w:t>
            </w:r>
            <w:r>
              <w:rPr>
                <w:rFonts w:hint="eastAsia" w:ascii="Times New Roman" w:hAnsi="Times New Roman" w:cs="Times New Roman"/>
                <w:i w:val="0"/>
                <w:iCs w:val="0"/>
                <w:color w:val="auto"/>
                <w:kern w:val="0"/>
                <w:sz w:val="24"/>
                <w:szCs w:val="24"/>
                <w:u w:val="none"/>
                <w:lang w:val="en-US" w:eastAsia="zh-CN" w:bidi="ar"/>
              </w:rPr>
              <w:t>03</w:t>
            </w:r>
            <w:r>
              <w:rPr>
                <w:rFonts w:hint="default" w:ascii="Times New Roman" w:hAnsi="Times New Roman" w:eastAsia="Times New Roman" w:cs="Times New Roman"/>
                <w:color w:val="auto"/>
                <w:kern w:val="0"/>
                <w:sz w:val="24"/>
                <w:szCs w:val="24"/>
              </w:rPr>
              <w:t>t/a</w:t>
            </w:r>
            <w:r>
              <w:rPr>
                <w:rFonts w:hint="default" w:ascii="Times New Roman" w:hAnsi="Times New Roman" w:eastAsia="Times New Roman" w:cs="Times New Roman"/>
                <w:color w:val="auto"/>
                <w:kern w:val="0"/>
                <w:sz w:val="24"/>
              </w:rPr>
              <w:t>，则所需活性炭量为</w:t>
            </w:r>
            <w:r>
              <w:rPr>
                <w:rFonts w:hint="default" w:ascii="Times New Roman" w:hAnsi="Times New Roman" w:eastAsia="Times New Roman" w:cs="Times New Roman"/>
                <w:color w:val="auto"/>
                <w:kern w:val="0"/>
                <w:sz w:val="24"/>
                <w:lang w:val="en-US" w:eastAsia="zh-CN"/>
              </w:rPr>
              <w:t>0.</w:t>
            </w:r>
            <w:r>
              <w:rPr>
                <w:rFonts w:hint="eastAsia" w:ascii="Times New Roman" w:hAnsi="Times New Roman" w:eastAsia="Times New Roman" w:cs="Times New Roman"/>
                <w:color w:val="auto"/>
                <w:kern w:val="0"/>
                <w:sz w:val="24"/>
                <w:lang w:val="en-US" w:eastAsia="zh-CN"/>
              </w:rPr>
              <w:t>03</w:t>
            </w:r>
            <w:r>
              <w:rPr>
                <w:rFonts w:hint="default" w:ascii="Times New Roman" w:hAnsi="Times New Roman" w:eastAsia="Times New Roman" w:cs="Times New Roman"/>
                <w:color w:val="auto"/>
                <w:kern w:val="0"/>
                <w:sz w:val="24"/>
              </w:rPr>
              <w:t>÷0.3</w:t>
            </w:r>
            <w:r>
              <w:rPr>
                <w:rFonts w:hint="default" w:ascii="Times New Roman" w:hAnsi="Times New Roman" w:eastAsia="Times New Roman" w:cs="Times New Roman"/>
                <w:color w:val="auto"/>
                <w:kern w:val="0"/>
                <w:sz w:val="24"/>
                <w:lang w:val="en-US" w:eastAsia="zh-CN"/>
              </w:rPr>
              <w:t>≈</w:t>
            </w:r>
            <w:r>
              <w:rPr>
                <w:rFonts w:hint="eastAsia" w:ascii="Times New Roman" w:hAnsi="Times New Roman" w:eastAsia="Times New Roman" w:cs="Times New Roman"/>
                <w:color w:val="auto"/>
                <w:kern w:val="0"/>
                <w:sz w:val="24"/>
                <w:lang w:val="en-US" w:eastAsia="zh-CN"/>
              </w:rPr>
              <w:t>0.1</w:t>
            </w:r>
            <w:r>
              <w:rPr>
                <w:rFonts w:hint="default" w:ascii="Times New Roman" w:hAnsi="Times New Roman" w:eastAsia="Times New Roman" w:cs="Times New Roman"/>
                <w:color w:val="auto"/>
                <w:kern w:val="0"/>
                <w:sz w:val="24"/>
              </w:rPr>
              <w:t>t</w:t>
            </w:r>
            <w:r>
              <w:rPr>
                <w:rFonts w:hint="default" w:ascii="Times New Roman" w:hAnsi="Times New Roman" w:eastAsia="Times New Roman" w:cs="Times New Roman"/>
                <w:color w:val="auto"/>
                <w:sz w:val="24"/>
              </w:rPr>
              <w:t>/a</w:t>
            </w:r>
            <w:r>
              <w:rPr>
                <w:rFonts w:hint="default" w:ascii="Times New Roman" w:hAnsi="Times New Roman" w:eastAsia="Times New Roman" w:cs="Times New Roman"/>
                <w:color w:val="auto"/>
                <w:kern w:val="0"/>
                <w:sz w:val="24"/>
              </w:rPr>
              <w:t>，则</w:t>
            </w:r>
            <w:r>
              <w:rPr>
                <w:rFonts w:hint="default" w:ascii="Times New Roman" w:hAnsi="Times New Roman" w:eastAsia="Times New Roman" w:cs="Times New Roman"/>
                <w:color w:val="auto"/>
                <w:kern w:val="0"/>
                <w:sz w:val="24"/>
                <w:lang w:val="en-US" w:eastAsia="zh-CN"/>
              </w:rPr>
              <w:t>只</w:t>
            </w:r>
            <w:r>
              <w:rPr>
                <w:rFonts w:hint="default" w:ascii="Times New Roman" w:hAnsi="Times New Roman" w:eastAsia="Times New Roman" w:cs="Times New Roman"/>
                <w:color w:val="auto"/>
                <w:kern w:val="0"/>
                <w:sz w:val="24"/>
              </w:rPr>
              <w:t>需</w:t>
            </w:r>
            <w:r>
              <w:rPr>
                <w:rFonts w:hint="default" w:ascii="Times New Roman" w:hAnsi="Times New Roman" w:eastAsia="Times New Roman" w:cs="Times New Roman"/>
                <w:color w:val="auto"/>
                <w:kern w:val="0"/>
                <w:sz w:val="24"/>
                <w:lang w:val="en-US" w:eastAsia="zh-CN"/>
              </w:rPr>
              <w:t>一年</w:t>
            </w:r>
            <w:r>
              <w:rPr>
                <w:rFonts w:hint="default" w:ascii="Times New Roman" w:hAnsi="Times New Roman" w:eastAsia="Times New Roman" w:cs="Times New Roman"/>
                <w:color w:val="auto"/>
                <w:kern w:val="0"/>
                <w:sz w:val="24"/>
              </w:rPr>
              <w:t>更换</w:t>
            </w:r>
            <w:r>
              <w:rPr>
                <w:rFonts w:hint="eastAsia" w:ascii="Times New Roman" w:hAnsi="Times New Roman" w:cs="Times New Roman"/>
                <w:color w:val="auto"/>
                <w:kern w:val="0"/>
                <w:sz w:val="24"/>
                <w:lang w:val="en-US" w:eastAsia="zh-CN"/>
              </w:rPr>
              <w:t>1</w:t>
            </w:r>
            <w:r>
              <w:rPr>
                <w:rFonts w:hint="default" w:ascii="Times New Roman" w:hAnsi="Times New Roman" w:eastAsia="Times New Roman" w:cs="Times New Roman"/>
                <w:color w:val="auto"/>
                <w:kern w:val="0"/>
                <w:sz w:val="24"/>
              </w:rPr>
              <w:t>次活性炭</w:t>
            </w:r>
            <w:r>
              <w:rPr>
                <w:rFonts w:hint="default"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lang w:val="en-US" w:eastAsia="zh-CN"/>
              </w:rPr>
              <w:t>因当地严格要求，需更换4次/年</w:t>
            </w:r>
            <w:r>
              <w:rPr>
                <w:rFonts w:hint="default" w:ascii="Times New Roman" w:hAnsi="Times New Roman" w:eastAsia="宋体" w:cs="Times New Roman"/>
                <w:color w:val="auto"/>
                <w:kern w:val="0"/>
                <w:sz w:val="24"/>
                <w:lang w:eastAsia="zh-CN"/>
              </w:rPr>
              <w:t>）</w:t>
            </w:r>
            <w:r>
              <w:rPr>
                <w:rFonts w:hint="default" w:ascii="Times New Roman" w:hAnsi="Times New Roman" w:eastAsia="Times New Roman" w:cs="Times New Roman"/>
                <w:color w:val="auto"/>
                <w:kern w:val="0"/>
                <w:sz w:val="24"/>
                <w:lang w:eastAsia="zh-CN"/>
              </w:rPr>
              <w:t>。</w:t>
            </w:r>
            <w:r>
              <w:rPr>
                <w:rFonts w:hint="default" w:ascii="Times New Roman" w:hAnsi="Times New Roman" w:eastAsia="Times New Roman" w:cs="Times New Roman"/>
                <w:color w:val="auto"/>
                <w:kern w:val="0"/>
                <w:sz w:val="24"/>
              </w:rPr>
              <w:t>活性炭吸附箱体设计参数如下：</w:t>
            </w:r>
          </w:p>
          <w:p w14:paraId="217D361E">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40" w:lineRule="exact"/>
              <w:ind w:left="0" w:right="0"/>
              <w:jc w:val="center"/>
              <w:textAlignment w:val="auto"/>
              <w:rPr>
                <w:rStyle w:val="66"/>
                <w:rFonts w:hint="default" w:ascii="Times New Roman" w:hAnsi="Times New Roman" w:cs="Times New Roman"/>
                <w:color w:val="auto"/>
              </w:rPr>
            </w:pPr>
          </w:p>
          <w:p w14:paraId="4860A0E7">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40" w:lineRule="exact"/>
              <w:ind w:left="0" w:right="0"/>
              <w:jc w:val="center"/>
              <w:textAlignment w:val="auto"/>
              <w:rPr>
                <w:rStyle w:val="66"/>
                <w:rFonts w:hint="default" w:ascii="Times New Roman" w:hAnsi="Times New Roman" w:cs="Times New Roman"/>
                <w:color w:val="auto"/>
              </w:rPr>
            </w:pPr>
          </w:p>
          <w:p w14:paraId="3A4F8318">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40" w:lineRule="exact"/>
              <w:ind w:left="0" w:right="0"/>
              <w:jc w:val="center"/>
              <w:textAlignment w:val="auto"/>
              <w:rPr>
                <w:rStyle w:val="66"/>
                <w:rFonts w:hint="default" w:ascii="Times New Roman" w:hAnsi="Times New Roman" w:cs="Times New Roman"/>
                <w:color w:val="auto"/>
              </w:rPr>
            </w:pPr>
          </w:p>
          <w:p w14:paraId="516B9CF3">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40" w:lineRule="exact"/>
              <w:ind w:left="0" w:right="0"/>
              <w:jc w:val="center"/>
              <w:textAlignment w:val="auto"/>
              <w:rPr>
                <w:rStyle w:val="66"/>
                <w:rFonts w:hint="default" w:ascii="Times New Roman" w:hAnsi="Times New Roman" w:cs="Times New Roman"/>
                <w:color w:val="auto"/>
              </w:rPr>
            </w:pPr>
          </w:p>
          <w:p w14:paraId="3A47670A">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40" w:lineRule="exact"/>
              <w:ind w:left="0" w:right="0"/>
              <w:jc w:val="center"/>
              <w:textAlignment w:val="auto"/>
              <w:rPr>
                <w:rFonts w:hint="default" w:ascii="Times New Roman" w:hAnsi="Times New Roman" w:eastAsia="Times New Roman" w:cs="Times New Roman"/>
                <w:b/>
                <w:color w:val="auto"/>
                <w:szCs w:val="21"/>
              </w:rPr>
            </w:pPr>
            <w:r>
              <w:rPr>
                <w:rStyle w:val="66"/>
                <w:rFonts w:hint="default" w:ascii="Times New Roman" w:hAnsi="Times New Roman" w:cs="Times New Roman"/>
                <w:color w:val="auto"/>
              </w:rPr>
              <w:t>表4-</w:t>
            </w:r>
            <w:r>
              <w:rPr>
                <w:rStyle w:val="66"/>
                <w:rFonts w:hint="eastAsia" w:ascii="Times New Roman" w:hAnsi="Times New Roman" w:cs="Times New Roman"/>
                <w:color w:val="auto"/>
                <w:lang w:val="en-US" w:eastAsia="zh-CN"/>
              </w:rPr>
              <w:t>10</w:t>
            </w:r>
            <w:r>
              <w:rPr>
                <w:rFonts w:hint="default" w:ascii="Times New Roman" w:hAnsi="Times New Roman" w:eastAsia="Times New Roman" w:cs="Times New Roman"/>
                <w:b/>
                <w:color w:val="auto"/>
                <w:szCs w:val="21"/>
              </w:rPr>
              <w:t xml:space="preserve">  活性炭吸附装置技术参数表</w:t>
            </w:r>
          </w:p>
          <w:tbl>
            <w:tblPr>
              <w:tblStyle w:val="52"/>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97"/>
              <w:gridCol w:w="1660"/>
              <w:gridCol w:w="1324"/>
              <w:gridCol w:w="2234"/>
              <w:gridCol w:w="2547"/>
            </w:tblGrid>
            <w:tr w14:paraId="3B10DDD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6" w:hRule="atLeast"/>
                <w:jc w:val="center"/>
              </w:trPr>
              <w:tc>
                <w:tcPr>
                  <w:tcW w:w="465" w:type="pct"/>
                  <w:tcBorders>
                    <w:tl2br w:val="nil"/>
                    <w:tr2bl w:val="nil"/>
                  </w:tcBorders>
                  <w:noWrap w:val="0"/>
                  <w:vAlign w:val="top"/>
                </w:tcPr>
                <w:p w14:paraId="3F7F0992">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项目</w:t>
                  </w:r>
                </w:p>
              </w:tc>
              <w:tc>
                <w:tcPr>
                  <w:tcW w:w="969" w:type="pct"/>
                  <w:tcBorders>
                    <w:tl2br w:val="nil"/>
                    <w:tr2bl w:val="nil"/>
                  </w:tcBorders>
                  <w:noWrap w:val="0"/>
                  <w:vAlign w:val="top"/>
                </w:tcPr>
                <w:p w14:paraId="12B8060A">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处理风量</w:t>
                  </w:r>
                </w:p>
              </w:tc>
              <w:tc>
                <w:tcPr>
                  <w:tcW w:w="773" w:type="pct"/>
                  <w:tcBorders>
                    <w:tl2br w:val="nil"/>
                    <w:tr2bl w:val="nil"/>
                  </w:tcBorders>
                  <w:noWrap w:val="0"/>
                  <w:vAlign w:val="top"/>
                </w:tcPr>
                <w:p w14:paraId="7964F3E5">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过滤风速</w:t>
                  </w:r>
                </w:p>
              </w:tc>
              <w:tc>
                <w:tcPr>
                  <w:tcW w:w="1304" w:type="pct"/>
                  <w:tcBorders>
                    <w:tl2br w:val="nil"/>
                    <w:tr2bl w:val="nil"/>
                  </w:tcBorders>
                  <w:noWrap w:val="0"/>
                  <w:vAlign w:val="top"/>
                </w:tcPr>
                <w:p w14:paraId="1C1317A4">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过滤停留时间</w:t>
                  </w:r>
                </w:p>
              </w:tc>
              <w:tc>
                <w:tcPr>
                  <w:tcW w:w="1486" w:type="pct"/>
                  <w:tcBorders>
                    <w:tl2br w:val="nil"/>
                    <w:tr2bl w:val="nil"/>
                  </w:tcBorders>
                  <w:noWrap w:val="0"/>
                  <w:vAlign w:val="top"/>
                </w:tcPr>
                <w:p w14:paraId="0E0A4112">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处理效率</w:t>
                  </w:r>
                </w:p>
              </w:tc>
            </w:tr>
            <w:tr w14:paraId="1EEC54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0" w:hRule="atLeast"/>
                <w:jc w:val="center"/>
              </w:trPr>
              <w:tc>
                <w:tcPr>
                  <w:tcW w:w="465" w:type="pct"/>
                  <w:tcBorders>
                    <w:tl2br w:val="nil"/>
                    <w:tr2bl w:val="nil"/>
                  </w:tcBorders>
                  <w:noWrap w:val="0"/>
                  <w:vAlign w:val="top"/>
                </w:tcPr>
                <w:p w14:paraId="3B8B6E0F">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color w:val="auto"/>
                      <w:szCs w:val="21"/>
                    </w:rPr>
                  </w:pPr>
                  <w:r>
                    <w:rPr>
                      <w:rFonts w:hint="default" w:ascii="Times New Roman" w:hAnsi="Times New Roman" w:eastAsia="Times New Roman" w:cs="Times New Roman"/>
                      <w:color w:val="auto"/>
                      <w:szCs w:val="21"/>
                    </w:rPr>
                    <w:t>参数</w:t>
                  </w:r>
                </w:p>
              </w:tc>
              <w:tc>
                <w:tcPr>
                  <w:tcW w:w="969" w:type="pct"/>
                  <w:tcBorders>
                    <w:tl2br w:val="nil"/>
                    <w:tr2bl w:val="nil"/>
                  </w:tcBorders>
                  <w:noWrap w:val="0"/>
                  <w:vAlign w:val="top"/>
                </w:tcPr>
                <w:p w14:paraId="07092231">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color w:val="auto"/>
                      <w:szCs w:val="21"/>
                      <w:lang w:val="pt-BR"/>
                    </w:rPr>
                  </w:pPr>
                  <w:r>
                    <w:rPr>
                      <w:rFonts w:hint="eastAsia" w:ascii="Times New Roman" w:hAnsi="Times New Roman" w:eastAsia="Times New Roman" w:cs="Times New Roman"/>
                      <w:color w:val="auto"/>
                      <w:szCs w:val="21"/>
                      <w:lang w:val="en-US" w:eastAsia="zh-CN"/>
                    </w:rPr>
                    <w:t>18</w:t>
                  </w:r>
                  <w:r>
                    <w:rPr>
                      <w:rFonts w:hint="default" w:ascii="Times New Roman" w:hAnsi="Times New Roman" w:eastAsia="Times New Roman" w:cs="Times New Roman"/>
                      <w:color w:val="auto"/>
                      <w:szCs w:val="21"/>
                      <w:lang w:val="pt-BR"/>
                    </w:rPr>
                    <w:t>000m</w:t>
                  </w:r>
                  <w:r>
                    <w:rPr>
                      <w:rFonts w:hint="default" w:ascii="Times New Roman" w:hAnsi="Times New Roman" w:eastAsia="Times New Roman" w:cs="Times New Roman"/>
                      <w:color w:val="auto"/>
                      <w:szCs w:val="21"/>
                      <w:vertAlign w:val="superscript"/>
                      <w:lang w:val="pt-BR"/>
                    </w:rPr>
                    <w:t>3</w:t>
                  </w:r>
                  <w:r>
                    <w:rPr>
                      <w:rFonts w:hint="default" w:ascii="Times New Roman" w:hAnsi="Times New Roman" w:eastAsia="Times New Roman" w:cs="Times New Roman"/>
                      <w:color w:val="auto"/>
                      <w:szCs w:val="21"/>
                      <w:lang w:val="pt-BR"/>
                    </w:rPr>
                    <w:t>/h</w:t>
                  </w:r>
                </w:p>
              </w:tc>
              <w:tc>
                <w:tcPr>
                  <w:tcW w:w="773" w:type="pct"/>
                  <w:tcBorders>
                    <w:tl2br w:val="nil"/>
                    <w:tr2bl w:val="nil"/>
                  </w:tcBorders>
                  <w:noWrap w:val="0"/>
                  <w:vAlign w:val="top"/>
                </w:tcPr>
                <w:p w14:paraId="6190FAC7">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color w:val="auto"/>
                      <w:szCs w:val="21"/>
                    </w:rPr>
                  </w:pPr>
                  <w:r>
                    <w:rPr>
                      <w:rFonts w:hint="default" w:ascii="Times New Roman" w:hAnsi="Times New Roman" w:eastAsia="Times New Roman" w:cs="Times New Roman"/>
                      <w:color w:val="auto"/>
                      <w:szCs w:val="21"/>
                    </w:rPr>
                    <w:t>1.0m/s</w:t>
                  </w:r>
                </w:p>
              </w:tc>
              <w:tc>
                <w:tcPr>
                  <w:tcW w:w="1304" w:type="pct"/>
                  <w:tcBorders>
                    <w:tl2br w:val="nil"/>
                    <w:tr2bl w:val="nil"/>
                  </w:tcBorders>
                  <w:noWrap w:val="0"/>
                  <w:vAlign w:val="top"/>
                </w:tcPr>
                <w:p w14:paraId="1F71504C">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color w:val="auto"/>
                      <w:szCs w:val="21"/>
                    </w:rPr>
                  </w:pPr>
                  <w:r>
                    <w:rPr>
                      <w:rFonts w:hint="default" w:ascii="Times New Roman" w:hAnsi="Times New Roman" w:eastAsia="Times New Roman" w:cs="Times New Roman"/>
                      <w:color w:val="auto"/>
                      <w:szCs w:val="21"/>
                    </w:rPr>
                    <w:t>0.</w:t>
                  </w:r>
                  <w:r>
                    <w:rPr>
                      <w:rFonts w:hint="default" w:ascii="Times New Roman" w:hAnsi="Times New Roman" w:eastAsia="宋体" w:cs="Times New Roman"/>
                      <w:color w:val="auto"/>
                      <w:szCs w:val="21"/>
                      <w:lang w:val="en-US" w:eastAsia="zh-CN"/>
                    </w:rPr>
                    <w:t>5</w:t>
                  </w:r>
                  <w:r>
                    <w:rPr>
                      <w:rFonts w:hint="default" w:ascii="Times New Roman" w:hAnsi="Times New Roman" w:eastAsia="Times New Roman" w:cs="Times New Roman"/>
                      <w:color w:val="auto"/>
                      <w:szCs w:val="21"/>
                    </w:rPr>
                    <w:t>~</w:t>
                  </w:r>
                  <w:r>
                    <w:rPr>
                      <w:rFonts w:hint="default" w:ascii="Times New Roman" w:hAnsi="Times New Roman" w:eastAsia="Times New Roman" w:cs="Times New Roman"/>
                      <w:color w:val="auto"/>
                      <w:szCs w:val="21"/>
                      <w:lang w:val="en-US" w:eastAsia="zh-CN"/>
                    </w:rPr>
                    <w:t>1</w:t>
                  </w:r>
                  <w:r>
                    <w:rPr>
                      <w:rFonts w:hint="default" w:ascii="Times New Roman" w:hAnsi="Times New Roman" w:eastAsia="Times New Roman" w:cs="Times New Roman"/>
                      <w:color w:val="auto"/>
                      <w:szCs w:val="21"/>
                    </w:rPr>
                    <w:t>s</w:t>
                  </w:r>
                </w:p>
              </w:tc>
              <w:tc>
                <w:tcPr>
                  <w:tcW w:w="1486" w:type="pct"/>
                  <w:tcBorders>
                    <w:tl2br w:val="nil"/>
                    <w:tr2bl w:val="nil"/>
                  </w:tcBorders>
                  <w:noWrap w:val="0"/>
                  <w:vAlign w:val="top"/>
                </w:tcPr>
                <w:p w14:paraId="71B08646">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color w:val="auto"/>
                      <w:szCs w:val="21"/>
                    </w:rPr>
                  </w:pPr>
                  <w:r>
                    <w:rPr>
                      <w:rFonts w:hint="default" w:ascii="Times New Roman" w:hAnsi="Times New Roman" w:eastAsia="Times New Roman" w:cs="Times New Roman"/>
                      <w:color w:val="auto"/>
                      <w:szCs w:val="21"/>
                    </w:rPr>
                    <w:t>90%</w:t>
                  </w:r>
                </w:p>
              </w:tc>
            </w:tr>
            <w:tr w14:paraId="409EA99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6" w:hRule="atLeast"/>
                <w:jc w:val="center"/>
              </w:trPr>
              <w:tc>
                <w:tcPr>
                  <w:tcW w:w="465" w:type="pct"/>
                  <w:tcBorders>
                    <w:tl2br w:val="nil"/>
                    <w:tr2bl w:val="nil"/>
                  </w:tcBorders>
                  <w:noWrap w:val="0"/>
                  <w:vAlign w:val="top"/>
                </w:tcPr>
                <w:p w14:paraId="4B165ECD">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项目</w:t>
                  </w:r>
                </w:p>
              </w:tc>
              <w:tc>
                <w:tcPr>
                  <w:tcW w:w="969" w:type="pct"/>
                  <w:tcBorders>
                    <w:tl2br w:val="nil"/>
                    <w:tr2bl w:val="nil"/>
                  </w:tcBorders>
                  <w:noWrap w:val="0"/>
                  <w:vAlign w:val="top"/>
                </w:tcPr>
                <w:p w14:paraId="610DD73D">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工作阻力</w:t>
                  </w:r>
                </w:p>
              </w:tc>
              <w:tc>
                <w:tcPr>
                  <w:tcW w:w="773" w:type="pct"/>
                  <w:tcBorders>
                    <w:tl2br w:val="nil"/>
                    <w:tr2bl w:val="nil"/>
                  </w:tcBorders>
                  <w:noWrap w:val="0"/>
                  <w:vAlign w:val="top"/>
                </w:tcPr>
                <w:p w14:paraId="2FD8E703">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介质</w:t>
                  </w:r>
                </w:p>
              </w:tc>
              <w:tc>
                <w:tcPr>
                  <w:tcW w:w="1304" w:type="pct"/>
                  <w:tcBorders>
                    <w:tl2br w:val="nil"/>
                    <w:tr2bl w:val="nil"/>
                  </w:tcBorders>
                  <w:noWrap w:val="0"/>
                  <w:vAlign w:val="top"/>
                </w:tcPr>
                <w:p w14:paraId="7FDB296E">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过滤面积</w:t>
                  </w:r>
                </w:p>
              </w:tc>
              <w:tc>
                <w:tcPr>
                  <w:tcW w:w="1486" w:type="pct"/>
                  <w:tcBorders>
                    <w:tl2br w:val="nil"/>
                    <w:tr2bl w:val="nil"/>
                  </w:tcBorders>
                  <w:noWrap w:val="0"/>
                  <w:vAlign w:val="top"/>
                </w:tcPr>
                <w:p w14:paraId="54A9E4A7">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活性炭形态</w:t>
                  </w:r>
                </w:p>
              </w:tc>
            </w:tr>
            <w:tr w14:paraId="276D4B9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18" w:hRule="atLeast"/>
                <w:jc w:val="center"/>
              </w:trPr>
              <w:tc>
                <w:tcPr>
                  <w:tcW w:w="465" w:type="pct"/>
                  <w:tcBorders>
                    <w:tl2br w:val="nil"/>
                    <w:tr2bl w:val="nil"/>
                  </w:tcBorders>
                  <w:noWrap w:val="0"/>
                  <w:vAlign w:val="center"/>
                </w:tcPr>
                <w:p w14:paraId="4B2D7044">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color w:val="auto"/>
                      <w:szCs w:val="21"/>
                    </w:rPr>
                  </w:pPr>
                  <w:r>
                    <w:rPr>
                      <w:rFonts w:hint="default" w:ascii="Times New Roman" w:hAnsi="Times New Roman" w:eastAsia="Times New Roman" w:cs="Times New Roman"/>
                      <w:color w:val="auto"/>
                      <w:szCs w:val="21"/>
                    </w:rPr>
                    <w:t>参数</w:t>
                  </w:r>
                </w:p>
              </w:tc>
              <w:tc>
                <w:tcPr>
                  <w:tcW w:w="969" w:type="pct"/>
                  <w:tcBorders>
                    <w:tl2br w:val="nil"/>
                    <w:tr2bl w:val="nil"/>
                  </w:tcBorders>
                  <w:noWrap w:val="0"/>
                  <w:vAlign w:val="center"/>
                </w:tcPr>
                <w:p w14:paraId="3E0C4E2C">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color w:val="auto"/>
                      <w:szCs w:val="21"/>
                    </w:rPr>
                  </w:pPr>
                  <w:r>
                    <w:rPr>
                      <w:rFonts w:hint="default" w:ascii="Times New Roman" w:hAnsi="Times New Roman" w:eastAsia="Times New Roman" w:cs="Times New Roman"/>
                      <w:color w:val="auto"/>
                      <w:szCs w:val="21"/>
                    </w:rPr>
                    <w:t>800~1200Pa</w:t>
                  </w:r>
                </w:p>
              </w:tc>
              <w:tc>
                <w:tcPr>
                  <w:tcW w:w="773" w:type="pct"/>
                  <w:tcBorders>
                    <w:tl2br w:val="nil"/>
                    <w:tr2bl w:val="nil"/>
                  </w:tcBorders>
                  <w:noWrap w:val="0"/>
                  <w:vAlign w:val="center"/>
                </w:tcPr>
                <w:p w14:paraId="22BB853C">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color w:val="auto"/>
                      <w:szCs w:val="21"/>
                    </w:rPr>
                  </w:pPr>
                  <w:r>
                    <w:rPr>
                      <w:rFonts w:hint="default" w:ascii="Times New Roman" w:hAnsi="Times New Roman" w:eastAsia="Times New Roman" w:cs="Times New Roman"/>
                      <w:color w:val="auto"/>
                      <w:szCs w:val="21"/>
                    </w:rPr>
                    <w:t>有机废气</w:t>
                  </w:r>
                </w:p>
              </w:tc>
              <w:tc>
                <w:tcPr>
                  <w:tcW w:w="1304" w:type="pct"/>
                  <w:tcBorders>
                    <w:tl2br w:val="nil"/>
                    <w:tr2bl w:val="nil"/>
                  </w:tcBorders>
                  <w:noWrap w:val="0"/>
                  <w:vAlign w:val="center"/>
                </w:tcPr>
                <w:p w14:paraId="50F2F0B2">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color w:val="auto"/>
                      <w:szCs w:val="21"/>
                      <w:vertAlign w:val="superscript"/>
                    </w:rPr>
                  </w:pPr>
                  <w:r>
                    <w:rPr>
                      <w:rFonts w:hint="eastAsia" w:ascii="Times New Roman" w:hAnsi="Times New Roman" w:eastAsia="Times New Roman" w:cs="Times New Roman"/>
                      <w:color w:val="auto"/>
                      <w:szCs w:val="21"/>
                      <w:lang w:val="en-US" w:eastAsia="zh-CN"/>
                    </w:rPr>
                    <w:t>5</w:t>
                  </w:r>
                  <w:r>
                    <w:rPr>
                      <w:rFonts w:hint="default" w:ascii="Times New Roman" w:hAnsi="Times New Roman" w:eastAsia="Times New Roman" w:cs="Times New Roman"/>
                      <w:color w:val="auto"/>
                      <w:szCs w:val="21"/>
                    </w:rPr>
                    <w:t>m</w:t>
                  </w:r>
                  <w:r>
                    <w:rPr>
                      <w:rFonts w:hint="default" w:ascii="Times New Roman" w:hAnsi="Times New Roman" w:eastAsia="Times New Roman" w:cs="Times New Roman"/>
                      <w:color w:val="auto"/>
                      <w:szCs w:val="21"/>
                      <w:vertAlign w:val="superscript"/>
                    </w:rPr>
                    <w:t>2</w:t>
                  </w:r>
                </w:p>
              </w:tc>
              <w:tc>
                <w:tcPr>
                  <w:tcW w:w="1486" w:type="pct"/>
                  <w:tcBorders>
                    <w:tl2br w:val="nil"/>
                    <w:tr2bl w:val="nil"/>
                  </w:tcBorders>
                  <w:noWrap w:val="0"/>
                  <w:vAlign w:val="center"/>
                </w:tcPr>
                <w:p w14:paraId="6983C02A">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color w:val="auto"/>
                      <w:szCs w:val="21"/>
                    </w:rPr>
                  </w:pPr>
                  <w:r>
                    <w:rPr>
                      <w:rFonts w:hint="default" w:ascii="Times New Roman" w:hAnsi="Times New Roman" w:eastAsia="Times New Roman" w:cs="Times New Roman"/>
                      <w:color w:val="auto"/>
                      <w:szCs w:val="21"/>
                    </w:rPr>
                    <w:t>蜂窝状，尺寸</w:t>
                  </w:r>
                  <w:r>
                    <w:rPr>
                      <w:rFonts w:hint="default" w:ascii="Times New Roman" w:hAnsi="Times New Roman" w:eastAsia="Times New Roman" w:cs="Times New Roman"/>
                      <w:color w:val="auto"/>
                      <w:szCs w:val="21"/>
                      <w:lang w:val="pt-BR"/>
                    </w:rPr>
                    <w:t>100mm×100mm×100mm</w:t>
                  </w:r>
                </w:p>
              </w:tc>
            </w:tr>
            <w:tr w14:paraId="4DA1A9D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6" w:hRule="atLeast"/>
                <w:jc w:val="center"/>
              </w:trPr>
              <w:tc>
                <w:tcPr>
                  <w:tcW w:w="465" w:type="pct"/>
                  <w:tcBorders>
                    <w:tl2br w:val="nil"/>
                    <w:tr2bl w:val="nil"/>
                  </w:tcBorders>
                  <w:noWrap w:val="0"/>
                  <w:vAlign w:val="center"/>
                </w:tcPr>
                <w:p w14:paraId="67BF28AD">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项目</w:t>
                  </w:r>
                </w:p>
              </w:tc>
              <w:tc>
                <w:tcPr>
                  <w:tcW w:w="969" w:type="pct"/>
                  <w:tcBorders>
                    <w:tl2br w:val="nil"/>
                    <w:tr2bl w:val="nil"/>
                  </w:tcBorders>
                  <w:noWrap w:val="0"/>
                  <w:vAlign w:val="top"/>
                </w:tcPr>
                <w:p w14:paraId="6745E2CC">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介质温度</w:t>
                  </w:r>
                </w:p>
              </w:tc>
              <w:tc>
                <w:tcPr>
                  <w:tcW w:w="773" w:type="pct"/>
                  <w:tcBorders>
                    <w:tl2br w:val="nil"/>
                    <w:tr2bl w:val="nil"/>
                  </w:tcBorders>
                  <w:noWrap w:val="0"/>
                  <w:vAlign w:val="center"/>
                </w:tcPr>
                <w:p w14:paraId="3B19E073">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活性炭碘值</w:t>
                  </w:r>
                </w:p>
              </w:tc>
              <w:tc>
                <w:tcPr>
                  <w:tcW w:w="1304" w:type="pct"/>
                  <w:tcBorders>
                    <w:tl2br w:val="nil"/>
                    <w:tr2bl w:val="nil"/>
                  </w:tcBorders>
                  <w:noWrap w:val="0"/>
                  <w:vAlign w:val="top"/>
                </w:tcPr>
                <w:p w14:paraId="69DB5E56">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活性炭层厚度</w:t>
                  </w:r>
                </w:p>
              </w:tc>
              <w:tc>
                <w:tcPr>
                  <w:tcW w:w="1486" w:type="pct"/>
                  <w:tcBorders>
                    <w:tl2br w:val="nil"/>
                    <w:tr2bl w:val="nil"/>
                  </w:tcBorders>
                  <w:noWrap w:val="0"/>
                  <w:vAlign w:val="center"/>
                </w:tcPr>
                <w:p w14:paraId="04D3D349">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活性炭堆积密度</w:t>
                  </w:r>
                </w:p>
              </w:tc>
            </w:tr>
            <w:tr w14:paraId="732CF6D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 w:hRule="atLeast"/>
                <w:jc w:val="center"/>
              </w:trPr>
              <w:tc>
                <w:tcPr>
                  <w:tcW w:w="465" w:type="pct"/>
                  <w:tcBorders>
                    <w:tl2br w:val="nil"/>
                    <w:tr2bl w:val="nil"/>
                  </w:tcBorders>
                  <w:noWrap w:val="0"/>
                  <w:vAlign w:val="center"/>
                </w:tcPr>
                <w:p w14:paraId="25ED7F4B">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color w:val="auto"/>
                      <w:szCs w:val="21"/>
                    </w:rPr>
                  </w:pPr>
                  <w:r>
                    <w:rPr>
                      <w:rFonts w:hint="default" w:ascii="Times New Roman" w:hAnsi="Times New Roman" w:eastAsia="Times New Roman" w:cs="Times New Roman"/>
                      <w:color w:val="auto"/>
                      <w:szCs w:val="21"/>
                    </w:rPr>
                    <w:t>参数</w:t>
                  </w:r>
                </w:p>
              </w:tc>
              <w:tc>
                <w:tcPr>
                  <w:tcW w:w="969" w:type="pct"/>
                  <w:tcBorders>
                    <w:tl2br w:val="nil"/>
                    <w:tr2bl w:val="nil"/>
                  </w:tcBorders>
                  <w:noWrap w:val="0"/>
                  <w:vAlign w:val="center"/>
                </w:tcPr>
                <w:p w14:paraId="196EBD17">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color w:val="auto"/>
                      <w:szCs w:val="21"/>
                    </w:rPr>
                  </w:pPr>
                  <w:r>
                    <w:rPr>
                      <w:rFonts w:hint="default" w:ascii="Times New Roman" w:hAnsi="Times New Roman" w:eastAsia="Times New Roman" w:cs="Times New Roman"/>
                      <w:color w:val="auto"/>
                      <w:szCs w:val="21"/>
                    </w:rPr>
                    <w:t>＜40℃</w:t>
                  </w:r>
                </w:p>
              </w:tc>
              <w:tc>
                <w:tcPr>
                  <w:tcW w:w="773" w:type="pct"/>
                  <w:tcBorders>
                    <w:tl2br w:val="nil"/>
                    <w:tr2bl w:val="nil"/>
                  </w:tcBorders>
                  <w:noWrap w:val="0"/>
                  <w:vAlign w:val="center"/>
                </w:tcPr>
                <w:p w14:paraId="73A9AE5F">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color w:val="auto"/>
                      <w:szCs w:val="21"/>
                    </w:rPr>
                  </w:pPr>
                  <w:r>
                    <w:rPr>
                      <w:rFonts w:hint="default" w:ascii="Times New Roman" w:hAnsi="Times New Roman" w:eastAsia="Times New Roman" w:cs="Times New Roman"/>
                      <w:color w:val="auto"/>
                      <w:szCs w:val="21"/>
                    </w:rPr>
                    <w:t>＞800 mg/g</w:t>
                  </w:r>
                </w:p>
              </w:tc>
              <w:tc>
                <w:tcPr>
                  <w:tcW w:w="1304" w:type="pct"/>
                  <w:tcBorders>
                    <w:tl2br w:val="nil"/>
                    <w:tr2bl w:val="nil"/>
                  </w:tcBorders>
                  <w:noWrap w:val="0"/>
                  <w:vAlign w:val="center"/>
                </w:tcPr>
                <w:p w14:paraId="3593E209">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Cs w:val="21"/>
                      <w:lang w:val="en-US" w:eastAsia="zh-CN"/>
                    </w:rPr>
                  </w:pPr>
                  <w:r>
                    <w:rPr>
                      <w:rFonts w:hint="default" w:ascii="Times New Roman" w:hAnsi="Times New Roman" w:eastAsia="Times New Roman" w:cs="Times New Roman"/>
                      <w:color w:val="auto"/>
                      <w:szCs w:val="21"/>
                    </w:rPr>
                    <w:t>单层厚度0.1m</w:t>
                  </w:r>
                  <w:r>
                    <w:rPr>
                      <w:rFonts w:hint="default" w:ascii="Times New Roman" w:hAnsi="Times New Roman" w:eastAsia="Times New Roman" w:cs="Times New Roman"/>
                      <w:color w:val="auto"/>
                      <w:szCs w:val="21"/>
                      <w:lang w:eastAsia="zh-CN"/>
                    </w:rPr>
                    <w:t>，</w:t>
                  </w:r>
                  <w:r>
                    <w:rPr>
                      <w:rFonts w:hint="default" w:ascii="Times New Roman" w:hAnsi="Times New Roman" w:eastAsia="Times New Roman" w:cs="Times New Roman"/>
                      <w:color w:val="auto"/>
                      <w:szCs w:val="21"/>
                      <w:lang w:val="en-US" w:eastAsia="zh-CN"/>
                    </w:rPr>
                    <w:t>1层</w:t>
                  </w:r>
                </w:p>
              </w:tc>
              <w:tc>
                <w:tcPr>
                  <w:tcW w:w="1486" w:type="pct"/>
                  <w:tcBorders>
                    <w:tl2br w:val="nil"/>
                    <w:tr2bl w:val="nil"/>
                  </w:tcBorders>
                  <w:noWrap w:val="0"/>
                  <w:vAlign w:val="center"/>
                </w:tcPr>
                <w:p w14:paraId="3CB2D79B">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color w:val="auto"/>
                      <w:szCs w:val="21"/>
                    </w:rPr>
                  </w:pPr>
                  <w:r>
                    <w:rPr>
                      <w:rFonts w:hint="default" w:ascii="Times New Roman" w:hAnsi="Times New Roman" w:eastAsia="Times New Roman" w:cs="Times New Roman"/>
                      <w:color w:val="auto"/>
                      <w:szCs w:val="21"/>
                    </w:rPr>
                    <w:t>0.55g/cm³</w:t>
                  </w:r>
                </w:p>
              </w:tc>
            </w:tr>
            <w:tr w14:paraId="41D0B6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 w:hRule="atLeast"/>
                <w:jc w:val="center"/>
              </w:trPr>
              <w:tc>
                <w:tcPr>
                  <w:tcW w:w="465" w:type="pct"/>
                  <w:tcBorders>
                    <w:tl2br w:val="nil"/>
                    <w:tr2bl w:val="nil"/>
                  </w:tcBorders>
                  <w:noWrap w:val="0"/>
                  <w:vAlign w:val="center"/>
                </w:tcPr>
                <w:p w14:paraId="272E912C">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项目</w:t>
                  </w:r>
                </w:p>
              </w:tc>
              <w:tc>
                <w:tcPr>
                  <w:tcW w:w="969" w:type="pct"/>
                  <w:tcBorders>
                    <w:tl2br w:val="nil"/>
                    <w:tr2bl w:val="nil"/>
                  </w:tcBorders>
                  <w:noWrap w:val="0"/>
                  <w:vAlign w:val="top"/>
                </w:tcPr>
                <w:p w14:paraId="235BFEE5">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活性炭一次填充量（两套）</w:t>
                  </w:r>
                </w:p>
              </w:tc>
              <w:tc>
                <w:tcPr>
                  <w:tcW w:w="773" w:type="pct"/>
                  <w:tcBorders>
                    <w:tl2br w:val="nil"/>
                    <w:tr2bl w:val="nil"/>
                  </w:tcBorders>
                  <w:noWrap w:val="0"/>
                  <w:vAlign w:val="center"/>
                </w:tcPr>
                <w:p w14:paraId="07EF8B1C">
                  <w:pPr>
                    <w:keepNext w:val="0"/>
                    <w:keepLines w:val="0"/>
                    <w:suppressLineNumbers w:val="0"/>
                    <w:adjustRightInd w:val="0"/>
                    <w:spacing w:before="0" w:beforeAutospacing="0" w:after="0" w:afterAutospacing="0" w:line="240" w:lineRule="auto"/>
                    <w:ind w:left="-63" w:leftChars="-30" w:right="-63" w:rightChars="-30"/>
                    <w:jc w:val="center"/>
                    <w:rPr>
                      <w:rFonts w:hint="default" w:ascii="Times New Roman" w:hAnsi="Times New Roman" w:eastAsia="Times New Roman" w:cs="Times New Roman"/>
                      <w:b/>
                      <w:color w:val="auto"/>
                      <w:kern w:val="0"/>
                      <w:szCs w:val="21"/>
                    </w:rPr>
                  </w:pPr>
                  <w:r>
                    <w:rPr>
                      <w:rFonts w:hint="default" w:ascii="Times New Roman" w:hAnsi="Times New Roman" w:eastAsia="Times New Roman" w:cs="Times New Roman"/>
                      <w:b/>
                      <w:color w:val="auto"/>
                      <w:kern w:val="0"/>
                      <w:szCs w:val="21"/>
                    </w:rPr>
                    <w:t>一次填装使用时间</w:t>
                  </w:r>
                </w:p>
              </w:tc>
              <w:tc>
                <w:tcPr>
                  <w:tcW w:w="1304" w:type="pct"/>
                  <w:tcBorders>
                    <w:tl2br w:val="nil"/>
                    <w:tr2bl w:val="nil"/>
                  </w:tcBorders>
                  <w:noWrap w:val="0"/>
                  <w:vAlign w:val="center"/>
                </w:tcPr>
                <w:p w14:paraId="182F1FB7">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更换频次</w:t>
                  </w:r>
                </w:p>
              </w:tc>
              <w:tc>
                <w:tcPr>
                  <w:tcW w:w="1486" w:type="pct"/>
                  <w:tcBorders>
                    <w:tl2br w:val="nil"/>
                    <w:tr2bl w:val="nil"/>
                  </w:tcBorders>
                  <w:noWrap w:val="0"/>
                  <w:vAlign w:val="center"/>
                </w:tcPr>
                <w:p w14:paraId="4612C4CC">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废活性炭产生量</w:t>
                  </w:r>
                </w:p>
                <w:p w14:paraId="0F9416A0">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b/>
                      <w:color w:val="auto"/>
                      <w:szCs w:val="21"/>
                    </w:rPr>
                  </w:pPr>
                  <w:r>
                    <w:rPr>
                      <w:rFonts w:hint="default" w:ascii="Times New Roman" w:hAnsi="Times New Roman" w:eastAsia="Times New Roman" w:cs="Times New Roman"/>
                      <w:b/>
                      <w:color w:val="auto"/>
                      <w:szCs w:val="21"/>
                    </w:rPr>
                    <w:t>（t/a）</w:t>
                  </w:r>
                </w:p>
              </w:tc>
            </w:tr>
            <w:tr w14:paraId="206A1F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 w:hRule="atLeast"/>
                <w:jc w:val="center"/>
              </w:trPr>
              <w:tc>
                <w:tcPr>
                  <w:tcW w:w="465" w:type="pct"/>
                  <w:tcBorders>
                    <w:tl2br w:val="nil"/>
                    <w:tr2bl w:val="nil"/>
                  </w:tcBorders>
                  <w:noWrap w:val="0"/>
                  <w:vAlign w:val="center"/>
                </w:tcPr>
                <w:p w14:paraId="0EF0D269">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color w:val="auto"/>
                      <w:szCs w:val="21"/>
                    </w:rPr>
                  </w:pPr>
                  <w:r>
                    <w:rPr>
                      <w:rFonts w:hint="default" w:ascii="Times New Roman" w:hAnsi="Times New Roman" w:eastAsia="Times New Roman" w:cs="Times New Roman"/>
                      <w:color w:val="auto"/>
                      <w:szCs w:val="21"/>
                    </w:rPr>
                    <w:t>参数</w:t>
                  </w:r>
                </w:p>
              </w:tc>
              <w:tc>
                <w:tcPr>
                  <w:tcW w:w="969" w:type="pct"/>
                  <w:tcBorders>
                    <w:tl2br w:val="nil"/>
                    <w:tr2bl w:val="nil"/>
                  </w:tcBorders>
                  <w:noWrap w:val="0"/>
                  <w:vAlign w:val="center"/>
                </w:tcPr>
                <w:p w14:paraId="373AB3CC">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Times New Roman" w:cs="Times New Roman"/>
                      <w:color w:val="auto"/>
                      <w:szCs w:val="21"/>
                    </w:rPr>
                  </w:pPr>
                  <w:r>
                    <w:rPr>
                      <w:rFonts w:hint="eastAsia" w:ascii="Times New Roman" w:hAnsi="Times New Roman" w:eastAsia="Times New Roman" w:cs="Times New Roman"/>
                      <w:color w:val="auto"/>
                      <w:szCs w:val="21"/>
                      <w:lang w:val="en-US" w:eastAsia="zh-CN"/>
                    </w:rPr>
                    <w:t>0.55</w:t>
                  </w:r>
                  <w:r>
                    <w:rPr>
                      <w:rFonts w:hint="default" w:ascii="Times New Roman" w:hAnsi="Times New Roman" w:eastAsia="Times New Roman" w:cs="Times New Roman"/>
                      <w:color w:val="auto"/>
                      <w:szCs w:val="21"/>
                    </w:rPr>
                    <w:t>t</w:t>
                  </w:r>
                </w:p>
              </w:tc>
              <w:tc>
                <w:tcPr>
                  <w:tcW w:w="773" w:type="pct"/>
                  <w:tcBorders>
                    <w:tl2br w:val="nil"/>
                    <w:tr2bl w:val="nil"/>
                  </w:tcBorders>
                  <w:noWrap w:val="0"/>
                  <w:vAlign w:val="center"/>
                </w:tcPr>
                <w:p w14:paraId="3A0D2409">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kern w:val="0"/>
                      <w:szCs w:val="21"/>
                      <w:lang w:val="en-US" w:eastAsia="zh-CN"/>
                    </w:rPr>
                  </w:pPr>
                  <w:r>
                    <w:rPr>
                      <w:rFonts w:hint="default" w:ascii="Times New Roman" w:hAnsi="Times New Roman" w:cs="Times New Roman"/>
                      <w:color w:val="auto"/>
                      <w:kern w:val="0"/>
                      <w:szCs w:val="21"/>
                      <w:lang w:val="en-US" w:eastAsia="zh-CN"/>
                    </w:rPr>
                    <w:t>3个月</w:t>
                  </w:r>
                </w:p>
              </w:tc>
              <w:tc>
                <w:tcPr>
                  <w:tcW w:w="1304" w:type="pct"/>
                  <w:tcBorders>
                    <w:tl2br w:val="nil"/>
                    <w:tr2bl w:val="nil"/>
                  </w:tcBorders>
                  <w:noWrap w:val="0"/>
                  <w:vAlign w:val="center"/>
                </w:tcPr>
                <w:p w14:paraId="3978B7DF">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Cs w:val="21"/>
                      <w:lang w:val="en-US" w:eastAsia="zh-CN"/>
                    </w:rPr>
                  </w:pPr>
                  <w:r>
                    <w:rPr>
                      <w:rFonts w:hint="default" w:ascii="Times New Roman" w:hAnsi="Times New Roman" w:eastAsia="Times New Roman" w:cs="Times New Roman"/>
                      <w:color w:val="auto"/>
                      <w:szCs w:val="21"/>
                      <w:lang w:val="en-US" w:eastAsia="zh-CN"/>
                    </w:rPr>
                    <w:t>1年换4次</w:t>
                  </w:r>
                </w:p>
              </w:tc>
              <w:tc>
                <w:tcPr>
                  <w:tcW w:w="1486" w:type="pct"/>
                  <w:tcBorders>
                    <w:tl2br w:val="nil"/>
                    <w:tr2bl w:val="nil"/>
                  </w:tcBorders>
                  <w:noWrap w:val="0"/>
                  <w:vAlign w:val="center"/>
                </w:tcPr>
                <w:p w14:paraId="14A54E92">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Cs w:val="21"/>
                      <w:lang w:val="en-US" w:eastAsia="zh-CN"/>
                    </w:rPr>
                  </w:pPr>
                  <w:r>
                    <w:rPr>
                      <w:rFonts w:hint="eastAsia" w:ascii="Times New Roman" w:hAnsi="Times New Roman" w:eastAsia="Times New Roman" w:cs="Times New Roman"/>
                      <w:color w:val="auto"/>
                      <w:szCs w:val="21"/>
                      <w:lang w:val="en-US" w:eastAsia="zh-CN"/>
                    </w:rPr>
                    <w:t>2.23</w:t>
                  </w:r>
                  <w:r>
                    <w:rPr>
                      <w:rFonts w:hint="default" w:ascii="Times New Roman" w:hAnsi="Times New Roman" w:eastAsia="Times New Roman" w:cs="Times New Roman"/>
                      <w:color w:val="auto"/>
                      <w:szCs w:val="21"/>
                      <w:lang w:val="en-US" w:eastAsia="zh-CN"/>
                    </w:rPr>
                    <w:t>（含有机废气）</w:t>
                  </w:r>
                </w:p>
              </w:tc>
            </w:tr>
          </w:tbl>
          <w:p w14:paraId="797AB038">
            <w:pPr>
              <w:keepNext w:val="0"/>
              <w:keepLines w:val="0"/>
              <w:suppressLineNumbers w:val="0"/>
              <w:spacing w:before="0" w:beforeAutospacing="0" w:after="0" w:afterAutospacing="0" w:line="440" w:lineRule="exact"/>
              <w:ind w:left="0" w:right="0" w:firstLine="470" w:firstLineChars="196"/>
              <w:rPr>
                <w:rFonts w:hint="default" w:ascii="Times New Roman" w:hAnsi="Times New Roman" w:eastAsia="宋体" w:cs="Times New Roman"/>
                <w:b/>
                <w:color w:val="auto"/>
                <w:sz w:val="24"/>
                <w:lang w:val="en-US" w:eastAsia="zh-CN"/>
              </w:rPr>
            </w:pPr>
            <w:r>
              <w:rPr>
                <w:rFonts w:hint="eastAsia"/>
                <w:color w:val="auto"/>
                <w:sz w:val="24"/>
                <w:szCs w:val="24"/>
                <w:lang w:val="en-US" w:eastAsia="zh-CN"/>
              </w:rPr>
              <w:t>箱式渗碳、淬火回火</w:t>
            </w:r>
            <w:r>
              <w:rPr>
                <w:rFonts w:hint="default" w:ascii="Times New Roman" w:hAnsi="Times New Roman" w:eastAsia="Times New Roman" w:cs="Times New Roman"/>
                <w:color w:val="auto"/>
                <w:kern w:val="0"/>
                <w:sz w:val="24"/>
                <w:lang w:val="en-US" w:eastAsia="zh-CN"/>
              </w:rPr>
              <w:t>废气经废气冷却系统冷却（间接水冷）后</w:t>
            </w:r>
            <w:r>
              <w:rPr>
                <w:rFonts w:hint="default" w:ascii="Times New Roman" w:hAnsi="Times New Roman" w:eastAsia="Times New Roman" w:cs="Times New Roman"/>
                <w:color w:val="auto"/>
                <w:kern w:val="0"/>
                <w:sz w:val="24"/>
              </w:rPr>
              <w:t>，</w:t>
            </w:r>
            <w:r>
              <w:rPr>
                <w:rFonts w:hint="default" w:ascii="Times New Roman" w:hAnsi="Times New Roman" w:eastAsia="Times New Roman" w:cs="Times New Roman"/>
                <w:color w:val="auto"/>
                <w:kern w:val="0"/>
                <w:sz w:val="24"/>
                <w:lang w:val="en-US" w:eastAsia="zh-CN"/>
              </w:rPr>
              <w:t>温度可降至40℃</w:t>
            </w:r>
            <w:r>
              <w:rPr>
                <w:rFonts w:hint="default" w:ascii="Times New Roman" w:hAnsi="Times New Roman" w:eastAsia="Times New Roman" w:cs="Times New Roman"/>
                <w:color w:val="auto"/>
                <w:kern w:val="0"/>
                <w:sz w:val="24"/>
              </w:rPr>
              <w:t>，能够满足《吸附法工业有机废气治理工程技术规范》（HJ2026-2013）4.4节要求的进入活性炭吸附装置的废气温度宜低于40℃。</w:t>
            </w:r>
          </w:p>
          <w:p w14:paraId="7123E39B">
            <w:pPr>
              <w:keepNext w:val="0"/>
              <w:keepLines w:val="0"/>
              <w:suppressLineNumbers w:val="0"/>
              <w:adjustRightInd w:val="0"/>
              <w:spacing w:before="0" w:beforeAutospacing="0" w:after="0" w:afterAutospacing="0" w:line="460" w:lineRule="exact"/>
              <w:ind w:left="0" w:right="0" w:firstLine="480"/>
              <w:rPr>
                <w:rFonts w:hint="default" w:ascii="Times New Roman" w:hAnsi="Times New Roman" w:eastAsia="宋体" w:cs="Times New Roman"/>
                <w:b/>
                <w:color w:val="auto"/>
                <w:sz w:val="24"/>
                <w:lang w:val="en-US" w:eastAsia="zh-CN"/>
              </w:rPr>
            </w:pPr>
            <w:r>
              <w:rPr>
                <w:rFonts w:hint="default" w:ascii="Times New Roman" w:hAnsi="Times New Roman" w:eastAsia="宋体" w:cs="Times New Roman"/>
                <w:b/>
                <w:color w:val="auto"/>
                <w:sz w:val="24"/>
                <w:lang w:val="en-US" w:eastAsia="zh-CN"/>
              </w:rPr>
              <w:t>1.6废气环境影响分析</w:t>
            </w:r>
          </w:p>
          <w:p w14:paraId="0659A67E">
            <w:pPr>
              <w:pStyle w:val="62"/>
              <w:keepNext w:val="0"/>
              <w:keepLines w:val="0"/>
              <w:suppressLineNumbers w:val="0"/>
              <w:bidi w:val="0"/>
              <w:spacing w:before="0" w:beforeAutospacing="0" w:after="0" w:afterAutospacing="0"/>
              <w:ind w:left="0" w:right="0"/>
              <w:rPr>
                <w:rFonts w:hint="default" w:ascii="Times New Roman" w:hAnsi="Times New Roman" w:cs="Times New Roman"/>
                <w:color w:val="auto"/>
                <w:sz w:val="24"/>
                <w:szCs w:val="24"/>
              </w:rPr>
            </w:pPr>
            <w:r>
              <w:rPr>
                <w:rFonts w:hint="default"/>
                <w:color w:val="auto"/>
              </w:rPr>
              <w:t>根据前文分析，项目</w:t>
            </w:r>
            <w:r>
              <w:rPr>
                <w:rFonts w:hint="eastAsia"/>
                <w:color w:val="auto"/>
                <w:lang w:val="en-US" w:eastAsia="zh-CN"/>
              </w:rPr>
              <w:t>箱式渗碳、淬火回火</w:t>
            </w:r>
            <w:r>
              <w:rPr>
                <w:rFonts w:hint="default"/>
                <w:color w:val="auto"/>
                <w:lang w:val="en-US" w:eastAsia="zh-CN"/>
              </w:rPr>
              <w:t>废气经</w:t>
            </w:r>
            <w:r>
              <w:rPr>
                <w:rFonts w:hint="eastAsia"/>
                <w:color w:val="auto"/>
                <w:lang w:val="en-US" w:eastAsia="zh-CN"/>
              </w:rPr>
              <w:t>废气间接冷却装置+静电吸附油雾净化装置+三级干式过滤器+二级活性炭吸附装置</w:t>
            </w:r>
            <w:r>
              <w:rPr>
                <w:rFonts w:hint="default"/>
                <w:color w:val="auto"/>
              </w:rPr>
              <w:t>处理</w:t>
            </w:r>
            <w:r>
              <w:rPr>
                <w:rFonts w:hint="default"/>
                <w:color w:val="auto"/>
                <w:lang w:val="en-US" w:eastAsia="zh-CN"/>
              </w:rPr>
              <w:t>后由</w:t>
            </w:r>
            <w:r>
              <w:rPr>
                <w:rFonts w:hint="default"/>
                <w:color w:val="auto"/>
              </w:rPr>
              <w:t>1根15m高排气筒排放（编号DA00</w:t>
            </w:r>
            <w:r>
              <w:rPr>
                <w:rFonts w:hint="default"/>
                <w:color w:val="auto"/>
                <w:lang w:val="en-US" w:eastAsia="zh-CN"/>
              </w:rPr>
              <w:t>1</w:t>
            </w:r>
            <w:r>
              <w:rPr>
                <w:rFonts w:hint="default"/>
                <w:color w:val="auto"/>
              </w:rPr>
              <w:t>）</w:t>
            </w:r>
            <w:r>
              <w:rPr>
                <w:rFonts w:hint="default"/>
                <w:color w:val="auto"/>
                <w:lang w:eastAsia="zh-CN"/>
              </w:rPr>
              <w:t>，</w:t>
            </w:r>
            <w:r>
              <w:rPr>
                <w:rFonts w:hint="default"/>
                <w:color w:val="auto"/>
                <w:lang w:val="en-US" w:eastAsia="zh-CN"/>
              </w:rPr>
              <w:t>颗粒物</w:t>
            </w:r>
            <w:r>
              <w:rPr>
                <w:rFonts w:hint="default"/>
                <w:color w:val="auto"/>
              </w:rPr>
              <w:t>排放浓度为</w:t>
            </w:r>
            <w:r>
              <w:rPr>
                <w:rFonts w:hint="eastAsia"/>
                <w:color w:val="auto"/>
                <w:lang w:val="en-US" w:eastAsia="zh-CN"/>
              </w:rPr>
              <w:t>0.5</w:t>
            </w:r>
            <w:r>
              <w:rPr>
                <w:rFonts w:hint="default"/>
                <w:color w:val="auto"/>
              </w:rPr>
              <w:t>mg/m</w:t>
            </w:r>
            <w:r>
              <w:rPr>
                <w:rFonts w:hint="default"/>
                <w:color w:val="auto"/>
                <w:vertAlign w:val="superscript"/>
              </w:rPr>
              <w:t>3</w:t>
            </w:r>
            <w:r>
              <w:rPr>
                <w:rFonts w:hint="default"/>
                <w:color w:val="auto"/>
              </w:rPr>
              <w:t>，排放速率为0.</w:t>
            </w:r>
            <w:r>
              <w:rPr>
                <w:rFonts w:hint="eastAsia"/>
                <w:color w:val="auto"/>
                <w:lang w:val="en-US" w:eastAsia="zh-CN"/>
              </w:rPr>
              <w:t>009</w:t>
            </w:r>
            <w:r>
              <w:rPr>
                <w:rFonts w:hint="default"/>
                <w:color w:val="auto"/>
              </w:rPr>
              <w:t>kg/h</w:t>
            </w:r>
            <w:r>
              <w:rPr>
                <w:rFonts w:hint="eastAsia"/>
                <w:color w:val="auto"/>
                <w:lang w:eastAsia="zh-CN"/>
              </w:rPr>
              <w:t>，</w:t>
            </w:r>
            <w:r>
              <w:rPr>
                <w:rFonts w:hint="eastAsia"/>
                <w:color w:val="auto"/>
                <w:lang w:val="en-US" w:eastAsia="zh-CN"/>
              </w:rPr>
              <w:t>非甲烷总烃</w:t>
            </w:r>
            <w:r>
              <w:rPr>
                <w:rFonts w:hint="default"/>
                <w:color w:val="auto"/>
              </w:rPr>
              <w:t>排放浓度为</w:t>
            </w:r>
            <w:r>
              <w:rPr>
                <w:rFonts w:hint="eastAsia"/>
                <w:color w:val="auto"/>
                <w:lang w:val="en-US" w:eastAsia="zh-CN"/>
              </w:rPr>
              <w:t>0.07</w:t>
            </w:r>
            <w:r>
              <w:rPr>
                <w:rFonts w:hint="default"/>
                <w:color w:val="auto"/>
              </w:rPr>
              <w:t>mg/m</w:t>
            </w:r>
            <w:r>
              <w:rPr>
                <w:rFonts w:hint="default"/>
                <w:color w:val="auto"/>
                <w:vertAlign w:val="superscript"/>
              </w:rPr>
              <w:t>3</w:t>
            </w:r>
            <w:r>
              <w:rPr>
                <w:rFonts w:hint="default"/>
                <w:color w:val="auto"/>
              </w:rPr>
              <w:t>，排放速率为0.</w:t>
            </w:r>
            <w:r>
              <w:rPr>
                <w:rFonts w:hint="eastAsia"/>
                <w:color w:val="auto"/>
                <w:lang w:val="en-US" w:eastAsia="zh-CN"/>
              </w:rPr>
              <w:t>001</w:t>
            </w:r>
            <w:r>
              <w:rPr>
                <w:rFonts w:hint="default"/>
                <w:color w:val="auto"/>
              </w:rPr>
              <w:t>kg/h</w:t>
            </w:r>
            <w:r>
              <w:rPr>
                <w:rFonts w:hint="default"/>
                <w:color w:val="auto"/>
                <w:lang w:eastAsia="zh-CN"/>
              </w:rPr>
              <w:t>；</w:t>
            </w:r>
            <w:r>
              <w:rPr>
                <w:rFonts w:hint="eastAsia"/>
                <w:color w:val="auto"/>
                <w:lang w:val="en-US" w:eastAsia="zh-CN"/>
              </w:rPr>
              <w:t>天然气采用</w:t>
            </w:r>
            <w:r>
              <w:rPr>
                <w:rFonts w:hint="default"/>
                <w:color w:val="auto"/>
                <w:lang w:val="en-US" w:eastAsia="zh-CN"/>
              </w:rPr>
              <w:t>FGR低氮燃烧器</w:t>
            </w:r>
            <w:r>
              <w:rPr>
                <w:rFonts w:hint="eastAsia"/>
                <w:color w:val="auto"/>
                <w:lang w:val="en-US" w:eastAsia="zh-CN"/>
              </w:rPr>
              <w:t>燃烧，燃烧有组织废气（颗粒物、二氧化硫、氮氧化物）经1根15m高排气筒排放（DA002），</w:t>
            </w:r>
            <w:r>
              <w:rPr>
                <w:rFonts w:hint="default"/>
                <w:color w:val="auto"/>
                <w:lang w:val="en-US" w:eastAsia="zh-CN"/>
              </w:rPr>
              <w:t>颗粒物</w:t>
            </w:r>
            <w:r>
              <w:rPr>
                <w:rFonts w:hint="default"/>
                <w:color w:val="auto"/>
              </w:rPr>
              <w:t>排放浓度为</w:t>
            </w:r>
            <w:r>
              <w:rPr>
                <w:rFonts w:hint="eastAsia"/>
                <w:color w:val="auto"/>
                <w:lang w:val="en-US" w:eastAsia="zh-CN"/>
              </w:rPr>
              <w:t>21.28</w:t>
            </w:r>
            <w:r>
              <w:rPr>
                <w:rFonts w:hint="default"/>
                <w:color w:val="auto"/>
              </w:rPr>
              <w:t>mg/m</w:t>
            </w:r>
            <w:r>
              <w:rPr>
                <w:rFonts w:hint="default"/>
                <w:color w:val="auto"/>
                <w:vertAlign w:val="superscript"/>
              </w:rPr>
              <w:t>3</w:t>
            </w:r>
            <w:r>
              <w:rPr>
                <w:rFonts w:hint="default"/>
                <w:color w:val="auto"/>
              </w:rPr>
              <w:t>，排放速率为0.</w:t>
            </w:r>
            <w:r>
              <w:rPr>
                <w:rFonts w:hint="eastAsia"/>
                <w:color w:val="auto"/>
                <w:lang w:val="en-US" w:eastAsia="zh-CN"/>
              </w:rPr>
              <w:t>01</w:t>
            </w:r>
            <w:r>
              <w:rPr>
                <w:rFonts w:hint="default"/>
                <w:color w:val="auto"/>
              </w:rPr>
              <w:t>kg/h</w:t>
            </w:r>
            <w:r>
              <w:rPr>
                <w:rFonts w:hint="eastAsia"/>
                <w:color w:val="auto"/>
                <w:lang w:eastAsia="zh-CN"/>
              </w:rPr>
              <w:t>，</w:t>
            </w:r>
            <w:r>
              <w:rPr>
                <w:rFonts w:hint="eastAsia"/>
                <w:color w:val="auto"/>
                <w:lang w:val="en-US" w:eastAsia="zh-CN"/>
              </w:rPr>
              <w:t>二氧化硫</w:t>
            </w:r>
            <w:r>
              <w:rPr>
                <w:rFonts w:hint="default"/>
                <w:color w:val="auto"/>
              </w:rPr>
              <w:t>排放浓度为</w:t>
            </w:r>
            <w:r>
              <w:rPr>
                <w:rFonts w:hint="eastAsia"/>
                <w:color w:val="auto"/>
                <w:lang w:val="en-US" w:eastAsia="zh-CN"/>
              </w:rPr>
              <w:t>14.47</w:t>
            </w:r>
            <w:r>
              <w:rPr>
                <w:rFonts w:hint="default"/>
                <w:color w:val="auto"/>
              </w:rPr>
              <w:t>mg/m</w:t>
            </w:r>
            <w:r>
              <w:rPr>
                <w:rFonts w:hint="default"/>
                <w:color w:val="auto"/>
                <w:vertAlign w:val="superscript"/>
              </w:rPr>
              <w:t>3</w:t>
            </w:r>
            <w:r>
              <w:rPr>
                <w:rFonts w:hint="default"/>
                <w:color w:val="auto"/>
              </w:rPr>
              <w:t>，排放速率为0.</w:t>
            </w:r>
            <w:r>
              <w:rPr>
                <w:rFonts w:hint="eastAsia"/>
                <w:color w:val="auto"/>
                <w:lang w:val="en-US" w:eastAsia="zh-CN"/>
              </w:rPr>
              <w:t>007</w:t>
            </w:r>
            <w:r>
              <w:rPr>
                <w:rFonts w:hint="default"/>
                <w:color w:val="auto"/>
              </w:rPr>
              <w:t>kg/h</w:t>
            </w:r>
            <w:r>
              <w:rPr>
                <w:rFonts w:hint="eastAsia"/>
                <w:color w:val="auto"/>
                <w:lang w:eastAsia="zh-CN"/>
              </w:rPr>
              <w:t>，</w:t>
            </w:r>
            <w:r>
              <w:rPr>
                <w:rFonts w:hint="eastAsia"/>
                <w:color w:val="auto"/>
                <w:lang w:val="en-US" w:eastAsia="zh-CN"/>
              </w:rPr>
              <w:t>氮氧化物</w:t>
            </w:r>
            <w:r>
              <w:rPr>
                <w:rFonts w:hint="default"/>
                <w:color w:val="auto"/>
              </w:rPr>
              <w:t>排放浓度为</w:t>
            </w:r>
            <w:r>
              <w:rPr>
                <w:rFonts w:hint="eastAsia"/>
                <w:color w:val="auto"/>
                <w:lang w:val="en-US" w:eastAsia="zh-CN"/>
              </w:rPr>
              <w:t>34.47</w:t>
            </w:r>
            <w:r>
              <w:rPr>
                <w:rFonts w:hint="default"/>
                <w:color w:val="auto"/>
              </w:rPr>
              <w:t>mg/m</w:t>
            </w:r>
            <w:r>
              <w:rPr>
                <w:rFonts w:hint="default"/>
                <w:color w:val="auto"/>
                <w:vertAlign w:val="superscript"/>
              </w:rPr>
              <w:t>3</w:t>
            </w:r>
            <w:r>
              <w:rPr>
                <w:rFonts w:hint="default"/>
                <w:color w:val="auto"/>
              </w:rPr>
              <w:t>，排放速率为0.</w:t>
            </w:r>
            <w:r>
              <w:rPr>
                <w:rFonts w:hint="eastAsia"/>
                <w:color w:val="auto"/>
                <w:lang w:val="en-US" w:eastAsia="zh-CN"/>
              </w:rPr>
              <w:t>017</w:t>
            </w:r>
            <w:r>
              <w:rPr>
                <w:rFonts w:hint="default"/>
                <w:color w:val="auto"/>
              </w:rPr>
              <w:t>kg/h</w:t>
            </w:r>
            <w:r>
              <w:rPr>
                <w:rFonts w:hint="eastAsia"/>
                <w:color w:val="auto"/>
                <w:lang w:eastAsia="zh-CN"/>
              </w:rPr>
              <w:t>。</w:t>
            </w:r>
            <w:r>
              <w:rPr>
                <w:rStyle w:val="67"/>
                <w:rFonts w:hint="default"/>
                <w:color w:val="auto"/>
              </w:rPr>
              <w:t>项目</w:t>
            </w:r>
            <w:r>
              <w:rPr>
                <w:rStyle w:val="67"/>
                <w:rFonts w:hint="eastAsia"/>
                <w:color w:val="auto"/>
                <w:lang w:val="en-US" w:eastAsia="zh-CN"/>
              </w:rPr>
              <w:t>箱式渗碳、淬火回火</w:t>
            </w:r>
            <w:r>
              <w:rPr>
                <w:rStyle w:val="67"/>
                <w:rFonts w:hint="default"/>
                <w:color w:val="auto"/>
                <w:lang w:val="en-US" w:eastAsia="zh-CN"/>
              </w:rPr>
              <w:t>工序</w:t>
            </w:r>
            <w:r>
              <w:rPr>
                <w:rStyle w:val="67"/>
                <w:rFonts w:hint="default"/>
                <w:color w:val="auto"/>
              </w:rPr>
              <w:t>产生的</w:t>
            </w:r>
            <w:r>
              <w:rPr>
                <w:rStyle w:val="67"/>
                <w:rFonts w:hint="default"/>
                <w:color w:val="auto"/>
                <w:lang w:val="en-US" w:eastAsia="zh-CN"/>
              </w:rPr>
              <w:t>颗粒物</w:t>
            </w:r>
            <w:r>
              <w:rPr>
                <w:rStyle w:val="67"/>
                <w:rFonts w:hint="eastAsia"/>
                <w:color w:val="auto"/>
                <w:lang w:val="en-US" w:eastAsia="zh-CN"/>
              </w:rPr>
              <w:t>、非甲烷总烃</w:t>
            </w:r>
            <w:r>
              <w:rPr>
                <w:rStyle w:val="67"/>
                <w:rFonts w:hint="default"/>
                <w:color w:val="auto"/>
              </w:rPr>
              <w:t>排放浓度和速率</w:t>
            </w:r>
            <w:r>
              <w:rPr>
                <w:rStyle w:val="67"/>
                <w:rFonts w:hint="default"/>
                <w:color w:val="auto"/>
                <w:lang w:val="en-US" w:eastAsia="zh-CN"/>
              </w:rPr>
              <w:t>满足</w:t>
            </w:r>
            <w:r>
              <w:rPr>
                <w:rStyle w:val="67"/>
                <w:rFonts w:hint="default"/>
                <w:color w:val="auto"/>
              </w:rPr>
              <w:t>《大气污染物综合排放标准》（GB16297-1996）相关要求</w:t>
            </w:r>
            <w:r>
              <w:rPr>
                <w:rFonts w:hint="default" w:ascii="Times New Roman" w:hAnsi="Times New Roman" w:cs="Times New Roman"/>
                <w:color w:val="auto"/>
                <w:sz w:val="24"/>
                <w:szCs w:val="24"/>
              </w:rPr>
              <w:t>；</w:t>
            </w:r>
            <w:r>
              <w:rPr>
                <w:rFonts w:hint="default" w:ascii="Times New Roman" w:hAnsi="Times New Roman" w:eastAsia="宋体" w:cs="Times New Roman"/>
                <w:b w:val="0"/>
                <w:bCs w:val="0"/>
                <w:color w:val="auto"/>
                <w:sz w:val="24"/>
                <w:szCs w:val="24"/>
                <w:lang w:val="en-US" w:eastAsia="zh-CN"/>
              </w:rPr>
              <w:t>天然气燃烧产生的</w:t>
            </w:r>
            <w:r>
              <w:rPr>
                <w:rFonts w:hint="default" w:ascii="Times New Roman" w:hAnsi="Times New Roman" w:cs="Times New Roman"/>
                <w:b w:val="0"/>
                <w:bCs w:val="0"/>
                <w:color w:val="auto"/>
                <w:sz w:val="24"/>
                <w:szCs w:val="24"/>
              </w:rPr>
              <w:t>颗粒物、二氧化硫</w:t>
            </w:r>
            <w:r>
              <w:rPr>
                <w:rFonts w:hint="default" w:ascii="Times New Roman" w:hAnsi="Times New Roman" w:cs="Times New Roman"/>
                <w:b w:val="0"/>
                <w:bCs w:val="0"/>
                <w:color w:val="auto"/>
                <w:sz w:val="24"/>
                <w:szCs w:val="24"/>
                <w:lang w:val="en-US" w:eastAsia="zh-CN"/>
              </w:rPr>
              <w:t>排放浓度满足</w:t>
            </w:r>
            <w:r>
              <w:rPr>
                <w:rFonts w:hint="default" w:ascii="Times New Roman" w:hAnsi="Times New Roman" w:cs="Times New Roman"/>
                <w:b w:val="0"/>
                <w:bCs w:val="0"/>
                <w:color w:val="auto"/>
                <w:sz w:val="24"/>
                <w:szCs w:val="24"/>
              </w:rPr>
              <w:t>《关于印发&lt;工业炉窑大气污染综合治理方案&gt;的通知》（环大气[2019]56号）中要求</w:t>
            </w:r>
            <w:r>
              <w:rPr>
                <w:rFonts w:hint="default" w:ascii="Times New Roman" w:hAnsi="Times New Roman" w:cs="Times New Roman"/>
                <w:b w:val="0"/>
                <w:bCs w:val="0"/>
                <w:color w:val="auto"/>
                <w:sz w:val="24"/>
                <w:szCs w:val="24"/>
                <w:lang w:eastAsia="zh-CN"/>
              </w:rPr>
              <w:t>（</w:t>
            </w:r>
            <w:r>
              <w:rPr>
                <w:rFonts w:hint="default" w:ascii="Times New Roman" w:hAnsi="Times New Roman" w:cs="Times New Roman"/>
                <w:b w:val="0"/>
                <w:bCs w:val="0"/>
                <w:color w:val="auto"/>
                <w:sz w:val="24"/>
                <w:szCs w:val="24"/>
              </w:rPr>
              <w:t>颗粒物、二氧化硫排放限值分别不高于30、200毫克/立方米</w:t>
            </w:r>
            <w:r>
              <w:rPr>
                <w:rFonts w:hint="default" w:ascii="Times New Roman" w:hAnsi="Times New Roman" w:cs="Times New Roman"/>
                <w:b w:val="0"/>
                <w:bCs w:val="0"/>
                <w:color w:val="auto"/>
                <w:sz w:val="24"/>
                <w:szCs w:val="24"/>
                <w:lang w:eastAsia="zh-CN"/>
              </w:rPr>
              <w:t>），</w:t>
            </w:r>
            <w:r>
              <w:rPr>
                <w:rFonts w:hint="default" w:ascii="Times New Roman" w:hAnsi="Times New Roman" w:cs="Times New Roman"/>
                <w:b w:val="0"/>
                <w:bCs w:val="0"/>
                <w:color w:val="auto"/>
                <w:sz w:val="24"/>
                <w:szCs w:val="24"/>
                <w:lang w:val="en-US" w:eastAsia="zh-CN"/>
              </w:rPr>
              <w:t>氮氧化物排放浓度满足</w:t>
            </w:r>
            <w:r>
              <w:rPr>
                <w:rFonts w:hint="default" w:ascii="Times New Roman" w:hAnsi="Times New Roman" w:cs="Times New Roman"/>
                <w:b w:val="0"/>
                <w:bCs w:val="0"/>
                <w:color w:val="auto"/>
                <w:sz w:val="24"/>
                <w:szCs w:val="24"/>
              </w:rPr>
              <w:t>《关于印发&lt;淮南</w:t>
            </w:r>
            <w:r>
              <w:rPr>
                <w:rFonts w:hint="eastAsia" w:ascii="宋体" w:hAnsi="宋体" w:eastAsia="宋体" w:cs="宋体"/>
                <w:b w:val="0"/>
                <w:bCs w:val="0"/>
                <w:color w:val="auto"/>
                <w:sz w:val="24"/>
                <w:szCs w:val="24"/>
              </w:rPr>
              <w:t>市</w:t>
            </w:r>
            <w:r>
              <w:rPr>
                <w:rFonts w:hint="eastAsia" w:ascii="宋体" w:hAnsi="宋体" w:eastAsia="宋体" w:cs="宋体"/>
                <w:b w:val="0"/>
                <w:bCs w:val="0"/>
                <w:color w:val="auto"/>
                <w:sz w:val="24"/>
                <w:szCs w:val="24"/>
                <w:lang w:val="en-US" w:eastAsia="zh-CN"/>
              </w:rPr>
              <w:t>“十四五”大气污染防</w:t>
            </w:r>
            <w:r>
              <w:rPr>
                <w:rFonts w:hint="default" w:ascii="Times New Roman" w:hAnsi="Times New Roman" w:eastAsia="宋体" w:cs="Times New Roman"/>
                <w:b w:val="0"/>
                <w:bCs w:val="0"/>
                <w:color w:val="auto"/>
                <w:sz w:val="24"/>
                <w:szCs w:val="24"/>
                <w:lang w:val="en-US" w:eastAsia="zh-CN"/>
              </w:rPr>
              <w:t>治规划&gt;的通知</w:t>
            </w:r>
            <w:r>
              <w:rPr>
                <w:rFonts w:hint="default" w:ascii="Times New Roman" w:hAnsi="Times New Roman" w:cs="Times New Roman"/>
                <w:b w:val="0"/>
                <w:bCs w:val="0"/>
                <w:color w:val="auto"/>
                <w:sz w:val="24"/>
                <w:szCs w:val="24"/>
              </w:rPr>
              <w:t>》（淮环委办〔2022〕</w:t>
            </w:r>
            <w:r>
              <w:rPr>
                <w:rFonts w:hint="default" w:ascii="Times New Roman" w:hAnsi="Times New Roman" w:cs="Times New Roman"/>
                <w:b w:val="0"/>
                <w:bCs w:val="0"/>
                <w:color w:val="auto"/>
                <w:sz w:val="24"/>
                <w:szCs w:val="24"/>
                <w:lang w:val="en-US" w:eastAsia="zh-CN"/>
              </w:rPr>
              <w:t>4</w:t>
            </w:r>
            <w:r>
              <w:rPr>
                <w:rFonts w:hint="default" w:ascii="Times New Roman" w:hAnsi="Times New Roman" w:cs="Times New Roman"/>
                <w:b w:val="0"/>
                <w:bCs w:val="0"/>
                <w:color w:val="auto"/>
                <w:sz w:val="24"/>
                <w:szCs w:val="24"/>
              </w:rPr>
              <w:t>9号）中要求</w:t>
            </w:r>
            <w:r>
              <w:rPr>
                <w:rFonts w:hint="default" w:ascii="Times New Roman" w:hAnsi="Times New Roman" w:cs="Times New Roman"/>
                <w:b w:val="0"/>
                <w:bCs w:val="0"/>
                <w:color w:val="auto"/>
                <w:sz w:val="24"/>
                <w:szCs w:val="24"/>
                <w:lang w:eastAsia="zh-CN"/>
              </w:rPr>
              <w:t>（</w:t>
            </w:r>
            <w:r>
              <w:rPr>
                <w:rFonts w:hint="default" w:ascii="Times New Roman" w:hAnsi="Times New Roman" w:cs="Times New Roman"/>
                <w:b w:val="0"/>
                <w:bCs w:val="0"/>
                <w:color w:val="auto"/>
                <w:sz w:val="24"/>
                <w:szCs w:val="24"/>
              </w:rPr>
              <w:t>氮氧化物排放限值分别不高于</w:t>
            </w:r>
            <w:r>
              <w:rPr>
                <w:rFonts w:hint="default" w:ascii="Times New Roman" w:hAnsi="Times New Roman" w:cs="Times New Roman"/>
                <w:b w:val="0"/>
                <w:bCs w:val="0"/>
                <w:color w:val="auto"/>
                <w:sz w:val="24"/>
                <w:szCs w:val="24"/>
                <w:lang w:val="en-US" w:eastAsia="zh-CN"/>
              </w:rPr>
              <w:t>5</w:t>
            </w:r>
            <w:r>
              <w:rPr>
                <w:rFonts w:hint="default" w:ascii="Times New Roman" w:hAnsi="Times New Roman" w:cs="Times New Roman"/>
                <w:b w:val="0"/>
                <w:bCs w:val="0"/>
                <w:color w:val="auto"/>
                <w:sz w:val="24"/>
                <w:szCs w:val="24"/>
              </w:rPr>
              <w:t>0毫克/立方米</w:t>
            </w:r>
            <w:r>
              <w:rPr>
                <w:rFonts w:hint="default" w:ascii="Times New Roman" w:hAnsi="Times New Roman" w:cs="Times New Roman"/>
                <w:b w:val="0"/>
                <w:bCs w:val="0"/>
                <w:color w:val="auto"/>
                <w:sz w:val="24"/>
                <w:szCs w:val="24"/>
                <w:lang w:eastAsia="zh-CN"/>
              </w:rPr>
              <w:t>）。</w:t>
            </w:r>
          </w:p>
          <w:p w14:paraId="35CC2A83">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440" w:lineRule="exact"/>
              <w:ind w:left="0" w:right="0" w:firstLine="480"/>
              <w:textAlignment w:val="auto"/>
              <w:rPr>
                <w:rFonts w:hint="default" w:ascii="Times New Roman" w:hAnsi="Times New Roman" w:eastAsia="Times New Roman" w:cs="Times New Roman"/>
                <w:color w:val="auto"/>
                <w:sz w:val="24"/>
              </w:rPr>
            </w:pPr>
            <w:r>
              <w:rPr>
                <w:rFonts w:hint="default" w:ascii="Times New Roman" w:hAnsi="Times New Roman" w:eastAsia="Times New Roman" w:cs="Times New Roman"/>
                <w:color w:val="auto"/>
                <w:sz w:val="24"/>
              </w:rPr>
              <w:t>综上所述，本项目废气在采取各种环保措施后，均能够做到达标排放，对环境影响较小。</w:t>
            </w:r>
          </w:p>
          <w:p w14:paraId="6243243C">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440" w:lineRule="exact"/>
              <w:ind w:left="0" w:right="0" w:firstLine="480"/>
              <w:textAlignment w:val="auto"/>
              <w:rPr>
                <w:rFonts w:hint="default" w:ascii="Times New Roman" w:hAnsi="Times New Roman" w:eastAsia="宋体" w:cs="Times New Roman"/>
                <w:b/>
                <w:color w:val="auto"/>
                <w:sz w:val="24"/>
                <w:lang w:val="en-US" w:eastAsia="zh-CN"/>
              </w:rPr>
            </w:pPr>
          </w:p>
          <w:p w14:paraId="0A7CE56A">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440" w:lineRule="exact"/>
              <w:ind w:left="0" w:right="0" w:firstLine="480"/>
              <w:textAlignment w:val="auto"/>
              <w:rPr>
                <w:rFonts w:hint="default" w:ascii="Times New Roman" w:hAnsi="Times New Roman" w:eastAsia="宋体" w:cs="Times New Roman"/>
                <w:b/>
                <w:color w:val="auto"/>
                <w:sz w:val="24"/>
                <w:lang w:val="en-US" w:eastAsia="zh-CN"/>
              </w:rPr>
            </w:pPr>
          </w:p>
          <w:p w14:paraId="205722B9">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440" w:lineRule="exact"/>
              <w:ind w:left="0" w:right="0" w:firstLine="480"/>
              <w:textAlignment w:val="auto"/>
              <w:rPr>
                <w:rFonts w:hint="default" w:ascii="Times New Roman" w:hAnsi="Times New Roman" w:eastAsia="宋体" w:cs="Times New Roman"/>
                <w:b/>
                <w:color w:val="auto"/>
                <w:sz w:val="24"/>
                <w:lang w:val="en-US" w:eastAsia="zh-CN"/>
              </w:rPr>
            </w:pPr>
          </w:p>
          <w:p w14:paraId="0DCB8517">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440" w:lineRule="exact"/>
              <w:ind w:left="0" w:right="0" w:firstLine="480"/>
              <w:textAlignment w:val="auto"/>
              <w:rPr>
                <w:rFonts w:hint="default" w:ascii="Times New Roman" w:hAnsi="Times New Roman" w:eastAsia="宋体" w:cs="Times New Roman"/>
                <w:b/>
                <w:color w:val="auto"/>
                <w:sz w:val="24"/>
                <w:lang w:val="en-US" w:eastAsia="zh-CN"/>
              </w:rPr>
            </w:pPr>
          </w:p>
          <w:p w14:paraId="3B4F6CEC">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440" w:lineRule="exact"/>
              <w:ind w:left="0" w:right="0" w:firstLine="480"/>
              <w:textAlignment w:val="auto"/>
              <w:rPr>
                <w:rFonts w:hint="default" w:ascii="Times New Roman" w:hAnsi="Times New Roman" w:eastAsia="宋体" w:cs="Times New Roman"/>
                <w:b/>
                <w:color w:val="auto"/>
                <w:sz w:val="24"/>
                <w:lang w:val="en-US" w:eastAsia="zh-CN"/>
              </w:rPr>
            </w:pPr>
            <w:r>
              <w:rPr>
                <w:rFonts w:hint="default" w:ascii="Times New Roman" w:hAnsi="Times New Roman" w:eastAsia="宋体" w:cs="Times New Roman"/>
                <w:b/>
                <w:color w:val="auto"/>
                <w:sz w:val="24"/>
                <w:lang w:val="en-US" w:eastAsia="zh-CN"/>
              </w:rPr>
              <w:t>2、废水</w:t>
            </w:r>
          </w:p>
          <w:p w14:paraId="5B8F4F28">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bCs/>
                <w:color w:val="auto"/>
                <w:sz w:val="24"/>
                <w:lang w:val="en-US" w:eastAsia="zh-CN"/>
              </w:rPr>
            </w:pPr>
            <w:r>
              <w:rPr>
                <w:rFonts w:hint="default" w:ascii="Times New Roman" w:hAnsi="Times New Roman" w:eastAsia="Times New Roman" w:cs="Times New Roman"/>
                <w:b/>
                <w:bCs/>
                <w:color w:val="auto"/>
                <w:sz w:val="24"/>
              </w:rPr>
              <w:t>2.1 废水</w:t>
            </w:r>
            <w:r>
              <w:rPr>
                <w:rFonts w:hint="default" w:ascii="Times New Roman" w:hAnsi="Times New Roman" w:eastAsia="Times New Roman" w:cs="Times New Roman"/>
                <w:b/>
                <w:bCs/>
                <w:color w:val="auto"/>
                <w:sz w:val="24"/>
                <w:lang w:val="en-US" w:eastAsia="zh-CN"/>
              </w:rPr>
              <w:t>源强</w:t>
            </w:r>
          </w:p>
          <w:p w14:paraId="3B148AAB">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color w:val="auto"/>
                <w:sz w:val="24"/>
                <w:szCs w:val="24"/>
              </w:rPr>
            </w:pPr>
            <w:r>
              <w:rPr>
                <w:rFonts w:hint="default" w:ascii="Times New Roman" w:hAnsi="Times New Roman" w:eastAsia="Times New Roman" w:cs="Times New Roman"/>
                <w:color w:val="auto"/>
                <w:sz w:val="24"/>
                <w:szCs w:val="24"/>
                <w:lang w:val="en-US" w:eastAsia="zh-CN"/>
              </w:rPr>
              <w:t>根据前文分析得知，</w:t>
            </w:r>
            <w:r>
              <w:rPr>
                <w:rFonts w:hint="default" w:ascii="Times New Roman" w:hAnsi="Times New Roman" w:eastAsia="Times New Roman" w:cs="Times New Roman"/>
                <w:color w:val="auto"/>
                <w:sz w:val="24"/>
                <w:szCs w:val="24"/>
              </w:rPr>
              <w:t>本项目主要废水为</w:t>
            </w:r>
            <w:r>
              <w:rPr>
                <w:rFonts w:hint="default" w:ascii="Times New Roman" w:hAnsi="Times New Roman" w:eastAsia="宋体" w:cs="Times New Roman"/>
                <w:color w:val="auto"/>
                <w:sz w:val="24"/>
                <w:szCs w:val="24"/>
              </w:rPr>
              <w:t>生活污水</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b w:val="0"/>
                <w:bCs w:val="0"/>
                <w:color w:val="auto"/>
                <w:sz w:val="24"/>
                <w:szCs w:val="24"/>
                <w:lang w:val="en-US" w:eastAsia="zh-CN"/>
              </w:rPr>
              <w:t>排放量为</w:t>
            </w:r>
            <w:r>
              <w:rPr>
                <w:rFonts w:hint="eastAsia" w:ascii="Times New Roman" w:hAnsi="Times New Roman" w:cs="Times New Roman"/>
                <w:b w:val="0"/>
                <w:bCs w:val="0"/>
                <w:color w:val="auto"/>
                <w:sz w:val="24"/>
                <w:szCs w:val="24"/>
                <w:lang w:val="en-US" w:eastAsia="zh-CN"/>
              </w:rPr>
              <w:t>24</w:t>
            </w:r>
            <w:r>
              <w:rPr>
                <w:rFonts w:hint="eastAsia" w:ascii="Times New Roman" w:hAnsi="Times New Roman" w:eastAsia="宋体" w:cs="Times New Roman"/>
                <w:b w:val="0"/>
                <w:bCs w:val="0"/>
                <w:color w:val="auto"/>
                <w:sz w:val="24"/>
                <w:szCs w:val="24"/>
                <w:lang w:val="en-US" w:eastAsia="zh-CN"/>
              </w:rPr>
              <w:t>0</w:t>
            </w:r>
            <w:r>
              <w:rPr>
                <w:rFonts w:hint="default" w:ascii="Times New Roman" w:hAnsi="Times New Roman" w:eastAsia="宋体" w:cs="Times New Roman"/>
                <w:b w:val="0"/>
                <w:bCs w:val="0"/>
                <w:color w:val="auto"/>
                <w:sz w:val="24"/>
                <w:szCs w:val="24"/>
                <w:lang w:val="en-US" w:eastAsia="zh-CN"/>
              </w:rPr>
              <w:t>m³/a（</w:t>
            </w:r>
            <w:r>
              <w:rPr>
                <w:rFonts w:hint="eastAsia" w:ascii="Times New Roman" w:hAnsi="Times New Roman" w:cs="Times New Roman"/>
                <w:b w:val="0"/>
                <w:bCs w:val="0"/>
                <w:color w:val="auto"/>
                <w:sz w:val="24"/>
                <w:szCs w:val="24"/>
                <w:lang w:val="en-US" w:eastAsia="zh-CN"/>
              </w:rPr>
              <w:t>0.8</w:t>
            </w:r>
            <w:r>
              <w:rPr>
                <w:rFonts w:hint="default" w:ascii="Times New Roman" w:hAnsi="Times New Roman" w:eastAsia="宋体" w:cs="Times New Roman"/>
                <w:b w:val="0"/>
                <w:bCs w:val="0"/>
                <w:color w:val="auto"/>
                <w:sz w:val="24"/>
                <w:szCs w:val="24"/>
                <w:lang w:val="en-US" w:eastAsia="zh-CN"/>
              </w:rPr>
              <w:t>m³/d）。</w:t>
            </w:r>
            <w:r>
              <w:rPr>
                <w:rFonts w:hint="default" w:ascii="Times New Roman" w:hAnsi="Times New Roman" w:eastAsia="宋体" w:cs="Times New Roman"/>
                <w:b w:val="0"/>
                <w:bCs/>
                <w:color w:val="auto"/>
                <w:sz w:val="24"/>
                <w:szCs w:val="24"/>
              </w:rPr>
              <w:t>生活污水经厂区内化粪池收集预处理后通过污水管网进入市政污水管网排至</w:t>
            </w:r>
            <w:r>
              <w:rPr>
                <w:rFonts w:hint="default" w:ascii="Times New Roman" w:hAnsi="Times New Roman"/>
                <w:color w:val="auto"/>
                <w:sz w:val="24"/>
                <w:szCs w:val="24"/>
                <w:lang w:eastAsia="zh-CN"/>
              </w:rPr>
              <w:t>淮南经济技术开发区工业污水处理厂</w:t>
            </w:r>
            <w:r>
              <w:rPr>
                <w:rFonts w:hint="default" w:ascii="Times New Roman" w:hAnsi="Times New Roman" w:eastAsia="宋体" w:cs="Times New Roman"/>
                <w:b w:val="0"/>
                <w:bCs/>
                <w:color w:val="auto"/>
                <w:sz w:val="24"/>
                <w:szCs w:val="24"/>
              </w:rPr>
              <w:t>处理。生活污水各污染物浓度参考《排放源统计调查产排污核算方法和系数手册》中</w:t>
            </w:r>
            <w:r>
              <w:rPr>
                <w:rFonts w:hint="eastAsia" w:ascii="宋体" w:hAnsi="宋体" w:eastAsia="宋体" w:cs="宋体"/>
                <w:b w:val="0"/>
                <w:bCs/>
                <w:color w:val="auto"/>
                <w:sz w:val="24"/>
                <w:szCs w:val="24"/>
              </w:rPr>
              <w:t>“生活污染源产排污系数手册-四区”</w:t>
            </w:r>
            <w:r>
              <w:rPr>
                <w:rFonts w:hint="default" w:ascii="Times New Roman" w:hAnsi="Times New Roman" w:eastAsia="宋体" w:cs="Times New Roman"/>
                <w:b w:val="0"/>
                <w:bCs/>
                <w:color w:val="auto"/>
                <w:sz w:val="24"/>
                <w:szCs w:val="24"/>
              </w:rPr>
              <w:t>生活源水污染物产生系数，其中COD 340mg/L，</w:t>
            </w:r>
            <w:bookmarkStart w:id="22" w:name="_GoBack"/>
            <w:bookmarkEnd w:id="22"/>
            <w:r>
              <w:rPr>
                <w:rFonts w:hint="eastAsia" w:ascii="Times New Roman" w:cs="Times New Roman"/>
                <w:b w:val="0"/>
                <w:bCs/>
                <w:color w:val="auto"/>
                <w:sz w:val="24"/>
                <w:szCs w:val="24"/>
                <w:lang w:val="en-US" w:eastAsia="zh-CN"/>
              </w:rPr>
              <w:t>氨氮</w:t>
            </w:r>
            <w:r>
              <w:rPr>
                <w:rFonts w:hint="default" w:ascii="Times New Roman" w:hAnsi="Times New Roman" w:eastAsia="宋体" w:cs="Times New Roman"/>
                <w:b w:val="0"/>
                <w:bCs/>
                <w:color w:val="auto"/>
                <w:sz w:val="24"/>
                <w:szCs w:val="24"/>
              </w:rPr>
              <w:t>32.6mg/L，总氮44.8 mg/L、总磷4.27mg/L。BOD</w:t>
            </w:r>
            <w:r>
              <w:rPr>
                <w:rFonts w:hint="eastAsia" w:ascii="Times New Roman" w:hAnsi="Times New Roman" w:cs="Times New Roman"/>
                <w:b w:val="0"/>
                <w:bCs/>
                <w:color w:val="auto"/>
                <w:sz w:val="24"/>
                <w:szCs w:val="24"/>
                <w:vertAlign w:val="subscript"/>
                <w:lang w:val="en-US" w:eastAsia="zh-CN"/>
              </w:rPr>
              <w:t>5</w:t>
            </w:r>
            <w:r>
              <w:rPr>
                <w:rFonts w:hint="default" w:ascii="Times New Roman" w:hAnsi="Times New Roman" w:eastAsia="宋体" w:cs="Times New Roman"/>
                <w:b w:val="0"/>
                <w:bCs/>
                <w:color w:val="auto"/>
                <w:sz w:val="24"/>
                <w:szCs w:val="24"/>
              </w:rPr>
              <w:t>、SS在系数中未给出，本次评价以</w:t>
            </w:r>
            <w:r>
              <w:rPr>
                <w:rFonts w:hint="eastAsia" w:ascii="Times New Roman" w:hAnsi="Times New Roman" w:cs="Times New Roman"/>
                <w:b w:val="0"/>
                <w:bCs/>
                <w:color w:val="auto"/>
                <w:sz w:val="24"/>
                <w:szCs w:val="24"/>
                <w:lang w:val="en-US" w:eastAsia="zh-CN"/>
              </w:rPr>
              <w:t>60</w:t>
            </w:r>
            <w:r>
              <w:rPr>
                <w:rFonts w:hint="default" w:ascii="Times New Roman" w:hAnsi="Times New Roman" w:eastAsia="宋体" w:cs="Times New Roman"/>
                <w:b w:val="0"/>
                <w:bCs/>
                <w:color w:val="auto"/>
                <w:sz w:val="24"/>
                <w:szCs w:val="24"/>
              </w:rPr>
              <w:t>mg/L，</w:t>
            </w:r>
            <w:r>
              <w:rPr>
                <w:rFonts w:hint="eastAsia" w:ascii="Times New Roman" w:hAnsi="Times New Roman" w:cs="Times New Roman"/>
                <w:b w:val="0"/>
                <w:bCs/>
                <w:color w:val="auto"/>
                <w:sz w:val="24"/>
                <w:szCs w:val="24"/>
                <w:lang w:val="en-US" w:eastAsia="zh-CN"/>
              </w:rPr>
              <w:t>14</w:t>
            </w:r>
            <w:r>
              <w:rPr>
                <w:rFonts w:hint="default" w:ascii="Times New Roman" w:hAnsi="Times New Roman" w:eastAsia="宋体" w:cs="Times New Roman"/>
                <w:b w:val="0"/>
                <w:bCs/>
                <w:color w:val="auto"/>
                <w:sz w:val="24"/>
                <w:szCs w:val="24"/>
              </w:rPr>
              <w:t>0mg/L计。</w:t>
            </w:r>
          </w:p>
          <w:p w14:paraId="56D4B541">
            <w:pPr>
              <w:pStyle w:val="68"/>
              <w:keepNext w:val="0"/>
              <w:keepLines w:val="0"/>
              <w:suppressLineNumbers w:val="0"/>
              <w:spacing w:before="0" w:beforeAutospacing="0" w:after="0" w:afterAutospacing="0" w:line="440" w:lineRule="exact"/>
              <w:ind w:left="0" w:right="0" w:firstLine="482" w:firstLineChars="200"/>
              <w:rPr>
                <w:rFonts w:hint="default" w:ascii="Times New Roman" w:hAnsi="Times New Roman" w:eastAsia="宋体" w:cs="Times New Roman"/>
                <w:b/>
                <w:bCs w:val="0"/>
                <w:color w:val="auto"/>
              </w:rPr>
            </w:pPr>
            <w:r>
              <w:rPr>
                <w:rFonts w:hint="default" w:ascii="Times New Roman" w:hAnsi="Times New Roman" w:eastAsia="宋体" w:cs="Times New Roman"/>
                <w:b/>
                <w:bCs w:val="0"/>
                <w:color w:val="auto"/>
              </w:rPr>
              <w:t>2.2废水产排情况</w:t>
            </w:r>
          </w:p>
          <w:p w14:paraId="661029C2">
            <w:pPr>
              <w:pStyle w:val="62"/>
              <w:keepNext w:val="0"/>
              <w:keepLines w:val="0"/>
              <w:suppressLineNumbers w:val="0"/>
              <w:spacing w:before="0" w:beforeAutospacing="0" w:after="0" w:afterAutospacing="0"/>
              <w:ind w:left="0" w:right="0" w:firstLine="480"/>
              <w:rPr>
                <w:rFonts w:hint="default"/>
              </w:rPr>
            </w:pPr>
            <w:r>
              <w:rPr>
                <w:rFonts w:hint="default" w:ascii="Times New Roman" w:hAnsi="Times New Roman" w:eastAsia="宋体" w:cs="Times New Roman"/>
                <w:color w:val="auto"/>
              </w:rPr>
              <w:t>项目废水污染物产生及排放情况见下表：</w:t>
            </w:r>
          </w:p>
        </w:tc>
      </w:tr>
    </w:tbl>
    <w:p w14:paraId="08B0089F">
      <w:pPr>
        <w:pStyle w:val="46"/>
        <w:spacing w:before="120" w:beforeLines="50" w:beforeAutospacing="0" w:after="0" w:afterAutospacing="0" w:line="360" w:lineRule="auto"/>
        <w:jc w:val="both"/>
        <w:outlineLvl w:val="0"/>
        <w:rPr>
          <w:rFonts w:hint="default" w:ascii="Times New Roman" w:hAnsi="Times New Roman" w:eastAsia="宋体" w:cs="Times New Roman"/>
          <w:snapToGrid w:val="0"/>
          <w:color w:val="0000FF"/>
          <w:sz w:val="30"/>
          <w:szCs w:val="30"/>
        </w:rPr>
        <w:sectPr>
          <w:pgSz w:w="11907" w:h="16840"/>
          <w:pgMar w:top="1440" w:right="1440" w:bottom="1389" w:left="1440" w:header="851" w:footer="851" w:gutter="0"/>
          <w:pgBorders>
            <w:top w:val="none" w:sz="0" w:space="0"/>
            <w:left w:val="none" w:sz="0" w:space="0"/>
            <w:bottom w:val="none" w:sz="0" w:space="0"/>
            <w:right w:val="none" w:sz="0" w:space="0"/>
          </w:pgBorders>
          <w:pgNumType w:fmt="numberInDash"/>
          <w:cols w:space="720" w:num="1"/>
          <w:docGrid w:linePitch="312" w:charSpace="0"/>
        </w:sectPr>
      </w:pPr>
    </w:p>
    <w:tbl>
      <w:tblPr>
        <w:tblStyle w:val="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3521"/>
      </w:tblGrid>
      <w:tr w14:paraId="6BA51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7" w:hRule="atLeast"/>
        </w:trPr>
        <w:tc>
          <w:tcPr>
            <w:tcW w:w="706" w:type="dxa"/>
            <w:tcBorders>
              <w:top w:val="single" w:color="auto" w:sz="4" w:space="0"/>
              <w:left w:val="single" w:color="auto" w:sz="4" w:space="0"/>
              <w:bottom w:val="single" w:color="auto" w:sz="4" w:space="0"/>
              <w:right w:val="single" w:color="auto" w:sz="4" w:space="0"/>
            </w:tcBorders>
            <w:noWrap w:val="0"/>
            <w:vAlign w:val="top"/>
          </w:tcPr>
          <w:p w14:paraId="3E495F6D">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5004E57B">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6F038292">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0253EF55">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768E2418">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0C0DD7D7">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rPr>
            </w:pPr>
          </w:p>
          <w:p w14:paraId="4503E92C">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rPr>
            </w:pPr>
          </w:p>
          <w:p w14:paraId="2FEFC88C">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rPr>
            </w:pPr>
          </w:p>
          <w:p w14:paraId="1A77232E">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rPr>
            </w:pPr>
          </w:p>
          <w:p w14:paraId="5103DB6D">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运营</w:t>
            </w:r>
          </w:p>
          <w:p w14:paraId="75200E6B">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期环</w:t>
            </w:r>
          </w:p>
          <w:p w14:paraId="57628250">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境影</w:t>
            </w:r>
          </w:p>
          <w:p w14:paraId="48A6D0F5">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响和</w:t>
            </w:r>
          </w:p>
          <w:p w14:paraId="5CA91B1F">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保护</w:t>
            </w:r>
          </w:p>
          <w:p w14:paraId="105FD045">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措施</w:t>
            </w:r>
          </w:p>
          <w:p w14:paraId="60E7FE8F">
            <w:pPr>
              <w:pStyle w:val="2"/>
              <w:keepNext w:val="0"/>
              <w:keepLines w:val="0"/>
              <w:suppressLineNumbers w:val="0"/>
              <w:spacing w:beforeAutospacing="0" w:afterAutospacing="0"/>
              <w:ind w:left="0"/>
              <w:rPr>
                <w:rFonts w:hint="default" w:ascii="Times New Roman" w:hAnsi="Times New Roman" w:eastAsia="宋体" w:cs="Times New Roman"/>
                <w:color w:val="auto"/>
                <w:sz w:val="24"/>
              </w:rPr>
            </w:pPr>
          </w:p>
          <w:p w14:paraId="07039887">
            <w:pPr>
              <w:pStyle w:val="2"/>
              <w:keepNext w:val="0"/>
              <w:keepLines w:val="0"/>
              <w:suppressLineNumbers w:val="0"/>
              <w:spacing w:beforeAutospacing="0" w:afterAutospacing="0"/>
              <w:ind w:left="0"/>
              <w:rPr>
                <w:rFonts w:hint="default" w:ascii="Times New Roman" w:hAnsi="Times New Roman" w:eastAsia="宋体" w:cs="Times New Roman"/>
                <w:color w:val="auto"/>
                <w:sz w:val="24"/>
              </w:rPr>
            </w:pPr>
          </w:p>
          <w:p w14:paraId="74D49D39">
            <w:pPr>
              <w:pStyle w:val="2"/>
              <w:keepNext w:val="0"/>
              <w:keepLines w:val="0"/>
              <w:suppressLineNumbers w:val="0"/>
              <w:spacing w:beforeAutospacing="0" w:afterAutospacing="0"/>
              <w:ind w:left="0"/>
              <w:rPr>
                <w:rFonts w:hint="default" w:ascii="Times New Roman" w:hAnsi="Times New Roman" w:eastAsia="宋体" w:cs="Times New Roman"/>
                <w:color w:val="auto"/>
                <w:sz w:val="24"/>
              </w:rPr>
            </w:pPr>
          </w:p>
          <w:p w14:paraId="24A235FE">
            <w:pPr>
              <w:pStyle w:val="2"/>
              <w:keepNext w:val="0"/>
              <w:keepLines w:val="0"/>
              <w:suppressLineNumbers w:val="0"/>
              <w:spacing w:beforeAutospacing="0" w:afterAutospacing="0"/>
              <w:ind w:left="0"/>
              <w:rPr>
                <w:rFonts w:hint="default" w:ascii="Times New Roman" w:hAnsi="Times New Roman" w:eastAsia="宋体" w:cs="Times New Roman"/>
                <w:color w:val="auto"/>
                <w:sz w:val="24"/>
              </w:rPr>
            </w:pPr>
          </w:p>
          <w:p w14:paraId="32B372FD">
            <w:pPr>
              <w:pStyle w:val="2"/>
              <w:keepNext w:val="0"/>
              <w:keepLines w:val="0"/>
              <w:suppressLineNumbers w:val="0"/>
              <w:spacing w:beforeAutospacing="0" w:afterAutospacing="0"/>
              <w:ind w:left="0"/>
              <w:rPr>
                <w:rFonts w:hint="default" w:ascii="Times New Roman" w:hAnsi="Times New Roman" w:eastAsia="宋体" w:cs="Times New Roman"/>
                <w:color w:val="auto"/>
                <w:sz w:val="24"/>
              </w:rPr>
            </w:pPr>
          </w:p>
          <w:p w14:paraId="1CC693FB">
            <w:pPr>
              <w:pStyle w:val="2"/>
              <w:keepNext w:val="0"/>
              <w:keepLines w:val="0"/>
              <w:suppressLineNumbers w:val="0"/>
              <w:spacing w:beforeAutospacing="0" w:afterAutospacing="0"/>
              <w:ind w:left="0"/>
              <w:rPr>
                <w:rFonts w:hint="default" w:ascii="Times New Roman" w:hAnsi="Times New Roman" w:eastAsia="宋体" w:cs="Times New Roman"/>
                <w:color w:val="auto"/>
                <w:sz w:val="24"/>
              </w:rPr>
            </w:pPr>
          </w:p>
          <w:p w14:paraId="64B9A4BC">
            <w:pPr>
              <w:pStyle w:val="46"/>
              <w:keepNext w:val="0"/>
              <w:keepLines w:val="0"/>
              <w:suppressLineNumbers w:val="0"/>
              <w:spacing w:before="120" w:beforeLines="50" w:beforeAutospacing="0" w:after="0" w:afterAutospacing="0" w:line="360" w:lineRule="auto"/>
              <w:ind w:left="0" w:right="0"/>
              <w:jc w:val="both"/>
              <w:outlineLvl w:val="0"/>
              <w:rPr>
                <w:rFonts w:hint="default" w:ascii="Times New Roman" w:hAnsi="Times New Roman" w:eastAsia="宋体" w:cs="Times New Roman"/>
                <w:color w:val="auto"/>
                <w:sz w:val="30"/>
                <w:szCs w:val="30"/>
              </w:rPr>
            </w:pPr>
          </w:p>
        </w:tc>
        <w:tc>
          <w:tcPr>
            <w:tcW w:w="13521" w:type="dxa"/>
            <w:tcBorders>
              <w:top w:val="single" w:color="auto" w:sz="4" w:space="0"/>
              <w:left w:val="single" w:color="auto" w:sz="4" w:space="0"/>
              <w:bottom w:val="single" w:color="auto" w:sz="4" w:space="0"/>
              <w:right w:val="single" w:color="auto" w:sz="4" w:space="0"/>
            </w:tcBorders>
            <w:noWrap w:val="0"/>
            <w:vAlign w:val="top"/>
          </w:tcPr>
          <w:p w14:paraId="7B33089A">
            <w:pPr>
              <w:pStyle w:val="63"/>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表4-</w:t>
            </w:r>
            <w:r>
              <w:rPr>
                <w:rFonts w:hint="eastAsia" w:cs="Times New Roman"/>
                <w:color w:val="auto"/>
                <w:sz w:val="21"/>
                <w:szCs w:val="21"/>
                <w:lang w:val="en-US" w:eastAsia="zh-CN"/>
              </w:rPr>
              <w:t>11</w:t>
            </w:r>
            <w:r>
              <w:rPr>
                <w:rFonts w:hint="default" w:ascii="Times New Roman" w:hAnsi="Times New Roman" w:eastAsia="宋体" w:cs="Times New Roman"/>
                <w:color w:val="auto"/>
                <w:sz w:val="21"/>
                <w:szCs w:val="21"/>
              </w:rPr>
              <w:t xml:space="preserve">  项目废水产生及排放一览表</w:t>
            </w:r>
          </w:p>
          <w:tbl>
            <w:tblPr>
              <w:tblStyle w:val="52"/>
              <w:tblW w:w="4993"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91"/>
              <w:gridCol w:w="1095"/>
              <w:gridCol w:w="1297"/>
              <w:gridCol w:w="1167"/>
              <w:gridCol w:w="1050"/>
              <w:gridCol w:w="1499"/>
              <w:gridCol w:w="909"/>
              <w:gridCol w:w="1278"/>
              <w:gridCol w:w="1260"/>
              <w:gridCol w:w="1317"/>
              <w:gridCol w:w="1516"/>
            </w:tblGrid>
            <w:tr w14:paraId="1F1E30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35" w:type="pct"/>
                  <w:vMerge w:val="restart"/>
                  <w:noWrap w:val="0"/>
                  <w:vAlign w:val="center"/>
                </w:tcPr>
                <w:p w14:paraId="146FAFAE">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污染源</w:t>
                  </w:r>
                </w:p>
              </w:tc>
              <w:tc>
                <w:tcPr>
                  <w:tcW w:w="412" w:type="pct"/>
                  <w:vMerge w:val="restart"/>
                  <w:noWrap w:val="0"/>
                  <w:vAlign w:val="center"/>
                </w:tcPr>
                <w:p w14:paraId="667BF2D6">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污染物</w:t>
                  </w:r>
                </w:p>
              </w:tc>
              <w:tc>
                <w:tcPr>
                  <w:tcW w:w="488" w:type="pct"/>
                  <w:vMerge w:val="restart"/>
                  <w:tcBorders>
                    <w:right w:val="single" w:color="auto" w:sz="4" w:space="0"/>
                  </w:tcBorders>
                  <w:noWrap w:val="0"/>
                  <w:vAlign w:val="center"/>
                </w:tcPr>
                <w:p w14:paraId="0B8734E5">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Times New Roman" w:cs="Times New Roman"/>
                      <w:b/>
                      <w:bCs/>
                      <w:color w:val="auto"/>
                      <w:sz w:val="21"/>
                      <w:szCs w:val="21"/>
                    </w:rPr>
                    <w:t>废水排放量m</w:t>
                  </w:r>
                  <w:r>
                    <w:rPr>
                      <w:rFonts w:hint="default" w:ascii="Times New Roman" w:hAnsi="Times New Roman" w:eastAsia="Times New Roman" w:cs="Times New Roman"/>
                      <w:b/>
                      <w:bCs/>
                      <w:color w:val="auto"/>
                      <w:sz w:val="21"/>
                      <w:szCs w:val="21"/>
                      <w:vertAlign w:val="superscript"/>
                    </w:rPr>
                    <w:t>3</w:t>
                  </w:r>
                  <w:r>
                    <w:rPr>
                      <w:rFonts w:hint="default" w:ascii="Times New Roman" w:hAnsi="Times New Roman" w:eastAsia="Times New Roman" w:cs="Times New Roman"/>
                      <w:b/>
                      <w:bCs/>
                      <w:color w:val="auto"/>
                      <w:sz w:val="21"/>
                      <w:szCs w:val="21"/>
                    </w:rPr>
                    <w:t>/a</w:t>
                  </w:r>
                </w:p>
              </w:tc>
              <w:tc>
                <w:tcPr>
                  <w:tcW w:w="834" w:type="pct"/>
                  <w:gridSpan w:val="2"/>
                  <w:tcBorders>
                    <w:left w:val="single" w:color="auto" w:sz="4" w:space="0"/>
                  </w:tcBorders>
                  <w:noWrap w:val="0"/>
                  <w:vAlign w:val="center"/>
                </w:tcPr>
                <w:p w14:paraId="17884B93">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污染物产生情况</w:t>
                  </w:r>
                </w:p>
              </w:tc>
              <w:tc>
                <w:tcPr>
                  <w:tcW w:w="564" w:type="pct"/>
                  <w:vMerge w:val="restart"/>
                  <w:tcBorders>
                    <w:right w:val="single" w:color="auto" w:sz="4" w:space="0"/>
                  </w:tcBorders>
                  <w:noWrap w:val="0"/>
                  <w:vAlign w:val="center"/>
                </w:tcPr>
                <w:p w14:paraId="5AD1BE25">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治理措施</w:t>
                  </w:r>
                </w:p>
              </w:tc>
              <w:tc>
                <w:tcPr>
                  <w:tcW w:w="342" w:type="pct"/>
                  <w:vMerge w:val="restart"/>
                  <w:tcBorders>
                    <w:left w:val="single" w:color="auto" w:sz="4" w:space="0"/>
                  </w:tcBorders>
                  <w:noWrap w:val="0"/>
                  <w:vAlign w:val="center"/>
                </w:tcPr>
                <w:p w14:paraId="46C4FFC1">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去除率</w:t>
                  </w:r>
                </w:p>
              </w:tc>
              <w:tc>
                <w:tcPr>
                  <w:tcW w:w="955" w:type="pct"/>
                  <w:gridSpan w:val="2"/>
                  <w:tcBorders>
                    <w:left w:val="single" w:color="auto" w:sz="4" w:space="0"/>
                  </w:tcBorders>
                  <w:noWrap w:val="0"/>
                  <w:vAlign w:val="center"/>
                </w:tcPr>
                <w:p w14:paraId="03A499A1">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污染物排放情况</w:t>
                  </w:r>
                </w:p>
              </w:tc>
              <w:tc>
                <w:tcPr>
                  <w:tcW w:w="1066" w:type="pct"/>
                  <w:gridSpan w:val="2"/>
                  <w:noWrap w:val="0"/>
                  <w:vAlign w:val="center"/>
                </w:tcPr>
                <w:p w14:paraId="704F3492">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排入外环境的量</w:t>
                  </w:r>
                </w:p>
              </w:tc>
            </w:tr>
            <w:tr w14:paraId="7FD076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35" w:type="pct"/>
                  <w:vMerge w:val="continue"/>
                  <w:noWrap w:val="0"/>
                  <w:vAlign w:val="center"/>
                </w:tcPr>
                <w:p w14:paraId="33BDAB65">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Times New Roman" w:cs="Times New Roman"/>
                      <w:b/>
                      <w:bCs/>
                      <w:color w:val="auto"/>
                      <w:sz w:val="21"/>
                      <w:szCs w:val="21"/>
                    </w:rPr>
                  </w:pPr>
                </w:p>
              </w:tc>
              <w:tc>
                <w:tcPr>
                  <w:tcW w:w="412" w:type="pct"/>
                  <w:vMerge w:val="continue"/>
                  <w:noWrap w:val="0"/>
                  <w:vAlign w:val="center"/>
                </w:tcPr>
                <w:p w14:paraId="42E57431">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Times New Roman" w:cs="Times New Roman"/>
                      <w:b/>
                      <w:bCs/>
                      <w:color w:val="auto"/>
                      <w:sz w:val="21"/>
                      <w:szCs w:val="21"/>
                    </w:rPr>
                  </w:pPr>
                </w:p>
              </w:tc>
              <w:tc>
                <w:tcPr>
                  <w:tcW w:w="488" w:type="pct"/>
                  <w:vMerge w:val="continue"/>
                  <w:tcBorders>
                    <w:right w:val="single" w:color="auto" w:sz="4" w:space="0"/>
                  </w:tcBorders>
                  <w:noWrap w:val="0"/>
                  <w:vAlign w:val="center"/>
                </w:tcPr>
                <w:p w14:paraId="466277E0">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Times New Roman" w:cs="Times New Roman"/>
                      <w:b/>
                      <w:bCs/>
                      <w:color w:val="auto"/>
                      <w:sz w:val="21"/>
                      <w:szCs w:val="21"/>
                    </w:rPr>
                  </w:pPr>
                </w:p>
              </w:tc>
              <w:tc>
                <w:tcPr>
                  <w:tcW w:w="439" w:type="pct"/>
                  <w:tcBorders>
                    <w:left w:val="single" w:color="auto" w:sz="4" w:space="0"/>
                  </w:tcBorders>
                  <w:noWrap w:val="0"/>
                  <w:vAlign w:val="center"/>
                </w:tcPr>
                <w:p w14:paraId="65083516">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产生浓度mg/L</w:t>
                  </w:r>
                </w:p>
              </w:tc>
              <w:tc>
                <w:tcPr>
                  <w:tcW w:w="395" w:type="pct"/>
                  <w:noWrap w:val="0"/>
                  <w:vAlign w:val="center"/>
                </w:tcPr>
                <w:p w14:paraId="42ADB56E">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产生量 t/a</w:t>
                  </w:r>
                </w:p>
              </w:tc>
              <w:tc>
                <w:tcPr>
                  <w:tcW w:w="564" w:type="pct"/>
                  <w:vMerge w:val="continue"/>
                  <w:tcBorders>
                    <w:right w:val="single" w:color="auto" w:sz="4" w:space="0"/>
                  </w:tcBorders>
                  <w:noWrap w:val="0"/>
                  <w:vAlign w:val="center"/>
                </w:tcPr>
                <w:p w14:paraId="18F30859">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Times New Roman" w:cs="Times New Roman"/>
                      <w:b/>
                      <w:bCs/>
                      <w:color w:val="auto"/>
                      <w:sz w:val="21"/>
                      <w:szCs w:val="21"/>
                    </w:rPr>
                  </w:pPr>
                </w:p>
              </w:tc>
              <w:tc>
                <w:tcPr>
                  <w:tcW w:w="342" w:type="pct"/>
                  <w:vMerge w:val="continue"/>
                  <w:tcBorders>
                    <w:left w:val="single" w:color="auto" w:sz="4" w:space="0"/>
                  </w:tcBorders>
                  <w:noWrap w:val="0"/>
                  <w:vAlign w:val="center"/>
                </w:tcPr>
                <w:p w14:paraId="084E4BBC">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Times New Roman" w:cs="Times New Roman"/>
                      <w:b/>
                      <w:bCs/>
                      <w:color w:val="auto"/>
                      <w:sz w:val="21"/>
                      <w:szCs w:val="21"/>
                    </w:rPr>
                  </w:pPr>
                </w:p>
              </w:tc>
              <w:tc>
                <w:tcPr>
                  <w:tcW w:w="481" w:type="pct"/>
                  <w:tcBorders>
                    <w:left w:val="single" w:color="auto" w:sz="4" w:space="0"/>
                  </w:tcBorders>
                  <w:noWrap w:val="0"/>
                  <w:vAlign w:val="center"/>
                </w:tcPr>
                <w:p w14:paraId="4B194B1C">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排放浓度mg/L</w:t>
                  </w:r>
                </w:p>
              </w:tc>
              <w:tc>
                <w:tcPr>
                  <w:tcW w:w="474" w:type="pct"/>
                  <w:noWrap w:val="0"/>
                  <w:vAlign w:val="center"/>
                </w:tcPr>
                <w:p w14:paraId="336894AD">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Times New Roman" w:cs="Times New Roman"/>
                      <w:b/>
                      <w:bCs/>
                      <w:color w:val="auto"/>
                      <w:sz w:val="21"/>
                      <w:szCs w:val="21"/>
                    </w:rPr>
                  </w:pPr>
                  <w:r>
                    <w:rPr>
                      <w:rFonts w:hint="eastAsia" w:ascii="Times New Roman" w:hAnsi="Times New Roman" w:eastAsia="宋体" w:cs="Times New Roman"/>
                      <w:b/>
                      <w:bCs/>
                      <w:color w:val="auto"/>
                      <w:sz w:val="21"/>
                      <w:szCs w:val="21"/>
                      <w:lang w:val="en-US" w:eastAsia="zh-CN"/>
                    </w:rPr>
                    <w:t>纳管</w:t>
                  </w:r>
                  <w:r>
                    <w:rPr>
                      <w:rFonts w:hint="default" w:ascii="Times New Roman" w:hAnsi="Times New Roman" w:eastAsia="Times New Roman" w:cs="Times New Roman"/>
                      <w:b/>
                      <w:bCs/>
                      <w:color w:val="auto"/>
                      <w:sz w:val="21"/>
                      <w:szCs w:val="21"/>
                    </w:rPr>
                    <w:t>量 t/a</w:t>
                  </w:r>
                </w:p>
              </w:tc>
              <w:tc>
                <w:tcPr>
                  <w:tcW w:w="495" w:type="pct"/>
                  <w:noWrap w:val="0"/>
                  <w:vAlign w:val="center"/>
                </w:tcPr>
                <w:p w14:paraId="32180738">
                  <w:pPr>
                    <w:keepNext w:val="0"/>
                    <w:keepLines w:val="0"/>
                    <w:suppressLineNumbers w:val="0"/>
                    <w:spacing w:before="0" w:beforeAutospacing="0" w:after="0" w:afterAutospacing="0"/>
                    <w:ind w:left="-63" w:leftChars="-30" w:right="-63" w:rightChars="-30"/>
                    <w:jc w:val="center"/>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color w:val="auto"/>
                      <w:sz w:val="21"/>
                      <w:szCs w:val="21"/>
                    </w:rPr>
                    <w:t>排放标准mg/L</w:t>
                  </w:r>
                </w:p>
              </w:tc>
              <w:tc>
                <w:tcPr>
                  <w:tcW w:w="570" w:type="pct"/>
                  <w:noWrap w:val="0"/>
                  <w:vAlign w:val="center"/>
                </w:tcPr>
                <w:p w14:paraId="695A7E14">
                  <w:pPr>
                    <w:keepNext w:val="0"/>
                    <w:keepLines w:val="0"/>
                    <w:suppressLineNumbers w:val="0"/>
                    <w:spacing w:before="0" w:beforeAutospacing="0" w:after="0" w:afterAutospacing="0"/>
                    <w:ind w:left="-63" w:leftChars="-30" w:right="-63" w:rightChars="-30"/>
                    <w:jc w:val="center"/>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color w:val="auto"/>
                      <w:sz w:val="21"/>
                      <w:szCs w:val="21"/>
                    </w:rPr>
                    <w:t>最终排放量t/a</w:t>
                  </w:r>
                </w:p>
              </w:tc>
            </w:tr>
            <w:tr w14:paraId="04E27F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35" w:type="pct"/>
                  <w:vMerge w:val="restart"/>
                  <w:noWrap w:val="0"/>
                  <w:vAlign w:val="center"/>
                </w:tcPr>
                <w:p w14:paraId="3D07FC8E">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生活污水</w:t>
                  </w:r>
                </w:p>
              </w:tc>
              <w:tc>
                <w:tcPr>
                  <w:tcW w:w="412" w:type="pct"/>
                  <w:noWrap w:val="0"/>
                  <w:vAlign w:val="center"/>
                </w:tcPr>
                <w:p w14:paraId="5792774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pH</w:t>
                  </w:r>
                </w:p>
              </w:tc>
              <w:tc>
                <w:tcPr>
                  <w:tcW w:w="488" w:type="pct"/>
                  <w:vMerge w:val="restart"/>
                  <w:noWrap w:val="0"/>
                  <w:vAlign w:val="center"/>
                </w:tcPr>
                <w:p w14:paraId="2C08F3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240</w:t>
                  </w:r>
                </w:p>
              </w:tc>
              <w:tc>
                <w:tcPr>
                  <w:tcW w:w="439" w:type="pct"/>
                  <w:noWrap w:val="0"/>
                  <w:vAlign w:val="center"/>
                </w:tcPr>
                <w:p w14:paraId="6A2DF7A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6~9</w:t>
                  </w:r>
                </w:p>
              </w:tc>
              <w:tc>
                <w:tcPr>
                  <w:tcW w:w="395" w:type="pct"/>
                  <w:noWrap w:val="0"/>
                  <w:vAlign w:val="center"/>
                </w:tcPr>
                <w:p w14:paraId="744CD4B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w:t>
                  </w:r>
                </w:p>
              </w:tc>
              <w:tc>
                <w:tcPr>
                  <w:tcW w:w="564" w:type="pct"/>
                  <w:vMerge w:val="restart"/>
                  <w:noWrap w:val="0"/>
                  <w:vAlign w:val="center"/>
                </w:tcPr>
                <w:p w14:paraId="24AAC9F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i w:val="0"/>
                      <w:iCs w:val="0"/>
                      <w:color w:val="auto"/>
                      <w:kern w:val="0"/>
                      <w:sz w:val="21"/>
                      <w:szCs w:val="21"/>
                      <w:u w:val="none"/>
                      <w:lang w:val="en-US" w:eastAsia="zh-CN" w:bidi="ar"/>
                    </w:rPr>
                    <w:t>化粪池</w:t>
                  </w:r>
                </w:p>
              </w:tc>
              <w:tc>
                <w:tcPr>
                  <w:tcW w:w="342" w:type="pct"/>
                  <w:noWrap w:val="0"/>
                  <w:vAlign w:val="center"/>
                </w:tcPr>
                <w:p w14:paraId="343013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w:t>
                  </w:r>
                </w:p>
              </w:tc>
              <w:tc>
                <w:tcPr>
                  <w:tcW w:w="481" w:type="pct"/>
                  <w:noWrap w:val="0"/>
                  <w:vAlign w:val="center"/>
                </w:tcPr>
                <w:p w14:paraId="618CF8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6~9</w:t>
                  </w:r>
                </w:p>
              </w:tc>
              <w:tc>
                <w:tcPr>
                  <w:tcW w:w="474" w:type="pct"/>
                  <w:noWrap w:val="0"/>
                  <w:vAlign w:val="center"/>
                </w:tcPr>
                <w:p w14:paraId="044474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w:t>
                  </w:r>
                </w:p>
              </w:tc>
              <w:tc>
                <w:tcPr>
                  <w:tcW w:w="495" w:type="pct"/>
                  <w:noWrap w:val="0"/>
                  <w:vAlign w:val="center"/>
                </w:tcPr>
                <w:p w14:paraId="5AFBF2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6~9</w:t>
                  </w:r>
                </w:p>
              </w:tc>
              <w:tc>
                <w:tcPr>
                  <w:tcW w:w="570" w:type="pct"/>
                  <w:noWrap w:val="0"/>
                  <w:vAlign w:val="center"/>
                </w:tcPr>
                <w:p w14:paraId="0E968D1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w:t>
                  </w:r>
                </w:p>
              </w:tc>
            </w:tr>
            <w:tr w14:paraId="3AC141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35" w:type="pct"/>
                  <w:vMerge w:val="continue"/>
                  <w:noWrap w:val="0"/>
                  <w:vAlign w:val="center"/>
                </w:tcPr>
                <w:p w14:paraId="61115F66">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Times New Roman" w:cs="Times New Roman"/>
                      <w:color w:val="auto"/>
                      <w:sz w:val="21"/>
                      <w:szCs w:val="21"/>
                    </w:rPr>
                  </w:pPr>
                </w:p>
              </w:tc>
              <w:tc>
                <w:tcPr>
                  <w:tcW w:w="412" w:type="pct"/>
                  <w:noWrap w:val="0"/>
                  <w:vAlign w:val="center"/>
                </w:tcPr>
                <w:p w14:paraId="72AB41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COD</w:t>
                  </w:r>
                </w:p>
              </w:tc>
              <w:tc>
                <w:tcPr>
                  <w:tcW w:w="488" w:type="pct"/>
                  <w:vMerge w:val="continue"/>
                  <w:noWrap w:val="0"/>
                  <w:vAlign w:val="center"/>
                </w:tcPr>
                <w:p w14:paraId="361AC1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p>
              </w:tc>
              <w:tc>
                <w:tcPr>
                  <w:tcW w:w="439" w:type="pct"/>
                  <w:noWrap w:val="0"/>
                  <w:vAlign w:val="center"/>
                </w:tcPr>
                <w:p w14:paraId="5940D9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340</w:t>
                  </w:r>
                </w:p>
              </w:tc>
              <w:tc>
                <w:tcPr>
                  <w:tcW w:w="395" w:type="pct"/>
                  <w:noWrap w:val="0"/>
                  <w:vAlign w:val="center"/>
                </w:tcPr>
                <w:p w14:paraId="4366AB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0.082 </w:t>
                  </w:r>
                </w:p>
              </w:tc>
              <w:tc>
                <w:tcPr>
                  <w:tcW w:w="564" w:type="pct"/>
                  <w:vMerge w:val="continue"/>
                  <w:noWrap w:val="0"/>
                  <w:vAlign w:val="center"/>
                </w:tcPr>
                <w:p w14:paraId="716237D6">
                  <w:pPr>
                    <w:keepNext w:val="0"/>
                    <w:keepLines w:val="0"/>
                    <w:suppressLineNumbers w:val="0"/>
                    <w:spacing w:before="0" w:beforeAutospacing="0" w:after="0" w:afterAutospacing="0"/>
                    <w:ind w:left="0" w:right="0"/>
                    <w:jc w:val="center"/>
                    <w:rPr>
                      <w:rFonts w:hint="default" w:ascii="Times New Roman" w:hAnsi="Times New Roman" w:eastAsia="Times New Roman" w:cs="Times New Roman"/>
                      <w:color w:val="auto"/>
                      <w:sz w:val="21"/>
                      <w:szCs w:val="21"/>
                    </w:rPr>
                  </w:pPr>
                </w:p>
              </w:tc>
              <w:tc>
                <w:tcPr>
                  <w:tcW w:w="342" w:type="pct"/>
                  <w:noWrap w:val="0"/>
                  <w:vAlign w:val="center"/>
                </w:tcPr>
                <w:p w14:paraId="17C8FB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278" w:type="dxa"/>
                  <w:noWrap w:val="0"/>
                  <w:vAlign w:val="center"/>
                </w:tcPr>
                <w:p w14:paraId="5D8299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289</w:t>
                  </w:r>
                </w:p>
              </w:tc>
              <w:tc>
                <w:tcPr>
                  <w:tcW w:w="1260" w:type="dxa"/>
                  <w:noWrap w:val="0"/>
                  <w:vAlign w:val="center"/>
                </w:tcPr>
                <w:p w14:paraId="0FEAF7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0.069 </w:t>
                  </w:r>
                </w:p>
              </w:tc>
              <w:tc>
                <w:tcPr>
                  <w:tcW w:w="495" w:type="pct"/>
                  <w:noWrap w:val="0"/>
                  <w:vAlign w:val="center"/>
                </w:tcPr>
                <w:p w14:paraId="24B62B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50</w:t>
                  </w:r>
                </w:p>
              </w:tc>
              <w:tc>
                <w:tcPr>
                  <w:tcW w:w="570" w:type="pct"/>
                  <w:noWrap w:val="0"/>
                  <w:vAlign w:val="center"/>
                </w:tcPr>
                <w:p w14:paraId="63DA94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0.0120 </w:t>
                  </w:r>
                </w:p>
              </w:tc>
            </w:tr>
            <w:tr w14:paraId="477405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35" w:type="pct"/>
                  <w:vMerge w:val="continue"/>
                  <w:noWrap w:val="0"/>
                  <w:vAlign w:val="center"/>
                </w:tcPr>
                <w:p w14:paraId="4C76E777">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Times New Roman" w:cs="Times New Roman"/>
                      <w:color w:val="auto"/>
                      <w:sz w:val="21"/>
                      <w:szCs w:val="21"/>
                    </w:rPr>
                  </w:pPr>
                </w:p>
              </w:tc>
              <w:tc>
                <w:tcPr>
                  <w:tcW w:w="412" w:type="pct"/>
                  <w:noWrap w:val="0"/>
                  <w:vAlign w:val="center"/>
                </w:tcPr>
                <w:p w14:paraId="1020276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BOD</w:t>
                  </w:r>
                  <w:r>
                    <w:rPr>
                      <w:rFonts w:hint="default" w:ascii="Times New Roman" w:hAnsi="Times New Roman" w:eastAsia="宋体" w:cs="Times New Roman"/>
                      <w:i w:val="0"/>
                      <w:iCs w:val="0"/>
                      <w:color w:val="auto"/>
                      <w:kern w:val="0"/>
                      <w:sz w:val="21"/>
                      <w:szCs w:val="21"/>
                      <w:u w:val="none"/>
                      <w:vertAlign w:val="subscript"/>
                      <w:lang w:val="en-US" w:eastAsia="zh-CN" w:bidi="ar"/>
                    </w:rPr>
                    <w:t>5</w:t>
                  </w:r>
                </w:p>
              </w:tc>
              <w:tc>
                <w:tcPr>
                  <w:tcW w:w="488" w:type="pct"/>
                  <w:vMerge w:val="continue"/>
                  <w:noWrap w:val="0"/>
                  <w:vAlign w:val="center"/>
                </w:tcPr>
                <w:p w14:paraId="522D72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p>
              </w:tc>
              <w:tc>
                <w:tcPr>
                  <w:tcW w:w="439" w:type="pct"/>
                  <w:noWrap w:val="0"/>
                  <w:vAlign w:val="center"/>
                </w:tcPr>
                <w:p w14:paraId="2E2BEF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60</w:t>
                  </w:r>
                </w:p>
              </w:tc>
              <w:tc>
                <w:tcPr>
                  <w:tcW w:w="395" w:type="pct"/>
                  <w:noWrap w:val="0"/>
                  <w:vAlign w:val="center"/>
                </w:tcPr>
                <w:p w14:paraId="0113AC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0.014 </w:t>
                  </w:r>
                </w:p>
              </w:tc>
              <w:tc>
                <w:tcPr>
                  <w:tcW w:w="564" w:type="pct"/>
                  <w:vMerge w:val="continue"/>
                  <w:noWrap w:val="0"/>
                  <w:vAlign w:val="center"/>
                </w:tcPr>
                <w:p w14:paraId="016DDCD8">
                  <w:pPr>
                    <w:keepNext w:val="0"/>
                    <w:keepLines w:val="0"/>
                    <w:suppressLineNumbers w:val="0"/>
                    <w:spacing w:before="0" w:beforeAutospacing="0" w:after="0" w:afterAutospacing="0"/>
                    <w:ind w:left="0" w:right="0"/>
                    <w:jc w:val="center"/>
                    <w:rPr>
                      <w:rFonts w:hint="default" w:ascii="Times New Roman" w:hAnsi="Times New Roman" w:eastAsia="Times New Roman" w:cs="Times New Roman"/>
                      <w:color w:val="auto"/>
                      <w:sz w:val="21"/>
                      <w:szCs w:val="21"/>
                    </w:rPr>
                  </w:pPr>
                </w:p>
              </w:tc>
              <w:tc>
                <w:tcPr>
                  <w:tcW w:w="342" w:type="pct"/>
                  <w:noWrap w:val="0"/>
                  <w:vAlign w:val="center"/>
                </w:tcPr>
                <w:p w14:paraId="551E9AA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eastAsia" w:ascii="Times New Roman" w:hAnsi="Times New Roman" w:cs="Times New Roman"/>
                      <w:i w:val="0"/>
                      <w:iCs w:val="0"/>
                      <w:color w:val="auto"/>
                      <w:kern w:val="0"/>
                      <w:sz w:val="21"/>
                      <w:szCs w:val="21"/>
                      <w:u w:val="none"/>
                      <w:lang w:val="en-US" w:eastAsia="zh-CN" w:bidi="ar"/>
                    </w:rPr>
                    <w:t>9</w:t>
                  </w:r>
                  <w:r>
                    <w:rPr>
                      <w:rFonts w:hint="default" w:ascii="Times New Roman" w:hAnsi="Times New Roman" w:eastAsia="宋体" w:cs="Times New Roman"/>
                      <w:i w:val="0"/>
                      <w:iCs w:val="0"/>
                      <w:color w:val="auto"/>
                      <w:kern w:val="0"/>
                      <w:sz w:val="21"/>
                      <w:szCs w:val="21"/>
                      <w:u w:val="none"/>
                      <w:lang w:val="en-US" w:eastAsia="zh-CN" w:bidi="ar"/>
                    </w:rPr>
                    <w:t>%</w:t>
                  </w:r>
                </w:p>
              </w:tc>
              <w:tc>
                <w:tcPr>
                  <w:tcW w:w="1278" w:type="dxa"/>
                  <w:noWrap w:val="0"/>
                  <w:vAlign w:val="center"/>
                </w:tcPr>
                <w:p w14:paraId="6841AB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54.6 </w:t>
                  </w:r>
                </w:p>
              </w:tc>
              <w:tc>
                <w:tcPr>
                  <w:tcW w:w="1260" w:type="dxa"/>
                  <w:noWrap w:val="0"/>
                  <w:vAlign w:val="center"/>
                </w:tcPr>
                <w:p w14:paraId="667E20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0.013 </w:t>
                  </w:r>
                </w:p>
              </w:tc>
              <w:tc>
                <w:tcPr>
                  <w:tcW w:w="495" w:type="pct"/>
                  <w:noWrap w:val="0"/>
                  <w:vAlign w:val="center"/>
                </w:tcPr>
                <w:p w14:paraId="0467BE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10</w:t>
                  </w:r>
                </w:p>
              </w:tc>
              <w:tc>
                <w:tcPr>
                  <w:tcW w:w="570" w:type="pct"/>
                  <w:noWrap w:val="0"/>
                  <w:vAlign w:val="center"/>
                </w:tcPr>
                <w:p w14:paraId="3D0633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0.0024 </w:t>
                  </w:r>
                </w:p>
              </w:tc>
            </w:tr>
            <w:tr w14:paraId="31B9A2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35" w:type="pct"/>
                  <w:vMerge w:val="continue"/>
                  <w:noWrap w:val="0"/>
                  <w:vAlign w:val="center"/>
                </w:tcPr>
                <w:p w14:paraId="0310C8FE">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Times New Roman" w:cs="Times New Roman"/>
                      <w:color w:val="auto"/>
                      <w:sz w:val="21"/>
                      <w:szCs w:val="21"/>
                    </w:rPr>
                  </w:pPr>
                </w:p>
              </w:tc>
              <w:tc>
                <w:tcPr>
                  <w:tcW w:w="412" w:type="pct"/>
                  <w:noWrap w:val="0"/>
                  <w:vAlign w:val="center"/>
                </w:tcPr>
                <w:p w14:paraId="219A5A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NH</w:t>
                  </w:r>
                  <w:r>
                    <w:rPr>
                      <w:rFonts w:hint="default" w:ascii="Times New Roman" w:hAnsi="Times New Roman" w:eastAsia="宋体" w:cs="Times New Roman"/>
                      <w:i w:val="0"/>
                      <w:iCs w:val="0"/>
                      <w:color w:val="auto"/>
                      <w:kern w:val="0"/>
                      <w:sz w:val="21"/>
                      <w:szCs w:val="21"/>
                      <w:u w:val="none"/>
                      <w:vertAlign w:val="subscript"/>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-N</w:t>
                  </w:r>
                </w:p>
              </w:tc>
              <w:tc>
                <w:tcPr>
                  <w:tcW w:w="488" w:type="pct"/>
                  <w:vMerge w:val="continue"/>
                  <w:noWrap w:val="0"/>
                  <w:vAlign w:val="center"/>
                </w:tcPr>
                <w:p w14:paraId="53722E8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p>
              </w:tc>
              <w:tc>
                <w:tcPr>
                  <w:tcW w:w="439" w:type="pct"/>
                  <w:noWrap w:val="0"/>
                  <w:vAlign w:val="center"/>
                </w:tcPr>
                <w:p w14:paraId="067453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lang w:val="en-US"/>
                    </w:rPr>
                  </w:pPr>
                  <w:r>
                    <w:rPr>
                      <w:rFonts w:hint="default" w:ascii="Times New Roman" w:hAnsi="Times New Roman" w:eastAsia="宋体" w:cs="Times New Roman"/>
                      <w:i w:val="0"/>
                      <w:iCs w:val="0"/>
                      <w:color w:val="auto"/>
                      <w:kern w:val="0"/>
                      <w:sz w:val="21"/>
                      <w:szCs w:val="21"/>
                      <w:u w:val="none"/>
                      <w:lang w:val="en-US" w:eastAsia="zh-CN" w:bidi="ar"/>
                    </w:rPr>
                    <w:t>32.6</w:t>
                  </w:r>
                </w:p>
              </w:tc>
              <w:tc>
                <w:tcPr>
                  <w:tcW w:w="395" w:type="pct"/>
                  <w:noWrap w:val="0"/>
                  <w:vAlign w:val="center"/>
                </w:tcPr>
                <w:p w14:paraId="4F1AD04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0.008 </w:t>
                  </w:r>
                </w:p>
              </w:tc>
              <w:tc>
                <w:tcPr>
                  <w:tcW w:w="564" w:type="pct"/>
                  <w:vMerge w:val="continue"/>
                  <w:noWrap w:val="0"/>
                  <w:vAlign w:val="center"/>
                </w:tcPr>
                <w:p w14:paraId="3A27B682">
                  <w:pPr>
                    <w:keepNext w:val="0"/>
                    <w:keepLines w:val="0"/>
                    <w:suppressLineNumbers w:val="0"/>
                    <w:spacing w:before="0" w:beforeAutospacing="0" w:after="0" w:afterAutospacing="0"/>
                    <w:ind w:left="0" w:right="0"/>
                    <w:jc w:val="center"/>
                    <w:rPr>
                      <w:rFonts w:hint="default" w:ascii="Times New Roman" w:hAnsi="Times New Roman" w:eastAsia="Times New Roman" w:cs="Times New Roman"/>
                      <w:color w:val="auto"/>
                      <w:sz w:val="21"/>
                      <w:szCs w:val="21"/>
                    </w:rPr>
                  </w:pPr>
                </w:p>
              </w:tc>
              <w:tc>
                <w:tcPr>
                  <w:tcW w:w="342" w:type="pct"/>
                  <w:noWrap w:val="0"/>
                  <w:vAlign w:val="center"/>
                </w:tcPr>
                <w:p w14:paraId="7D1C01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eastAsia" w:ascii="Times New Roman" w:hAnsi="Times New Roman" w:cs="Times New Roman"/>
                      <w:i w:val="0"/>
                      <w:iCs w:val="0"/>
                      <w:color w:val="auto"/>
                      <w:kern w:val="0"/>
                      <w:sz w:val="21"/>
                      <w:szCs w:val="21"/>
                      <w:u w:val="none"/>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w:t>
                  </w:r>
                </w:p>
              </w:tc>
              <w:tc>
                <w:tcPr>
                  <w:tcW w:w="1278" w:type="dxa"/>
                  <w:noWrap w:val="0"/>
                  <w:vAlign w:val="center"/>
                </w:tcPr>
                <w:p w14:paraId="3D2CBF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31.62 </w:t>
                  </w:r>
                </w:p>
              </w:tc>
              <w:tc>
                <w:tcPr>
                  <w:tcW w:w="1260" w:type="dxa"/>
                  <w:noWrap w:val="0"/>
                  <w:vAlign w:val="center"/>
                </w:tcPr>
                <w:p w14:paraId="4CCE8B0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0.008 </w:t>
                  </w:r>
                </w:p>
              </w:tc>
              <w:tc>
                <w:tcPr>
                  <w:tcW w:w="495" w:type="pct"/>
                  <w:noWrap w:val="0"/>
                  <w:vAlign w:val="center"/>
                </w:tcPr>
                <w:p w14:paraId="0DC6B9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5</w:t>
                  </w:r>
                </w:p>
              </w:tc>
              <w:tc>
                <w:tcPr>
                  <w:tcW w:w="570" w:type="pct"/>
                  <w:noWrap w:val="0"/>
                  <w:vAlign w:val="center"/>
                </w:tcPr>
                <w:p w14:paraId="28F859E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0.0012 </w:t>
                  </w:r>
                </w:p>
              </w:tc>
            </w:tr>
            <w:tr w14:paraId="7176CB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35" w:type="pct"/>
                  <w:vMerge w:val="continue"/>
                  <w:noWrap w:val="0"/>
                  <w:vAlign w:val="center"/>
                </w:tcPr>
                <w:p w14:paraId="549BCE9D">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Times New Roman" w:cs="Times New Roman"/>
                      <w:color w:val="auto"/>
                      <w:sz w:val="21"/>
                      <w:szCs w:val="21"/>
                    </w:rPr>
                  </w:pPr>
                </w:p>
              </w:tc>
              <w:tc>
                <w:tcPr>
                  <w:tcW w:w="412" w:type="pct"/>
                  <w:noWrap w:val="0"/>
                  <w:vAlign w:val="center"/>
                </w:tcPr>
                <w:p w14:paraId="2C3959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SS</w:t>
                  </w:r>
                </w:p>
              </w:tc>
              <w:tc>
                <w:tcPr>
                  <w:tcW w:w="488" w:type="pct"/>
                  <w:vMerge w:val="continue"/>
                  <w:noWrap w:val="0"/>
                  <w:vAlign w:val="center"/>
                </w:tcPr>
                <w:p w14:paraId="32A740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p>
              </w:tc>
              <w:tc>
                <w:tcPr>
                  <w:tcW w:w="439" w:type="pct"/>
                  <w:noWrap w:val="0"/>
                  <w:vAlign w:val="center"/>
                </w:tcPr>
                <w:p w14:paraId="7730622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140</w:t>
                  </w:r>
                </w:p>
              </w:tc>
              <w:tc>
                <w:tcPr>
                  <w:tcW w:w="395" w:type="pct"/>
                  <w:noWrap w:val="0"/>
                  <w:vAlign w:val="center"/>
                </w:tcPr>
                <w:p w14:paraId="7323DDF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0.034 </w:t>
                  </w:r>
                </w:p>
              </w:tc>
              <w:tc>
                <w:tcPr>
                  <w:tcW w:w="564" w:type="pct"/>
                  <w:vMerge w:val="continue"/>
                  <w:noWrap w:val="0"/>
                  <w:vAlign w:val="center"/>
                </w:tcPr>
                <w:p w14:paraId="69250C4A">
                  <w:pPr>
                    <w:keepNext w:val="0"/>
                    <w:keepLines w:val="0"/>
                    <w:suppressLineNumbers w:val="0"/>
                    <w:spacing w:before="0" w:beforeAutospacing="0" w:after="0" w:afterAutospacing="0"/>
                    <w:ind w:left="0" w:right="0"/>
                    <w:jc w:val="center"/>
                    <w:rPr>
                      <w:rFonts w:hint="default" w:ascii="Times New Roman" w:hAnsi="Times New Roman" w:eastAsia="Times New Roman" w:cs="Times New Roman"/>
                      <w:color w:val="auto"/>
                      <w:sz w:val="21"/>
                      <w:szCs w:val="21"/>
                    </w:rPr>
                  </w:pPr>
                </w:p>
              </w:tc>
              <w:tc>
                <w:tcPr>
                  <w:tcW w:w="342" w:type="pct"/>
                  <w:noWrap w:val="0"/>
                  <w:vAlign w:val="center"/>
                </w:tcPr>
                <w:p w14:paraId="1517D8F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278" w:type="dxa"/>
                  <w:noWrap w:val="0"/>
                  <w:vAlign w:val="center"/>
                </w:tcPr>
                <w:p w14:paraId="6EBCF2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98</w:t>
                  </w:r>
                </w:p>
              </w:tc>
              <w:tc>
                <w:tcPr>
                  <w:tcW w:w="1260" w:type="dxa"/>
                  <w:noWrap w:val="0"/>
                  <w:vAlign w:val="center"/>
                </w:tcPr>
                <w:p w14:paraId="3E788B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0.024 </w:t>
                  </w:r>
                </w:p>
              </w:tc>
              <w:tc>
                <w:tcPr>
                  <w:tcW w:w="495" w:type="pct"/>
                  <w:noWrap w:val="0"/>
                  <w:vAlign w:val="center"/>
                </w:tcPr>
                <w:p w14:paraId="3590FD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10</w:t>
                  </w:r>
                </w:p>
              </w:tc>
              <w:tc>
                <w:tcPr>
                  <w:tcW w:w="570" w:type="pct"/>
                  <w:noWrap w:val="0"/>
                  <w:vAlign w:val="center"/>
                </w:tcPr>
                <w:p w14:paraId="287282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0.0024 </w:t>
                  </w:r>
                </w:p>
              </w:tc>
            </w:tr>
            <w:tr w14:paraId="57B58EB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35" w:type="pct"/>
                  <w:vMerge w:val="continue"/>
                  <w:noWrap w:val="0"/>
                  <w:vAlign w:val="center"/>
                </w:tcPr>
                <w:p w14:paraId="34C7BC16">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lang w:val="en-US" w:eastAsia="zh-CN"/>
                    </w:rPr>
                  </w:pPr>
                </w:p>
              </w:tc>
              <w:tc>
                <w:tcPr>
                  <w:tcW w:w="412" w:type="pct"/>
                  <w:noWrap w:val="0"/>
                  <w:vAlign w:val="center"/>
                </w:tcPr>
                <w:p w14:paraId="6D39FC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TP</w:t>
                  </w:r>
                </w:p>
              </w:tc>
              <w:tc>
                <w:tcPr>
                  <w:tcW w:w="488" w:type="pct"/>
                  <w:vMerge w:val="continue"/>
                  <w:noWrap w:val="0"/>
                  <w:vAlign w:val="center"/>
                </w:tcPr>
                <w:p w14:paraId="17B1061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lang w:val="en-US" w:eastAsia="zh-CN"/>
                    </w:rPr>
                  </w:pPr>
                </w:p>
              </w:tc>
              <w:tc>
                <w:tcPr>
                  <w:tcW w:w="439" w:type="pct"/>
                  <w:noWrap w:val="0"/>
                  <w:vAlign w:val="center"/>
                </w:tcPr>
                <w:p w14:paraId="0F71BB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4.27</w:t>
                  </w:r>
                </w:p>
              </w:tc>
              <w:tc>
                <w:tcPr>
                  <w:tcW w:w="395" w:type="pct"/>
                  <w:noWrap w:val="0"/>
                  <w:vAlign w:val="center"/>
                </w:tcPr>
                <w:p w14:paraId="2512CCA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 xml:space="preserve">0.001 </w:t>
                  </w:r>
                </w:p>
              </w:tc>
              <w:tc>
                <w:tcPr>
                  <w:tcW w:w="564" w:type="pct"/>
                  <w:vMerge w:val="continue"/>
                  <w:noWrap w:val="0"/>
                  <w:vAlign w:val="center"/>
                </w:tcPr>
                <w:p w14:paraId="7FBF198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342" w:type="pct"/>
                  <w:noWrap w:val="0"/>
                  <w:vAlign w:val="center"/>
                </w:tcPr>
                <w:p w14:paraId="4EA8330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1278" w:type="dxa"/>
                  <w:noWrap w:val="0"/>
                  <w:vAlign w:val="center"/>
                </w:tcPr>
                <w:p w14:paraId="759D9D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4.27</w:t>
                  </w:r>
                </w:p>
              </w:tc>
              <w:tc>
                <w:tcPr>
                  <w:tcW w:w="1260" w:type="dxa"/>
                  <w:noWrap w:val="0"/>
                  <w:vAlign w:val="center"/>
                </w:tcPr>
                <w:p w14:paraId="2005C5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 xml:space="preserve">0.001 </w:t>
                  </w:r>
                </w:p>
              </w:tc>
              <w:tc>
                <w:tcPr>
                  <w:tcW w:w="495" w:type="pct"/>
                  <w:noWrap w:val="0"/>
                  <w:vAlign w:val="center"/>
                </w:tcPr>
                <w:p w14:paraId="4C243C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lang w:bidi="ar"/>
                    </w:rPr>
                  </w:pPr>
                  <w:r>
                    <w:rPr>
                      <w:rFonts w:hint="default" w:ascii="Times New Roman" w:hAnsi="Times New Roman" w:eastAsia="宋体" w:cs="Times New Roman"/>
                      <w:i w:val="0"/>
                      <w:iCs w:val="0"/>
                      <w:color w:val="auto"/>
                      <w:kern w:val="0"/>
                      <w:sz w:val="22"/>
                      <w:szCs w:val="22"/>
                      <w:u w:val="none"/>
                      <w:lang w:val="en-US" w:eastAsia="zh-CN" w:bidi="ar"/>
                    </w:rPr>
                    <w:t>0.5</w:t>
                  </w:r>
                </w:p>
              </w:tc>
              <w:tc>
                <w:tcPr>
                  <w:tcW w:w="570" w:type="pct"/>
                  <w:noWrap w:val="0"/>
                  <w:vAlign w:val="center"/>
                </w:tcPr>
                <w:p w14:paraId="7D1C6C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0.0001 </w:t>
                  </w:r>
                </w:p>
              </w:tc>
            </w:tr>
            <w:tr w14:paraId="09BE10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35" w:type="pct"/>
                  <w:vMerge w:val="continue"/>
                  <w:noWrap w:val="0"/>
                  <w:vAlign w:val="center"/>
                </w:tcPr>
                <w:p w14:paraId="76FA2DB9">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Times New Roman" w:cs="Times New Roman"/>
                      <w:color w:val="auto"/>
                      <w:sz w:val="21"/>
                      <w:szCs w:val="21"/>
                    </w:rPr>
                  </w:pPr>
                </w:p>
              </w:tc>
              <w:tc>
                <w:tcPr>
                  <w:tcW w:w="412" w:type="pct"/>
                  <w:noWrap w:val="0"/>
                  <w:vAlign w:val="center"/>
                </w:tcPr>
                <w:p w14:paraId="0ACABE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TN</w:t>
                  </w:r>
                </w:p>
              </w:tc>
              <w:tc>
                <w:tcPr>
                  <w:tcW w:w="488" w:type="pct"/>
                  <w:vMerge w:val="continue"/>
                  <w:noWrap w:val="0"/>
                  <w:vAlign w:val="center"/>
                </w:tcPr>
                <w:p w14:paraId="5B01EB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p>
              </w:tc>
              <w:tc>
                <w:tcPr>
                  <w:tcW w:w="439" w:type="pct"/>
                  <w:noWrap w:val="0"/>
                  <w:vAlign w:val="center"/>
                </w:tcPr>
                <w:p w14:paraId="46422E9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bidi="ar"/>
                    </w:rPr>
                  </w:pPr>
                  <w:r>
                    <w:rPr>
                      <w:rFonts w:hint="default" w:ascii="Times New Roman" w:hAnsi="Times New Roman" w:eastAsia="宋体" w:cs="Times New Roman"/>
                      <w:i w:val="0"/>
                      <w:iCs w:val="0"/>
                      <w:color w:val="auto"/>
                      <w:kern w:val="0"/>
                      <w:sz w:val="21"/>
                      <w:szCs w:val="21"/>
                      <w:u w:val="none"/>
                      <w:lang w:val="en-US" w:eastAsia="zh-CN" w:bidi="ar"/>
                    </w:rPr>
                    <w:t>44.8</w:t>
                  </w:r>
                </w:p>
              </w:tc>
              <w:tc>
                <w:tcPr>
                  <w:tcW w:w="395" w:type="pct"/>
                  <w:noWrap w:val="0"/>
                  <w:vAlign w:val="center"/>
                </w:tcPr>
                <w:p w14:paraId="0C89E7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 xml:space="preserve">0.011 </w:t>
                  </w:r>
                </w:p>
              </w:tc>
              <w:tc>
                <w:tcPr>
                  <w:tcW w:w="564" w:type="pct"/>
                  <w:vMerge w:val="continue"/>
                  <w:noWrap w:val="0"/>
                  <w:vAlign w:val="center"/>
                </w:tcPr>
                <w:p w14:paraId="307414F5">
                  <w:pPr>
                    <w:keepNext w:val="0"/>
                    <w:keepLines w:val="0"/>
                    <w:suppressLineNumbers w:val="0"/>
                    <w:spacing w:before="0" w:beforeAutospacing="0" w:after="0" w:afterAutospacing="0"/>
                    <w:ind w:left="0" w:right="0"/>
                    <w:jc w:val="center"/>
                    <w:rPr>
                      <w:rFonts w:hint="default" w:ascii="Times New Roman" w:hAnsi="Times New Roman" w:eastAsia="Times New Roman" w:cs="Times New Roman"/>
                      <w:color w:val="auto"/>
                      <w:sz w:val="21"/>
                      <w:szCs w:val="21"/>
                    </w:rPr>
                  </w:pPr>
                </w:p>
              </w:tc>
              <w:tc>
                <w:tcPr>
                  <w:tcW w:w="342" w:type="pct"/>
                  <w:noWrap w:val="0"/>
                  <w:vAlign w:val="center"/>
                </w:tcPr>
                <w:p w14:paraId="2E716E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1278" w:type="dxa"/>
                  <w:noWrap w:val="0"/>
                  <w:vAlign w:val="center"/>
                </w:tcPr>
                <w:p w14:paraId="071643F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44.8</w:t>
                  </w:r>
                </w:p>
              </w:tc>
              <w:tc>
                <w:tcPr>
                  <w:tcW w:w="1260" w:type="dxa"/>
                  <w:noWrap w:val="0"/>
                  <w:vAlign w:val="center"/>
                </w:tcPr>
                <w:p w14:paraId="74AB23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 xml:space="preserve">0.011 </w:t>
                  </w:r>
                </w:p>
              </w:tc>
              <w:tc>
                <w:tcPr>
                  <w:tcW w:w="495" w:type="pct"/>
                  <w:noWrap w:val="0"/>
                  <w:vAlign w:val="center"/>
                </w:tcPr>
                <w:p w14:paraId="3C9639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2"/>
                      <w:szCs w:val="22"/>
                      <w:u w:val="none"/>
                      <w:lang w:val="en-US" w:eastAsia="zh-CN" w:bidi="ar"/>
                    </w:rPr>
                    <w:t>15</w:t>
                  </w:r>
                </w:p>
              </w:tc>
              <w:tc>
                <w:tcPr>
                  <w:tcW w:w="570" w:type="pct"/>
                  <w:noWrap w:val="0"/>
                  <w:vAlign w:val="center"/>
                </w:tcPr>
                <w:p w14:paraId="5661DB6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0.0036 </w:t>
                  </w:r>
                </w:p>
              </w:tc>
            </w:tr>
          </w:tbl>
          <w:p w14:paraId="161F10C4">
            <w:pPr>
              <w:keepNext w:val="0"/>
              <w:keepLines w:val="0"/>
              <w:suppressLineNumbers w:val="0"/>
              <w:spacing w:before="0" w:beforeAutospacing="0" w:after="0" w:afterAutospacing="0" w:line="440" w:lineRule="exact"/>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表4-</w:t>
            </w:r>
            <w:r>
              <w:rPr>
                <w:rFonts w:hint="eastAsia" w:ascii="Times New Roman" w:hAnsi="Times New Roman" w:eastAsia="宋体" w:cs="Times New Roman"/>
                <w:b/>
                <w:bCs/>
                <w:color w:val="auto"/>
                <w:lang w:val="en-US" w:eastAsia="zh-CN"/>
              </w:rPr>
              <w:t>1</w:t>
            </w:r>
            <w:r>
              <w:rPr>
                <w:rFonts w:hint="eastAsia" w:ascii="Times New Roman" w:hAnsi="Times New Roman" w:cs="Times New Roman"/>
                <w:b/>
                <w:bCs/>
                <w:color w:val="auto"/>
                <w:lang w:val="en-US" w:eastAsia="zh-CN"/>
              </w:rPr>
              <w:t>2</w:t>
            </w:r>
            <w:r>
              <w:rPr>
                <w:rFonts w:hint="default" w:ascii="Times New Roman" w:hAnsi="Times New Roman" w:eastAsia="宋体" w:cs="Times New Roman"/>
                <w:b/>
                <w:bCs/>
                <w:color w:val="auto"/>
              </w:rPr>
              <w:t xml:space="preserve">  </w:t>
            </w:r>
            <w:r>
              <w:rPr>
                <w:rFonts w:hint="default" w:ascii="Times New Roman" w:hAnsi="Times New Roman" w:eastAsia="宋体" w:cs="Times New Roman"/>
                <w:b/>
                <w:color w:val="auto"/>
              </w:rPr>
              <w:t>项目废水类别、污染物种类及污染防治设施一览表</w:t>
            </w:r>
          </w:p>
          <w:tbl>
            <w:tblPr>
              <w:tblStyle w:val="53"/>
              <w:tblW w:w="4995"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05"/>
              <w:gridCol w:w="2163"/>
              <w:gridCol w:w="1655"/>
              <w:gridCol w:w="1074"/>
              <w:gridCol w:w="942"/>
              <w:gridCol w:w="1380"/>
              <w:gridCol w:w="1242"/>
              <w:gridCol w:w="1579"/>
              <w:gridCol w:w="1105"/>
              <w:gridCol w:w="1339"/>
            </w:tblGrid>
            <w:tr w14:paraId="76C5BF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trPr>
              <w:tc>
                <w:tcPr>
                  <w:tcW w:w="302" w:type="pct"/>
                  <w:vMerge w:val="restart"/>
                  <w:noWrap w:val="0"/>
                  <w:vAlign w:val="center"/>
                </w:tcPr>
                <w:p w14:paraId="639222FF">
                  <w:pPr>
                    <w:pStyle w:val="444"/>
                    <w:keepNext w:val="0"/>
                    <w:keepLines w:val="0"/>
                    <w:suppressLineNumbers w:val="0"/>
                    <w:spacing w:before="0" w:beforeAutospacing="0" w:after="0" w:afterAutospacing="0"/>
                    <w:ind w:left="0" w:right="0"/>
                    <w:jc w:val="center"/>
                    <w:rPr>
                      <w:rFonts w:hint="default" w:ascii="Times New Roman" w:hAnsi="Times New Roman" w:eastAsia="宋体" w:cs="Times New Roman"/>
                      <w:b/>
                      <w:bCs/>
                      <w:snapToGrid w:val="0"/>
                      <w:color w:val="auto"/>
                      <w:szCs w:val="21"/>
                    </w:rPr>
                  </w:pPr>
                  <w:r>
                    <w:rPr>
                      <w:rFonts w:hint="default" w:ascii="Times New Roman" w:hAnsi="Times New Roman" w:eastAsia="宋体" w:cs="Times New Roman"/>
                      <w:b/>
                      <w:bCs/>
                      <w:color w:val="auto"/>
                      <w:szCs w:val="21"/>
                    </w:rPr>
                    <w:t>废水类别</w:t>
                  </w:r>
                </w:p>
              </w:tc>
              <w:tc>
                <w:tcPr>
                  <w:tcW w:w="814" w:type="pct"/>
                  <w:vMerge w:val="restart"/>
                  <w:noWrap w:val="0"/>
                  <w:vAlign w:val="center"/>
                </w:tcPr>
                <w:p w14:paraId="148D9E06">
                  <w:pPr>
                    <w:pStyle w:val="46"/>
                    <w:keepNext w:val="0"/>
                    <w:keepLines w:val="0"/>
                    <w:suppressLineNumbers w:val="0"/>
                    <w:ind w:left="0" w:right="0"/>
                    <w:jc w:val="center"/>
                    <w:outlineLvl w:val="0"/>
                    <w:rPr>
                      <w:rFonts w:hint="default" w:ascii="Times New Roman" w:hAnsi="Times New Roman" w:eastAsia="宋体" w:cs="Times New Roman"/>
                      <w:b/>
                      <w:bCs/>
                      <w:snapToGrid w:val="0"/>
                      <w:color w:val="auto"/>
                      <w:sz w:val="21"/>
                      <w:szCs w:val="21"/>
                    </w:rPr>
                  </w:pPr>
                  <w:r>
                    <w:rPr>
                      <w:rFonts w:hint="default" w:ascii="Times New Roman" w:hAnsi="Times New Roman" w:eastAsia="宋体" w:cs="Times New Roman"/>
                      <w:b/>
                      <w:bCs/>
                      <w:color w:val="auto"/>
                      <w:sz w:val="21"/>
                      <w:szCs w:val="21"/>
                    </w:rPr>
                    <w:t>污染物种类</w:t>
                  </w:r>
                </w:p>
              </w:tc>
              <w:tc>
                <w:tcPr>
                  <w:tcW w:w="622" w:type="pct"/>
                  <w:vMerge w:val="restart"/>
                  <w:tcBorders>
                    <w:right w:val="single" w:color="auto" w:sz="4" w:space="0"/>
                  </w:tcBorders>
                  <w:noWrap w:val="0"/>
                  <w:vAlign w:val="center"/>
                </w:tcPr>
                <w:p w14:paraId="60B93595">
                  <w:pPr>
                    <w:pStyle w:val="445"/>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排放去向</w:t>
                  </w:r>
                </w:p>
              </w:tc>
              <w:tc>
                <w:tcPr>
                  <w:tcW w:w="404" w:type="pct"/>
                  <w:vMerge w:val="restart"/>
                  <w:tcBorders>
                    <w:right w:val="single" w:color="auto" w:sz="4" w:space="0"/>
                  </w:tcBorders>
                  <w:noWrap w:val="0"/>
                  <w:vAlign w:val="center"/>
                </w:tcPr>
                <w:p w14:paraId="7D9BF61C">
                  <w:pPr>
                    <w:pStyle w:val="445"/>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排放规律</w:t>
                  </w:r>
                </w:p>
              </w:tc>
              <w:tc>
                <w:tcPr>
                  <w:tcW w:w="354" w:type="pct"/>
                  <w:vMerge w:val="restart"/>
                  <w:tcBorders>
                    <w:right w:val="single" w:color="auto" w:sz="4" w:space="0"/>
                  </w:tcBorders>
                  <w:noWrap w:val="0"/>
                  <w:vAlign w:val="center"/>
                </w:tcPr>
                <w:p w14:paraId="0CC95635">
                  <w:pPr>
                    <w:pStyle w:val="445"/>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排放口编号</w:t>
                  </w:r>
                </w:p>
              </w:tc>
              <w:tc>
                <w:tcPr>
                  <w:tcW w:w="1997" w:type="pct"/>
                  <w:gridSpan w:val="4"/>
                  <w:tcBorders>
                    <w:right w:val="single" w:color="auto" w:sz="4" w:space="0"/>
                  </w:tcBorders>
                  <w:noWrap w:val="0"/>
                  <w:vAlign w:val="center"/>
                </w:tcPr>
                <w:p w14:paraId="05D1100E">
                  <w:pPr>
                    <w:pStyle w:val="46"/>
                    <w:keepNext w:val="0"/>
                    <w:keepLines w:val="0"/>
                    <w:suppressLineNumbers w:val="0"/>
                    <w:ind w:left="0" w:right="0"/>
                    <w:jc w:val="center"/>
                    <w:outlineLvl w:val="0"/>
                    <w:rPr>
                      <w:rFonts w:hint="default" w:ascii="Times New Roman" w:hAnsi="Times New Roman" w:eastAsia="宋体" w:cs="Times New Roman"/>
                      <w:b/>
                      <w:bCs/>
                      <w:snapToGrid w:val="0"/>
                      <w:color w:val="auto"/>
                      <w:sz w:val="21"/>
                      <w:szCs w:val="21"/>
                    </w:rPr>
                  </w:pPr>
                  <w:r>
                    <w:rPr>
                      <w:rFonts w:hint="default" w:ascii="Times New Roman" w:hAnsi="Times New Roman" w:eastAsia="宋体" w:cs="Times New Roman"/>
                      <w:b/>
                      <w:bCs/>
                      <w:color w:val="auto"/>
                      <w:sz w:val="21"/>
                      <w:szCs w:val="21"/>
                    </w:rPr>
                    <w:t>污染防治设施</w:t>
                  </w:r>
                </w:p>
              </w:tc>
              <w:tc>
                <w:tcPr>
                  <w:tcW w:w="503" w:type="pct"/>
                  <w:vMerge w:val="restart"/>
                  <w:noWrap w:val="0"/>
                  <w:vAlign w:val="center"/>
                </w:tcPr>
                <w:p w14:paraId="6D486D57">
                  <w:pPr>
                    <w:pStyle w:val="445"/>
                    <w:keepNext w:val="0"/>
                    <w:keepLines w:val="0"/>
                    <w:suppressLineNumbers w:val="0"/>
                    <w:spacing w:before="0" w:beforeAutospacing="0" w:after="0" w:afterAutospacing="0"/>
                    <w:ind w:left="0" w:right="0"/>
                    <w:jc w:val="center"/>
                    <w:rPr>
                      <w:rFonts w:hint="default" w:ascii="Times New Roman" w:hAnsi="Times New Roman" w:eastAsia="宋体" w:cs="Times New Roman"/>
                      <w:b/>
                      <w:bCs/>
                      <w:snapToGrid w:val="0"/>
                      <w:color w:val="auto"/>
                      <w:szCs w:val="21"/>
                    </w:rPr>
                  </w:pPr>
                  <w:r>
                    <w:rPr>
                      <w:rFonts w:hint="default" w:ascii="Times New Roman" w:hAnsi="Times New Roman" w:eastAsia="宋体" w:cs="Times New Roman"/>
                      <w:b/>
                      <w:bCs/>
                      <w:color w:val="auto"/>
                      <w:szCs w:val="21"/>
                    </w:rPr>
                    <w:t>排放口设置是否符合要求</w:t>
                  </w:r>
                </w:p>
              </w:tc>
            </w:tr>
            <w:tr w14:paraId="5F30F73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302" w:type="pct"/>
                  <w:vMerge w:val="continue"/>
                  <w:noWrap w:val="0"/>
                  <w:vAlign w:val="center"/>
                </w:tcPr>
                <w:p w14:paraId="360A2F50">
                  <w:pPr>
                    <w:pStyle w:val="46"/>
                    <w:keepNext w:val="0"/>
                    <w:keepLines w:val="0"/>
                    <w:suppressLineNumbers w:val="0"/>
                    <w:ind w:left="0" w:right="0"/>
                    <w:jc w:val="center"/>
                    <w:outlineLvl w:val="0"/>
                    <w:rPr>
                      <w:rFonts w:hint="default" w:ascii="Times New Roman" w:hAnsi="Times New Roman" w:eastAsia="宋体" w:cs="Times New Roman"/>
                      <w:snapToGrid w:val="0"/>
                      <w:color w:val="auto"/>
                      <w:sz w:val="21"/>
                      <w:szCs w:val="21"/>
                    </w:rPr>
                  </w:pPr>
                </w:p>
              </w:tc>
              <w:tc>
                <w:tcPr>
                  <w:tcW w:w="814" w:type="pct"/>
                  <w:vMerge w:val="continue"/>
                  <w:noWrap w:val="0"/>
                  <w:vAlign w:val="center"/>
                </w:tcPr>
                <w:p w14:paraId="3864F227">
                  <w:pPr>
                    <w:pStyle w:val="46"/>
                    <w:keepNext w:val="0"/>
                    <w:keepLines w:val="0"/>
                    <w:suppressLineNumbers w:val="0"/>
                    <w:ind w:left="0" w:right="0"/>
                    <w:jc w:val="center"/>
                    <w:outlineLvl w:val="0"/>
                    <w:rPr>
                      <w:rFonts w:hint="default" w:ascii="Times New Roman" w:hAnsi="Times New Roman" w:eastAsia="宋体" w:cs="Times New Roman"/>
                      <w:snapToGrid w:val="0"/>
                      <w:color w:val="auto"/>
                      <w:sz w:val="21"/>
                      <w:szCs w:val="21"/>
                    </w:rPr>
                  </w:pPr>
                </w:p>
              </w:tc>
              <w:tc>
                <w:tcPr>
                  <w:tcW w:w="622" w:type="pct"/>
                  <w:vMerge w:val="continue"/>
                  <w:tcBorders>
                    <w:right w:val="single" w:color="auto" w:sz="4" w:space="0"/>
                  </w:tcBorders>
                  <w:noWrap w:val="0"/>
                  <w:vAlign w:val="center"/>
                </w:tcPr>
                <w:p w14:paraId="4B755B9B">
                  <w:pPr>
                    <w:pStyle w:val="444"/>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Cs w:val="21"/>
                    </w:rPr>
                  </w:pPr>
                </w:p>
              </w:tc>
              <w:tc>
                <w:tcPr>
                  <w:tcW w:w="404" w:type="pct"/>
                  <w:vMerge w:val="continue"/>
                  <w:tcBorders>
                    <w:right w:val="single" w:color="auto" w:sz="4" w:space="0"/>
                  </w:tcBorders>
                  <w:noWrap w:val="0"/>
                  <w:vAlign w:val="center"/>
                </w:tcPr>
                <w:p w14:paraId="359B8506">
                  <w:pPr>
                    <w:pStyle w:val="444"/>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Cs w:val="21"/>
                    </w:rPr>
                  </w:pPr>
                </w:p>
              </w:tc>
              <w:tc>
                <w:tcPr>
                  <w:tcW w:w="354" w:type="pct"/>
                  <w:vMerge w:val="continue"/>
                  <w:tcBorders>
                    <w:right w:val="single" w:color="auto" w:sz="4" w:space="0"/>
                  </w:tcBorders>
                  <w:noWrap w:val="0"/>
                  <w:vAlign w:val="center"/>
                </w:tcPr>
                <w:p w14:paraId="7A58DA47">
                  <w:pPr>
                    <w:pStyle w:val="444"/>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Cs w:val="21"/>
                    </w:rPr>
                  </w:pPr>
                </w:p>
              </w:tc>
              <w:tc>
                <w:tcPr>
                  <w:tcW w:w="519" w:type="pct"/>
                  <w:noWrap w:val="0"/>
                  <w:vAlign w:val="center"/>
                </w:tcPr>
                <w:p w14:paraId="5638B0ED">
                  <w:pPr>
                    <w:pStyle w:val="444"/>
                    <w:keepNext w:val="0"/>
                    <w:keepLines w:val="0"/>
                    <w:suppressLineNumbers w:val="0"/>
                    <w:spacing w:before="0" w:beforeAutospacing="0" w:after="0" w:afterAutospacing="0"/>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b/>
                      <w:bCs/>
                      <w:color w:val="auto"/>
                      <w:szCs w:val="21"/>
                    </w:rPr>
                    <w:t>污染防治设施编号</w:t>
                  </w:r>
                </w:p>
              </w:tc>
              <w:tc>
                <w:tcPr>
                  <w:tcW w:w="467" w:type="pct"/>
                  <w:noWrap w:val="0"/>
                  <w:vAlign w:val="center"/>
                </w:tcPr>
                <w:p w14:paraId="1514F38D">
                  <w:pPr>
                    <w:pStyle w:val="444"/>
                    <w:keepNext w:val="0"/>
                    <w:keepLines w:val="0"/>
                    <w:suppressLineNumbers w:val="0"/>
                    <w:spacing w:before="0" w:beforeAutospacing="0" w:after="0" w:afterAutospacing="0"/>
                    <w:ind w:left="0" w:right="0"/>
                    <w:jc w:val="center"/>
                    <w:rPr>
                      <w:rFonts w:hint="default" w:ascii="Times New Roman" w:hAnsi="Times New Roman" w:eastAsia="宋体" w:cs="Times New Roman"/>
                      <w:b/>
                      <w:bCs/>
                      <w:snapToGrid w:val="0"/>
                      <w:color w:val="auto"/>
                      <w:szCs w:val="21"/>
                    </w:rPr>
                  </w:pPr>
                  <w:r>
                    <w:rPr>
                      <w:rFonts w:hint="default" w:ascii="Times New Roman" w:hAnsi="Times New Roman" w:eastAsia="宋体" w:cs="Times New Roman"/>
                      <w:b/>
                      <w:bCs/>
                      <w:color w:val="auto"/>
                      <w:szCs w:val="21"/>
                    </w:rPr>
                    <w:t>污染防治设施名称</w:t>
                  </w:r>
                </w:p>
              </w:tc>
              <w:tc>
                <w:tcPr>
                  <w:tcW w:w="594" w:type="pct"/>
                  <w:noWrap w:val="0"/>
                  <w:vAlign w:val="center"/>
                </w:tcPr>
                <w:p w14:paraId="2BA630B4">
                  <w:pPr>
                    <w:pStyle w:val="444"/>
                    <w:keepNext w:val="0"/>
                    <w:keepLines w:val="0"/>
                    <w:suppressLineNumbers w:val="0"/>
                    <w:spacing w:before="0" w:beforeAutospacing="0" w:after="0" w:afterAutospacing="0"/>
                    <w:ind w:left="0" w:right="0"/>
                    <w:jc w:val="center"/>
                    <w:rPr>
                      <w:rFonts w:hint="default" w:ascii="Times New Roman" w:hAnsi="Times New Roman" w:eastAsia="宋体" w:cs="Times New Roman"/>
                      <w:b/>
                      <w:bCs/>
                      <w:snapToGrid w:val="0"/>
                      <w:color w:val="auto"/>
                      <w:szCs w:val="21"/>
                    </w:rPr>
                  </w:pPr>
                  <w:r>
                    <w:rPr>
                      <w:rFonts w:hint="default" w:ascii="Times New Roman" w:hAnsi="Times New Roman" w:eastAsia="宋体" w:cs="Times New Roman"/>
                      <w:b/>
                      <w:bCs/>
                      <w:color w:val="auto"/>
                      <w:szCs w:val="21"/>
                    </w:rPr>
                    <w:t>污染防治设施工艺</w:t>
                  </w:r>
                </w:p>
              </w:tc>
              <w:tc>
                <w:tcPr>
                  <w:tcW w:w="415" w:type="pct"/>
                  <w:tcBorders>
                    <w:right w:val="single" w:color="auto" w:sz="4" w:space="0"/>
                  </w:tcBorders>
                  <w:noWrap w:val="0"/>
                  <w:vAlign w:val="center"/>
                </w:tcPr>
                <w:p w14:paraId="5C0FE6B8">
                  <w:pPr>
                    <w:pStyle w:val="444"/>
                    <w:keepNext w:val="0"/>
                    <w:keepLines w:val="0"/>
                    <w:suppressLineNumbers w:val="0"/>
                    <w:spacing w:before="0" w:beforeAutospacing="0" w:after="0" w:afterAutospacing="0"/>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b/>
                      <w:bCs/>
                      <w:color w:val="auto"/>
                      <w:szCs w:val="21"/>
                    </w:rPr>
                    <w:t>是否为可行技术</w:t>
                  </w:r>
                </w:p>
              </w:tc>
              <w:tc>
                <w:tcPr>
                  <w:tcW w:w="503" w:type="pct"/>
                  <w:vMerge w:val="continue"/>
                  <w:noWrap w:val="0"/>
                  <w:vAlign w:val="center"/>
                </w:tcPr>
                <w:p w14:paraId="383C25F4">
                  <w:pPr>
                    <w:pStyle w:val="46"/>
                    <w:keepNext w:val="0"/>
                    <w:keepLines w:val="0"/>
                    <w:suppressLineNumbers w:val="0"/>
                    <w:ind w:left="0" w:right="0"/>
                    <w:jc w:val="center"/>
                    <w:outlineLvl w:val="0"/>
                    <w:rPr>
                      <w:rFonts w:hint="default" w:ascii="Times New Roman" w:hAnsi="Times New Roman" w:eastAsia="宋体" w:cs="Times New Roman"/>
                      <w:snapToGrid w:val="0"/>
                      <w:color w:val="auto"/>
                      <w:sz w:val="21"/>
                      <w:szCs w:val="21"/>
                    </w:rPr>
                  </w:pPr>
                </w:p>
              </w:tc>
            </w:tr>
            <w:tr w14:paraId="52B07F1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trPr>
              <w:tc>
                <w:tcPr>
                  <w:tcW w:w="302" w:type="pct"/>
                  <w:noWrap w:val="0"/>
                  <w:vAlign w:val="center"/>
                </w:tcPr>
                <w:p w14:paraId="47BE812B">
                  <w:pPr>
                    <w:pStyle w:val="46"/>
                    <w:keepNext w:val="0"/>
                    <w:keepLines w:val="0"/>
                    <w:suppressLineNumbers w:val="0"/>
                    <w:ind w:left="0" w:right="0"/>
                    <w:jc w:val="center"/>
                    <w:outlineLvl w:val="0"/>
                    <w:rPr>
                      <w:rFonts w:hint="default" w:ascii="Times New Roman" w:hAnsi="Times New Roman" w:eastAsia="宋体" w:cs="Times New Roman"/>
                      <w:snapToGrid w:val="0"/>
                      <w:color w:val="auto"/>
                      <w:sz w:val="21"/>
                      <w:szCs w:val="21"/>
                    </w:rPr>
                  </w:pPr>
                  <w:r>
                    <w:rPr>
                      <w:rFonts w:hint="default" w:ascii="Times New Roman" w:hAnsi="Times New Roman" w:eastAsia="宋体" w:cs="Times New Roman"/>
                      <w:snapToGrid w:val="0"/>
                      <w:color w:val="auto"/>
                      <w:sz w:val="21"/>
                      <w:szCs w:val="21"/>
                    </w:rPr>
                    <w:t>生活污水</w:t>
                  </w:r>
                </w:p>
              </w:tc>
              <w:tc>
                <w:tcPr>
                  <w:tcW w:w="814" w:type="pct"/>
                  <w:noWrap w:val="0"/>
                  <w:vAlign w:val="center"/>
                </w:tcPr>
                <w:p w14:paraId="0AD22374">
                  <w:pPr>
                    <w:pStyle w:val="46"/>
                    <w:keepNext w:val="0"/>
                    <w:keepLines w:val="0"/>
                    <w:suppressLineNumbers w:val="0"/>
                    <w:ind w:left="0" w:right="0"/>
                    <w:jc w:val="center"/>
                    <w:outlineLvl w:val="0"/>
                    <w:rPr>
                      <w:rFonts w:hint="default" w:ascii="Times New Roman" w:hAnsi="Times New Roman" w:eastAsia="宋体" w:cs="Times New Roman"/>
                      <w:snapToGrid w:val="0"/>
                      <w:color w:val="auto"/>
                      <w:sz w:val="21"/>
                      <w:szCs w:val="21"/>
                      <w:lang w:val="en-US" w:eastAsia="zh-CN"/>
                    </w:rPr>
                  </w:pPr>
                  <w:r>
                    <w:rPr>
                      <w:rFonts w:hint="default" w:ascii="Times New Roman" w:hAnsi="Times New Roman" w:eastAsia="宋体" w:cs="Times New Roman"/>
                      <w:color w:val="auto"/>
                      <w:sz w:val="21"/>
                      <w:szCs w:val="21"/>
                    </w:rPr>
                    <w:t>pH、COD、NH</w:t>
                  </w:r>
                  <w:r>
                    <w:rPr>
                      <w:rFonts w:hint="default" w:ascii="Times New Roman" w:hAnsi="Times New Roman" w:eastAsia="宋体" w:cs="Times New Roman"/>
                      <w:color w:val="auto"/>
                      <w:sz w:val="21"/>
                      <w:szCs w:val="21"/>
                      <w:vertAlign w:val="subscript"/>
                    </w:rPr>
                    <w:t>3</w:t>
                  </w:r>
                  <w:r>
                    <w:rPr>
                      <w:rFonts w:hint="default" w:ascii="Times New Roman" w:hAnsi="Times New Roman" w:eastAsia="宋体" w:cs="Times New Roman"/>
                      <w:color w:val="auto"/>
                      <w:sz w:val="21"/>
                      <w:szCs w:val="21"/>
                    </w:rPr>
                    <w:t>-N、BOD</w:t>
                  </w:r>
                  <w:r>
                    <w:rPr>
                      <w:rFonts w:hint="default" w:ascii="Times New Roman" w:hAnsi="Times New Roman" w:eastAsia="宋体" w:cs="Times New Roman"/>
                      <w:color w:val="auto"/>
                      <w:sz w:val="21"/>
                      <w:szCs w:val="21"/>
                      <w:vertAlign w:val="subscript"/>
                    </w:rPr>
                    <w:t>5</w:t>
                  </w:r>
                  <w:r>
                    <w:rPr>
                      <w:rFonts w:hint="default" w:ascii="Times New Roman" w:hAnsi="Times New Roman" w:eastAsia="宋体" w:cs="Times New Roman"/>
                      <w:color w:val="auto"/>
                      <w:sz w:val="21"/>
                      <w:szCs w:val="21"/>
                    </w:rPr>
                    <w:t>、SS</w:t>
                  </w: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TP、TN</w:t>
                  </w:r>
                </w:p>
              </w:tc>
              <w:tc>
                <w:tcPr>
                  <w:tcW w:w="622" w:type="pct"/>
                  <w:noWrap w:val="0"/>
                  <w:vAlign w:val="center"/>
                </w:tcPr>
                <w:p w14:paraId="03D4CC27">
                  <w:pPr>
                    <w:pStyle w:val="46"/>
                    <w:keepNext w:val="0"/>
                    <w:keepLines w:val="0"/>
                    <w:suppressLineNumbers w:val="0"/>
                    <w:ind w:left="0" w:right="0"/>
                    <w:jc w:val="center"/>
                    <w:outlineLvl w:val="0"/>
                    <w:rPr>
                      <w:rFonts w:hint="default" w:ascii="Times New Roman" w:hAnsi="Times New Roman" w:eastAsia="宋体" w:cs="Times New Roman"/>
                      <w:color w:val="auto"/>
                      <w:sz w:val="21"/>
                      <w:szCs w:val="21"/>
                      <w:lang w:val="en-US"/>
                    </w:rPr>
                  </w:pPr>
                  <w:r>
                    <w:rPr>
                      <w:rFonts w:hint="default" w:ascii="Times New Roman" w:hAnsi="Times New Roman"/>
                      <w:color w:val="auto"/>
                      <w:sz w:val="21"/>
                      <w:szCs w:val="21"/>
                      <w:lang w:eastAsia="zh-CN"/>
                    </w:rPr>
                    <w:t>淮南经济技术开发区工业污水处理厂</w:t>
                  </w:r>
                </w:p>
              </w:tc>
              <w:tc>
                <w:tcPr>
                  <w:tcW w:w="404" w:type="pct"/>
                  <w:noWrap w:val="0"/>
                  <w:vAlign w:val="center"/>
                </w:tcPr>
                <w:p w14:paraId="23449B4B">
                  <w:pPr>
                    <w:pStyle w:val="445"/>
                    <w:keepNext w:val="0"/>
                    <w:keepLines w:val="0"/>
                    <w:suppressLineNumbers w:val="0"/>
                    <w:spacing w:before="0" w:beforeAutospacing="0" w:after="0" w:afterAutospacing="0"/>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color w:val="auto"/>
                      <w:szCs w:val="21"/>
                    </w:rPr>
                    <w:t>间接排放</w:t>
                  </w:r>
                </w:p>
              </w:tc>
              <w:tc>
                <w:tcPr>
                  <w:tcW w:w="354" w:type="pct"/>
                  <w:noWrap w:val="0"/>
                  <w:vAlign w:val="center"/>
                </w:tcPr>
                <w:p w14:paraId="0CFC8F5B">
                  <w:pPr>
                    <w:pStyle w:val="445"/>
                    <w:keepNext w:val="0"/>
                    <w:keepLines w:val="0"/>
                    <w:suppressLineNumbers w:val="0"/>
                    <w:spacing w:before="0" w:beforeAutospacing="0" w:after="0" w:afterAutospacing="0"/>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DW001</w:t>
                  </w:r>
                </w:p>
              </w:tc>
              <w:tc>
                <w:tcPr>
                  <w:tcW w:w="519" w:type="pct"/>
                  <w:noWrap w:val="0"/>
                  <w:vAlign w:val="center"/>
                </w:tcPr>
                <w:p w14:paraId="4A095A8C">
                  <w:pPr>
                    <w:pStyle w:val="46"/>
                    <w:keepNext w:val="0"/>
                    <w:keepLines w:val="0"/>
                    <w:suppressLineNumbers w:val="0"/>
                    <w:ind w:left="0" w:right="0"/>
                    <w:jc w:val="center"/>
                    <w:outlineLvl w:val="0"/>
                    <w:rPr>
                      <w:rFonts w:hint="default" w:ascii="Times New Roman" w:hAnsi="Times New Roman" w:eastAsia="宋体" w:cs="Times New Roman"/>
                      <w:snapToGrid w:val="0"/>
                      <w:color w:val="auto"/>
                      <w:sz w:val="21"/>
                      <w:szCs w:val="21"/>
                    </w:rPr>
                  </w:pPr>
                  <w:r>
                    <w:rPr>
                      <w:rFonts w:hint="default" w:ascii="Times New Roman" w:hAnsi="Times New Roman" w:eastAsia="宋体" w:cs="Times New Roman"/>
                      <w:snapToGrid w:val="0"/>
                      <w:color w:val="auto"/>
                      <w:sz w:val="21"/>
                      <w:szCs w:val="21"/>
                      <w:lang w:val="en-US" w:eastAsia="zh-CN"/>
                    </w:rPr>
                    <w:t>T</w:t>
                  </w:r>
                  <w:r>
                    <w:rPr>
                      <w:rFonts w:hint="default" w:ascii="Times New Roman" w:hAnsi="Times New Roman" w:eastAsia="宋体" w:cs="Times New Roman"/>
                      <w:snapToGrid w:val="0"/>
                      <w:color w:val="auto"/>
                      <w:sz w:val="21"/>
                      <w:szCs w:val="21"/>
                    </w:rPr>
                    <w:t>W001</w:t>
                  </w:r>
                </w:p>
              </w:tc>
              <w:tc>
                <w:tcPr>
                  <w:tcW w:w="467" w:type="pct"/>
                  <w:noWrap w:val="0"/>
                  <w:vAlign w:val="center"/>
                </w:tcPr>
                <w:p w14:paraId="4BF7CBAC">
                  <w:pPr>
                    <w:pStyle w:val="46"/>
                    <w:keepNext w:val="0"/>
                    <w:keepLines w:val="0"/>
                    <w:suppressLineNumbers w:val="0"/>
                    <w:spacing w:line="240" w:lineRule="auto"/>
                    <w:ind w:left="0" w:right="0"/>
                    <w:jc w:val="center"/>
                    <w:outlineLvl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化粪池</w:t>
                  </w:r>
                </w:p>
              </w:tc>
              <w:tc>
                <w:tcPr>
                  <w:tcW w:w="594" w:type="pct"/>
                  <w:noWrap w:val="0"/>
                  <w:vAlign w:val="center"/>
                </w:tcPr>
                <w:p w14:paraId="5ED48908">
                  <w:pPr>
                    <w:pStyle w:val="46"/>
                    <w:keepNext w:val="0"/>
                    <w:keepLines w:val="0"/>
                    <w:suppressLineNumbers w:val="0"/>
                    <w:spacing w:line="240" w:lineRule="auto"/>
                    <w:ind w:left="0" w:right="0"/>
                    <w:jc w:val="center"/>
                    <w:outlineLvl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沉淀和厌氧发酵</w:t>
                  </w:r>
                </w:p>
              </w:tc>
              <w:tc>
                <w:tcPr>
                  <w:tcW w:w="415" w:type="pct"/>
                  <w:noWrap w:val="0"/>
                  <w:vAlign w:val="center"/>
                </w:tcPr>
                <w:p w14:paraId="45FFA289">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宋体" w:cs="Times New Roman"/>
                      <w:snapToGrid w:val="0"/>
                      <w:color w:val="auto"/>
                      <w:lang w:eastAsia="zh-CN"/>
                    </w:rPr>
                  </w:pPr>
                  <w:r>
                    <w:rPr>
                      <w:rFonts w:hint="eastAsia" w:ascii="Times New Roman" w:hAnsi="Times New Roman" w:eastAsia="宋体" w:cs="Times New Roman"/>
                      <w:snapToGrid w:val="0"/>
                      <w:color w:val="auto"/>
                      <w:szCs w:val="21"/>
                      <w:lang w:val="en-US" w:eastAsia="zh-CN"/>
                    </w:rPr>
                    <w:t>/</w:t>
                  </w:r>
                </w:p>
              </w:tc>
              <w:tc>
                <w:tcPr>
                  <w:tcW w:w="503" w:type="pct"/>
                  <w:noWrap w:val="0"/>
                  <w:vAlign w:val="center"/>
                </w:tcPr>
                <w:p w14:paraId="0878282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snapToGrid w:val="0"/>
                      <w:color w:val="auto"/>
                    </w:rPr>
                  </w:pPr>
                  <w:r>
                    <w:rPr>
                      <w:rFonts w:hint="default" w:ascii="Times New Roman" w:hAnsi="Times New Roman" w:eastAsia="宋体" w:cs="Times New Roman"/>
                      <w:snapToGrid w:val="0"/>
                      <w:color w:val="auto"/>
                      <w:szCs w:val="21"/>
                    </w:rPr>
                    <w:t>是</w:t>
                  </w:r>
                </w:p>
              </w:tc>
            </w:tr>
          </w:tbl>
          <w:p w14:paraId="5F7CB42D">
            <w:pPr>
              <w:keepNext w:val="0"/>
              <w:keepLines w:val="0"/>
              <w:suppressLineNumbers w:val="0"/>
              <w:adjustRightInd w:val="0"/>
              <w:spacing w:before="0" w:beforeAutospacing="0" w:after="0" w:afterAutospacing="0" w:line="440" w:lineRule="exact"/>
              <w:ind w:left="0" w:right="0" w:firstLine="422" w:firstLineChars="20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表4-</w:t>
            </w:r>
            <w:r>
              <w:rPr>
                <w:rFonts w:hint="eastAsia" w:ascii="Times New Roman" w:hAnsi="Times New Roman" w:eastAsia="宋体" w:cs="Times New Roman"/>
                <w:b/>
                <w:color w:val="auto"/>
                <w:lang w:val="en-US" w:eastAsia="zh-CN"/>
              </w:rPr>
              <w:t>1</w:t>
            </w:r>
            <w:r>
              <w:rPr>
                <w:rFonts w:hint="eastAsia" w:ascii="Times New Roman" w:hAnsi="Times New Roman" w:cs="Times New Roman"/>
                <w:b/>
                <w:color w:val="auto"/>
                <w:lang w:val="en-US" w:eastAsia="zh-CN"/>
              </w:rPr>
              <w:t>3</w:t>
            </w:r>
            <w:r>
              <w:rPr>
                <w:rFonts w:hint="default" w:ascii="Times New Roman" w:hAnsi="Times New Roman" w:eastAsia="宋体" w:cs="Times New Roman"/>
                <w:b/>
                <w:color w:val="auto"/>
              </w:rPr>
              <w:t xml:space="preserve">  废水间接排放口基本情况表</w:t>
            </w:r>
          </w:p>
          <w:tbl>
            <w:tblPr>
              <w:tblStyle w:val="52"/>
              <w:tblW w:w="4996"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4"/>
              <w:gridCol w:w="1037"/>
              <w:gridCol w:w="1037"/>
              <w:gridCol w:w="1537"/>
              <w:gridCol w:w="1713"/>
              <w:gridCol w:w="1024"/>
              <w:gridCol w:w="795"/>
              <w:gridCol w:w="583"/>
              <w:gridCol w:w="1189"/>
              <w:gridCol w:w="1399"/>
              <w:gridCol w:w="1562"/>
              <w:gridCol w:w="807"/>
            </w:tblGrid>
            <w:tr w14:paraId="6529FC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227" w:type="pct"/>
                  <w:vMerge w:val="restart"/>
                  <w:noWrap w:val="0"/>
                  <w:vAlign w:val="center"/>
                </w:tcPr>
                <w:p w14:paraId="5D381D99">
                  <w:pPr>
                    <w:keepNext w:val="0"/>
                    <w:keepLines w:val="0"/>
                    <w:suppressLineNumbers w:val="0"/>
                    <w:spacing w:before="0" w:beforeAutospacing="0" w:after="0" w:afterAutospacing="0"/>
                    <w:ind w:left="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序号</w:t>
                  </w:r>
                </w:p>
              </w:tc>
              <w:tc>
                <w:tcPr>
                  <w:tcW w:w="390" w:type="pct"/>
                  <w:vMerge w:val="restart"/>
                  <w:noWrap w:val="0"/>
                  <w:vAlign w:val="center"/>
                </w:tcPr>
                <w:p w14:paraId="31592D88">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排放口</w:t>
                  </w:r>
                </w:p>
                <w:p w14:paraId="1B7BF84F">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编号</w:t>
                  </w:r>
                </w:p>
              </w:tc>
              <w:tc>
                <w:tcPr>
                  <w:tcW w:w="390" w:type="pct"/>
                  <w:vMerge w:val="restart"/>
                  <w:noWrap w:val="0"/>
                  <w:vAlign w:val="center"/>
                </w:tcPr>
                <w:p w14:paraId="1815976A">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排放口</w:t>
                  </w:r>
                </w:p>
                <w:p w14:paraId="671475D0">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名称</w:t>
                  </w:r>
                </w:p>
              </w:tc>
              <w:tc>
                <w:tcPr>
                  <w:tcW w:w="1222" w:type="pct"/>
                  <w:gridSpan w:val="2"/>
                  <w:noWrap w:val="0"/>
                  <w:vAlign w:val="center"/>
                </w:tcPr>
                <w:p w14:paraId="554848A3">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排放口坐标</w:t>
                  </w:r>
                </w:p>
              </w:tc>
              <w:tc>
                <w:tcPr>
                  <w:tcW w:w="385" w:type="pct"/>
                  <w:vMerge w:val="restart"/>
                  <w:noWrap w:val="0"/>
                  <w:vAlign w:val="center"/>
                </w:tcPr>
                <w:p w14:paraId="194E89DA">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废水排放总量（t/a）</w:t>
                  </w:r>
                </w:p>
              </w:tc>
              <w:tc>
                <w:tcPr>
                  <w:tcW w:w="299" w:type="pct"/>
                  <w:vMerge w:val="restart"/>
                  <w:noWrap w:val="0"/>
                  <w:vAlign w:val="center"/>
                </w:tcPr>
                <w:p w14:paraId="4CAADF9A">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w:t>
                  </w:r>
                </w:p>
                <w:p w14:paraId="040CCFE1">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去向</w:t>
                  </w:r>
                </w:p>
              </w:tc>
              <w:tc>
                <w:tcPr>
                  <w:tcW w:w="219" w:type="pct"/>
                  <w:vMerge w:val="restart"/>
                  <w:noWrap w:val="0"/>
                  <w:vAlign w:val="center"/>
                </w:tcPr>
                <w:p w14:paraId="39F5C4B1">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w:t>
                  </w:r>
                </w:p>
                <w:p w14:paraId="00E8A358">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规律</w:t>
                  </w:r>
                </w:p>
              </w:tc>
              <w:tc>
                <w:tcPr>
                  <w:tcW w:w="1561" w:type="pct"/>
                  <w:gridSpan w:val="3"/>
                  <w:noWrap w:val="0"/>
                  <w:vAlign w:val="center"/>
                </w:tcPr>
                <w:p w14:paraId="1087CE13">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受纳污水处理厂信息</w:t>
                  </w:r>
                </w:p>
              </w:tc>
              <w:tc>
                <w:tcPr>
                  <w:tcW w:w="303" w:type="pct"/>
                  <w:vMerge w:val="restart"/>
                  <w:noWrap w:val="0"/>
                  <w:vAlign w:val="center"/>
                </w:tcPr>
                <w:p w14:paraId="188335CA">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排放口类型</w:t>
                  </w:r>
                </w:p>
              </w:tc>
            </w:tr>
            <w:tr w14:paraId="3F267D9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227" w:type="pct"/>
                  <w:vMerge w:val="continue"/>
                  <w:noWrap w:val="0"/>
                  <w:vAlign w:val="center"/>
                </w:tcPr>
                <w:p w14:paraId="0E85059B">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p>
              </w:tc>
              <w:tc>
                <w:tcPr>
                  <w:tcW w:w="390" w:type="pct"/>
                  <w:vMerge w:val="continue"/>
                  <w:noWrap w:val="0"/>
                  <w:vAlign w:val="center"/>
                </w:tcPr>
                <w:p w14:paraId="3DBAF76E">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p>
              </w:tc>
              <w:tc>
                <w:tcPr>
                  <w:tcW w:w="390" w:type="pct"/>
                  <w:vMerge w:val="continue"/>
                  <w:noWrap w:val="0"/>
                  <w:vAlign w:val="center"/>
                </w:tcPr>
                <w:p w14:paraId="0E24EB7B">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p>
              </w:tc>
              <w:tc>
                <w:tcPr>
                  <w:tcW w:w="578" w:type="pct"/>
                  <w:noWrap w:val="0"/>
                  <w:vAlign w:val="center"/>
                </w:tcPr>
                <w:p w14:paraId="4AFEF2F6">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经度</w:t>
                  </w:r>
                </w:p>
              </w:tc>
              <w:tc>
                <w:tcPr>
                  <w:tcW w:w="644" w:type="pct"/>
                  <w:noWrap w:val="0"/>
                  <w:vAlign w:val="center"/>
                </w:tcPr>
                <w:p w14:paraId="26935729">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纬度</w:t>
                  </w:r>
                </w:p>
              </w:tc>
              <w:tc>
                <w:tcPr>
                  <w:tcW w:w="385" w:type="pct"/>
                  <w:vMerge w:val="continue"/>
                  <w:noWrap w:val="0"/>
                  <w:vAlign w:val="center"/>
                </w:tcPr>
                <w:p w14:paraId="5F4BED2C">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p>
              </w:tc>
              <w:tc>
                <w:tcPr>
                  <w:tcW w:w="299" w:type="pct"/>
                  <w:vMerge w:val="continue"/>
                  <w:noWrap w:val="0"/>
                  <w:vAlign w:val="center"/>
                </w:tcPr>
                <w:p w14:paraId="0307B3C9">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p>
              </w:tc>
              <w:tc>
                <w:tcPr>
                  <w:tcW w:w="219" w:type="pct"/>
                  <w:vMerge w:val="continue"/>
                  <w:noWrap w:val="0"/>
                  <w:vAlign w:val="center"/>
                </w:tcPr>
                <w:p w14:paraId="16B5BCF3">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p>
              </w:tc>
              <w:tc>
                <w:tcPr>
                  <w:tcW w:w="447" w:type="pct"/>
                  <w:noWrap w:val="0"/>
                  <w:vAlign w:val="center"/>
                </w:tcPr>
                <w:p w14:paraId="4025BDD5">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污染物</w:t>
                  </w:r>
                </w:p>
                <w:p w14:paraId="3C49A4A3">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种类</w:t>
                  </w:r>
                </w:p>
              </w:tc>
              <w:tc>
                <w:tcPr>
                  <w:tcW w:w="526" w:type="pct"/>
                  <w:tcBorders>
                    <w:right w:val="single" w:color="auto" w:sz="4" w:space="0"/>
                  </w:tcBorders>
                  <w:noWrap w:val="0"/>
                  <w:vAlign w:val="center"/>
                </w:tcPr>
                <w:p w14:paraId="53F57991">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浓度限值（mg/L）</w:t>
                  </w:r>
                </w:p>
              </w:tc>
              <w:tc>
                <w:tcPr>
                  <w:tcW w:w="587" w:type="pct"/>
                  <w:noWrap w:val="0"/>
                  <w:vAlign w:val="center"/>
                </w:tcPr>
                <w:p w14:paraId="6ACFE035">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排入外环境总量（t/a）</w:t>
                  </w:r>
                </w:p>
              </w:tc>
              <w:tc>
                <w:tcPr>
                  <w:tcW w:w="303" w:type="pct"/>
                  <w:vMerge w:val="continue"/>
                  <w:noWrap w:val="0"/>
                  <w:vAlign w:val="center"/>
                </w:tcPr>
                <w:p w14:paraId="166F5BD0">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p>
              </w:tc>
            </w:tr>
            <w:tr w14:paraId="2D383E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227" w:type="pct"/>
                  <w:vMerge w:val="restart"/>
                  <w:noWrap w:val="0"/>
                  <w:vAlign w:val="center"/>
                </w:tcPr>
                <w:p w14:paraId="66A2FA4B">
                  <w:pPr>
                    <w:keepNext w:val="0"/>
                    <w:keepLines w:val="0"/>
                    <w:suppressLineNumbers w:val="0"/>
                    <w:spacing w:before="0" w:beforeAutospacing="0" w:after="0" w:afterAutospacing="0"/>
                    <w:ind w:left="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390" w:type="pct"/>
                  <w:vMerge w:val="restart"/>
                  <w:noWrap w:val="0"/>
                  <w:vAlign w:val="center"/>
                </w:tcPr>
                <w:p w14:paraId="4F4B0541">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DW001</w:t>
                  </w:r>
                </w:p>
              </w:tc>
              <w:tc>
                <w:tcPr>
                  <w:tcW w:w="390" w:type="pct"/>
                  <w:vMerge w:val="restart"/>
                  <w:noWrap w:val="0"/>
                  <w:vAlign w:val="center"/>
                </w:tcPr>
                <w:p w14:paraId="1DDD9B6C">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污水总排口</w:t>
                  </w:r>
                </w:p>
              </w:tc>
              <w:tc>
                <w:tcPr>
                  <w:tcW w:w="578" w:type="pct"/>
                  <w:vMerge w:val="restart"/>
                  <w:noWrap w:val="0"/>
                  <w:vAlign w:val="center"/>
                </w:tcPr>
                <w:p w14:paraId="0780616A">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117.089562234°</w:t>
                  </w:r>
                </w:p>
              </w:tc>
              <w:tc>
                <w:tcPr>
                  <w:tcW w:w="644" w:type="pct"/>
                  <w:vMerge w:val="restart"/>
                  <w:noWrap w:val="0"/>
                  <w:vAlign w:val="center"/>
                </w:tcPr>
                <w:p w14:paraId="19680B4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32.651570576°</w:t>
                  </w:r>
                </w:p>
              </w:tc>
              <w:tc>
                <w:tcPr>
                  <w:tcW w:w="385" w:type="pct"/>
                  <w:vMerge w:val="restart"/>
                  <w:noWrap w:val="0"/>
                  <w:vAlign w:val="center"/>
                </w:tcPr>
                <w:p w14:paraId="34068399">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240</w:t>
                  </w:r>
                </w:p>
              </w:tc>
              <w:tc>
                <w:tcPr>
                  <w:tcW w:w="299" w:type="pct"/>
                  <w:vMerge w:val="restart"/>
                  <w:noWrap w:val="0"/>
                  <w:vAlign w:val="center"/>
                </w:tcPr>
                <w:p w14:paraId="2AEEB38D">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color w:val="auto"/>
                      <w:sz w:val="21"/>
                      <w:szCs w:val="21"/>
                      <w:lang w:eastAsia="zh-CN"/>
                    </w:rPr>
                    <w:t>淮南经济技术开发区工业污水处理厂</w:t>
                  </w:r>
                </w:p>
              </w:tc>
              <w:tc>
                <w:tcPr>
                  <w:tcW w:w="219" w:type="pct"/>
                  <w:vMerge w:val="restart"/>
                  <w:noWrap w:val="0"/>
                  <w:vAlign w:val="center"/>
                </w:tcPr>
                <w:p w14:paraId="4A9B2991">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间断</w:t>
                  </w:r>
                </w:p>
                <w:p w14:paraId="0EC709B1">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排放</w:t>
                  </w:r>
                </w:p>
              </w:tc>
              <w:tc>
                <w:tcPr>
                  <w:tcW w:w="447" w:type="pct"/>
                  <w:noWrap w:val="0"/>
                  <w:vAlign w:val="center"/>
                </w:tcPr>
                <w:p w14:paraId="3A4D6AAA">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pH</w:t>
                  </w:r>
                </w:p>
              </w:tc>
              <w:tc>
                <w:tcPr>
                  <w:tcW w:w="526" w:type="pct"/>
                  <w:noWrap w:val="0"/>
                  <w:vAlign w:val="center"/>
                </w:tcPr>
                <w:p w14:paraId="138B62A7">
                  <w:pPr>
                    <w:pStyle w:val="151"/>
                    <w:keepNext w:val="0"/>
                    <w:keepLines w:val="0"/>
                    <w:suppressLineNumbers w:val="0"/>
                    <w:overflowPunct w:val="0"/>
                    <w:autoSpaceDE w:val="0"/>
                    <w:autoSpaceDN w:val="0"/>
                    <w:adjustRightIn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w:t>
                  </w:r>
                  <w:r>
                    <w:rPr>
                      <w:rFonts w:hint="eastAsia" w:ascii="Times New Roman" w:hAnsi="Times New Roman" w:cs="Times New Roman"/>
                      <w:color w:val="auto"/>
                      <w:sz w:val="21"/>
                      <w:szCs w:val="21"/>
                      <w:lang w:val="en-US" w:eastAsia="zh-CN"/>
                    </w:rPr>
                    <w:t>~</w:t>
                  </w:r>
                  <w:r>
                    <w:rPr>
                      <w:rFonts w:hint="default" w:ascii="Times New Roman" w:hAnsi="Times New Roman" w:eastAsia="宋体" w:cs="Times New Roman"/>
                      <w:color w:val="auto"/>
                      <w:sz w:val="21"/>
                      <w:szCs w:val="21"/>
                    </w:rPr>
                    <w:t>9</w:t>
                  </w:r>
                </w:p>
              </w:tc>
              <w:tc>
                <w:tcPr>
                  <w:tcW w:w="587" w:type="pct"/>
                  <w:noWrap w:val="0"/>
                  <w:vAlign w:val="center"/>
                </w:tcPr>
                <w:p w14:paraId="312CBA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w:t>
                  </w:r>
                </w:p>
              </w:tc>
              <w:tc>
                <w:tcPr>
                  <w:tcW w:w="303" w:type="pct"/>
                  <w:vMerge w:val="restart"/>
                  <w:noWrap w:val="0"/>
                  <w:vAlign w:val="center"/>
                </w:tcPr>
                <w:p w14:paraId="418D24DB">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一般排放口</w:t>
                  </w:r>
                </w:p>
              </w:tc>
            </w:tr>
            <w:tr w14:paraId="5E5C685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227" w:type="pct"/>
                  <w:vMerge w:val="continue"/>
                  <w:noWrap w:val="0"/>
                  <w:vAlign w:val="center"/>
                </w:tcPr>
                <w:p w14:paraId="74C9FDE1">
                  <w:pPr>
                    <w:keepNext w:val="0"/>
                    <w:keepLines w:val="0"/>
                    <w:suppressLineNumbers w:val="0"/>
                    <w:spacing w:before="0" w:beforeAutospacing="0" w:after="0" w:afterAutospacing="0"/>
                    <w:ind w:left="0" w:right="-105" w:rightChars="-50"/>
                    <w:jc w:val="center"/>
                    <w:rPr>
                      <w:rFonts w:hint="default" w:ascii="Times New Roman" w:hAnsi="Times New Roman" w:eastAsia="宋体" w:cs="Times New Roman"/>
                      <w:color w:val="auto"/>
                      <w:sz w:val="21"/>
                      <w:szCs w:val="21"/>
                    </w:rPr>
                  </w:pPr>
                </w:p>
              </w:tc>
              <w:tc>
                <w:tcPr>
                  <w:tcW w:w="390" w:type="pct"/>
                  <w:vMerge w:val="continue"/>
                  <w:noWrap w:val="0"/>
                  <w:vAlign w:val="center"/>
                </w:tcPr>
                <w:p w14:paraId="2E6A889B">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390" w:type="pct"/>
                  <w:vMerge w:val="continue"/>
                  <w:noWrap w:val="0"/>
                  <w:vAlign w:val="center"/>
                </w:tcPr>
                <w:p w14:paraId="65A0546B">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578" w:type="pct"/>
                  <w:vMerge w:val="continue"/>
                  <w:noWrap w:val="0"/>
                  <w:vAlign w:val="center"/>
                </w:tcPr>
                <w:p w14:paraId="35B19D47">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644" w:type="pct"/>
                  <w:vMerge w:val="continue"/>
                  <w:noWrap w:val="0"/>
                  <w:vAlign w:val="center"/>
                </w:tcPr>
                <w:p w14:paraId="3AEA0ACC">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385" w:type="pct"/>
                  <w:vMerge w:val="continue"/>
                  <w:noWrap w:val="0"/>
                  <w:vAlign w:val="center"/>
                </w:tcPr>
                <w:p w14:paraId="76C9CB53">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299" w:type="pct"/>
                  <w:vMerge w:val="continue"/>
                  <w:noWrap w:val="0"/>
                  <w:vAlign w:val="center"/>
                </w:tcPr>
                <w:p w14:paraId="35328FF9">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219" w:type="pct"/>
                  <w:vMerge w:val="continue"/>
                  <w:noWrap w:val="0"/>
                  <w:vAlign w:val="center"/>
                </w:tcPr>
                <w:p w14:paraId="6622CAE5">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447" w:type="pct"/>
                  <w:noWrap w:val="0"/>
                  <w:vAlign w:val="center"/>
                </w:tcPr>
                <w:p w14:paraId="3677493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COD</w:t>
                  </w:r>
                </w:p>
              </w:tc>
              <w:tc>
                <w:tcPr>
                  <w:tcW w:w="1399" w:type="dxa"/>
                  <w:noWrap w:val="0"/>
                  <w:vAlign w:val="center"/>
                </w:tcPr>
                <w:p w14:paraId="4DC0DA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50</w:t>
                  </w:r>
                </w:p>
              </w:tc>
              <w:tc>
                <w:tcPr>
                  <w:tcW w:w="1562" w:type="dxa"/>
                  <w:noWrap w:val="0"/>
                  <w:vAlign w:val="center"/>
                </w:tcPr>
                <w:p w14:paraId="5FA295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i w:val="0"/>
                      <w:iCs w:val="0"/>
                      <w:color w:val="auto"/>
                      <w:kern w:val="0"/>
                      <w:sz w:val="21"/>
                      <w:szCs w:val="21"/>
                      <w:u w:val="none"/>
                      <w:lang w:val="en-US" w:eastAsia="zh-CN" w:bidi="ar"/>
                    </w:rPr>
                    <w:t xml:space="preserve">0.0120 </w:t>
                  </w:r>
                </w:p>
              </w:tc>
              <w:tc>
                <w:tcPr>
                  <w:tcW w:w="303" w:type="pct"/>
                  <w:vMerge w:val="continue"/>
                  <w:noWrap w:val="0"/>
                  <w:vAlign w:val="center"/>
                </w:tcPr>
                <w:p w14:paraId="4EC55A80">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r>
            <w:tr w14:paraId="5CF0C2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227" w:type="pct"/>
                  <w:vMerge w:val="continue"/>
                  <w:noWrap w:val="0"/>
                  <w:vAlign w:val="center"/>
                </w:tcPr>
                <w:p w14:paraId="0E102EFB">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390" w:type="pct"/>
                  <w:vMerge w:val="continue"/>
                  <w:noWrap w:val="0"/>
                  <w:vAlign w:val="center"/>
                </w:tcPr>
                <w:p w14:paraId="3C8E00E9">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390" w:type="pct"/>
                  <w:vMerge w:val="continue"/>
                  <w:noWrap w:val="0"/>
                  <w:vAlign w:val="center"/>
                </w:tcPr>
                <w:p w14:paraId="229D9C25">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578" w:type="pct"/>
                  <w:vMerge w:val="continue"/>
                  <w:noWrap w:val="0"/>
                  <w:vAlign w:val="center"/>
                </w:tcPr>
                <w:p w14:paraId="5EA0157E">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644" w:type="pct"/>
                  <w:vMerge w:val="continue"/>
                  <w:noWrap w:val="0"/>
                  <w:vAlign w:val="center"/>
                </w:tcPr>
                <w:p w14:paraId="2BD81D44">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385" w:type="pct"/>
                  <w:vMerge w:val="continue"/>
                  <w:noWrap w:val="0"/>
                  <w:vAlign w:val="center"/>
                </w:tcPr>
                <w:p w14:paraId="2B2BE61B">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299" w:type="pct"/>
                  <w:vMerge w:val="continue"/>
                  <w:noWrap w:val="0"/>
                  <w:vAlign w:val="center"/>
                </w:tcPr>
                <w:p w14:paraId="20960EFD">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219" w:type="pct"/>
                  <w:vMerge w:val="continue"/>
                  <w:noWrap w:val="0"/>
                  <w:vAlign w:val="center"/>
                </w:tcPr>
                <w:p w14:paraId="6D81E072">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447" w:type="pct"/>
                  <w:noWrap w:val="0"/>
                  <w:vAlign w:val="center"/>
                </w:tcPr>
                <w:p w14:paraId="430EB6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BOD</w:t>
                  </w:r>
                  <w:r>
                    <w:rPr>
                      <w:rFonts w:hint="default" w:ascii="Times New Roman" w:hAnsi="Times New Roman" w:eastAsia="宋体" w:cs="Times New Roman"/>
                      <w:i w:val="0"/>
                      <w:iCs w:val="0"/>
                      <w:color w:val="auto"/>
                      <w:kern w:val="0"/>
                      <w:sz w:val="21"/>
                      <w:szCs w:val="21"/>
                      <w:u w:val="none"/>
                      <w:vertAlign w:val="subscript"/>
                      <w:lang w:val="en-US" w:eastAsia="zh-CN" w:bidi="ar"/>
                    </w:rPr>
                    <w:t>5</w:t>
                  </w:r>
                </w:p>
              </w:tc>
              <w:tc>
                <w:tcPr>
                  <w:tcW w:w="1399" w:type="dxa"/>
                  <w:noWrap w:val="0"/>
                  <w:vAlign w:val="center"/>
                </w:tcPr>
                <w:p w14:paraId="559E52F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62" w:type="dxa"/>
                  <w:noWrap w:val="0"/>
                  <w:vAlign w:val="center"/>
                </w:tcPr>
                <w:p w14:paraId="6DB21D9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0.0024 </w:t>
                  </w:r>
                </w:p>
              </w:tc>
              <w:tc>
                <w:tcPr>
                  <w:tcW w:w="303" w:type="pct"/>
                  <w:vMerge w:val="continue"/>
                  <w:noWrap w:val="0"/>
                  <w:vAlign w:val="center"/>
                </w:tcPr>
                <w:p w14:paraId="457CA715">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r>
            <w:tr w14:paraId="16B900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227" w:type="pct"/>
                  <w:vMerge w:val="continue"/>
                  <w:noWrap w:val="0"/>
                  <w:vAlign w:val="center"/>
                </w:tcPr>
                <w:p w14:paraId="4B33FDF6">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390" w:type="pct"/>
                  <w:vMerge w:val="continue"/>
                  <w:noWrap w:val="0"/>
                  <w:vAlign w:val="center"/>
                </w:tcPr>
                <w:p w14:paraId="5ACFC14B">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390" w:type="pct"/>
                  <w:vMerge w:val="continue"/>
                  <w:noWrap w:val="0"/>
                  <w:vAlign w:val="center"/>
                </w:tcPr>
                <w:p w14:paraId="4FFA763C">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578" w:type="pct"/>
                  <w:vMerge w:val="continue"/>
                  <w:noWrap w:val="0"/>
                  <w:vAlign w:val="center"/>
                </w:tcPr>
                <w:p w14:paraId="19E480E4">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644" w:type="pct"/>
                  <w:vMerge w:val="continue"/>
                  <w:noWrap w:val="0"/>
                  <w:vAlign w:val="center"/>
                </w:tcPr>
                <w:p w14:paraId="321856B7">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385" w:type="pct"/>
                  <w:vMerge w:val="continue"/>
                  <w:noWrap w:val="0"/>
                  <w:vAlign w:val="center"/>
                </w:tcPr>
                <w:p w14:paraId="55F57E69">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299" w:type="pct"/>
                  <w:vMerge w:val="continue"/>
                  <w:noWrap w:val="0"/>
                  <w:vAlign w:val="center"/>
                </w:tcPr>
                <w:p w14:paraId="1AC0143B">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219" w:type="pct"/>
                  <w:vMerge w:val="continue"/>
                  <w:noWrap w:val="0"/>
                  <w:vAlign w:val="center"/>
                </w:tcPr>
                <w:p w14:paraId="60F341C5">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447" w:type="pct"/>
                  <w:noWrap w:val="0"/>
                  <w:vAlign w:val="center"/>
                </w:tcPr>
                <w:p w14:paraId="0972D6C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NH</w:t>
                  </w:r>
                  <w:r>
                    <w:rPr>
                      <w:rFonts w:hint="default" w:ascii="Times New Roman" w:hAnsi="Times New Roman" w:eastAsia="宋体" w:cs="Times New Roman"/>
                      <w:i w:val="0"/>
                      <w:iCs w:val="0"/>
                      <w:color w:val="auto"/>
                      <w:kern w:val="0"/>
                      <w:sz w:val="21"/>
                      <w:szCs w:val="21"/>
                      <w:u w:val="none"/>
                      <w:vertAlign w:val="subscript"/>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-N</w:t>
                  </w:r>
                </w:p>
              </w:tc>
              <w:tc>
                <w:tcPr>
                  <w:tcW w:w="1399" w:type="dxa"/>
                  <w:noWrap w:val="0"/>
                  <w:vAlign w:val="center"/>
                </w:tcPr>
                <w:p w14:paraId="33A3DF1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i w:val="0"/>
                      <w:iCs w:val="0"/>
                      <w:color w:val="auto"/>
                      <w:kern w:val="0"/>
                      <w:sz w:val="21"/>
                      <w:szCs w:val="21"/>
                      <w:u w:val="none"/>
                      <w:lang w:val="en-US" w:eastAsia="zh-CN" w:bidi="ar"/>
                    </w:rPr>
                    <w:t>5</w:t>
                  </w:r>
                </w:p>
              </w:tc>
              <w:tc>
                <w:tcPr>
                  <w:tcW w:w="1562" w:type="dxa"/>
                  <w:noWrap w:val="0"/>
                  <w:vAlign w:val="center"/>
                </w:tcPr>
                <w:p w14:paraId="5A15FC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i w:val="0"/>
                      <w:iCs w:val="0"/>
                      <w:color w:val="auto"/>
                      <w:kern w:val="0"/>
                      <w:sz w:val="21"/>
                      <w:szCs w:val="21"/>
                      <w:u w:val="none"/>
                      <w:lang w:val="en-US" w:eastAsia="zh-CN" w:bidi="ar"/>
                    </w:rPr>
                    <w:t xml:space="preserve">0.0012 </w:t>
                  </w:r>
                </w:p>
              </w:tc>
              <w:tc>
                <w:tcPr>
                  <w:tcW w:w="303" w:type="pct"/>
                  <w:vMerge w:val="continue"/>
                  <w:noWrap w:val="0"/>
                  <w:vAlign w:val="center"/>
                </w:tcPr>
                <w:p w14:paraId="1BB56712">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r>
            <w:tr w14:paraId="784F9E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227" w:type="pct"/>
                  <w:vMerge w:val="continue"/>
                  <w:noWrap w:val="0"/>
                  <w:vAlign w:val="center"/>
                </w:tcPr>
                <w:p w14:paraId="62BC55B4">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390" w:type="pct"/>
                  <w:vMerge w:val="continue"/>
                  <w:noWrap w:val="0"/>
                  <w:vAlign w:val="center"/>
                </w:tcPr>
                <w:p w14:paraId="62CF3194">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390" w:type="pct"/>
                  <w:vMerge w:val="continue"/>
                  <w:noWrap w:val="0"/>
                  <w:vAlign w:val="center"/>
                </w:tcPr>
                <w:p w14:paraId="1844B768">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578" w:type="pct"/>
                  <w:vMerge w:val="continue"/>
                  <w:noWrap w:val="0"/>
                  <w:vAlign w:val="center"/>
                </w:tcPr>
                <w:p w14:paraId="1E5F50C0">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644" w:type="pct"/>
                  <w:vMerge w:val="continue"/>
                  <w:noWrap w:val="0"/>
                  <w:vAlign w:val="center"/>
                </w:tcPr>
                <w:p w14:paraId="2844AFE9">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385" w:type="pct"/>
                  <w:vMerge w:val="continue"/>
                  <w:noWrap w:val="0"/>
                  <w:vAlign w:val="center"/>
                </w:tcPr>
                <w:p w14:paraId="50695E24">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299" w:type="pct"/>
                  <w:vMerge w:val="continue"/>
                  <w:noWrap w:val="0"/>
                  <w:vAlign w:val="center"/>
                </w:tcPr>
                <w:p w14:paraId="553236A5">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219" w:type="pct"/>
                  <w:vMerge w:val="continue"/>
                  <w:noWrap w:val="0"/>
                  <w:vAlign w:val="center"/>
                </w:tcPr>
                <w:p w14:paraId="53538A9C">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447" w:type="pct"/>
                  <w:noWrap w:val="0"/>
                  <w:vAlign w:val="center"/>
                </w:tcPr>
                <w:p w14:paraId="493D7FE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SS</w:t>
                  </w:r>
                </w:p>
              </w:tc>
              <w:tc>
                <w:tcPr>
                  <w:tcW w:w="1399" w:type="dxa"/>
                  <w:noWrap w:val="0"/>
                  <w:vAlign w:val="center"/>
                </w:tcPr>
                <w:p w14:paraId="6E2DD5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62" w:type="dxa"/>
                  <w:noWrap w:val="0"/>
                  <w:vAlign w:val="center"/>
                </w:tcPr>
                <w:p w14:paraId="718E63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i w:val="0"/>
                      <w:iCs w:val="0"/>
                      <w:color w:val="auto"/>
                      <w:kern w:val="0"/>
                      <w:sz w:val="21"/>
                      <w:szCs w:val="21"/>
                      <w:u w:val="none"/>
                      <w:lang w:val="en-US" w:eastAsia="zh-CN" w:bidi="ar"/>
                    </w:rPr>
                    <w:t xml:space="preserve">0.0024 </w:t>
                  </w:r>
                </w:p>
              </w:tc>
              <w:tc>
                <w:tcPr>
                  <w:tcW w:w="303" w:type="pct"/>
                  <w:vMerge w:val="continue"/>
                  <w:noWrap w:val="0"/>
                  <w:vAlign w:val="center"/>
                </w:tcPr>
                <w:p w14:paraId="5523C3AD">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r>
            <w:tr w14:paraId="52692BA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227" w:type="pct"/>
                  <w:vMerge w:val="continue"/>
                  <w:noWrap w:val="0"/>
                  <w:vAlign w:val="center"/>
                </w:tcPr>
                <w:p w14:paraId="20D206C1">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390" w:type="pct"/>
                  <w:vMerge w:val="continue"/>
                  <w:noWrap w:val="0"/>
                  <w:vAlign w:val="center"/>
                </w:tcPr>
                <w:p w14:paraId="37286C74">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390" w:type="pct"/>
                  <w:vMerge w:val="continue"/>
                  <w:noWrap w:val="0"/>
                  <w:vAlign w:val="center"/>
                </w:tcPr>
                <w:p w14:paraId="4B466B05">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578" w:type="pct"/>
                  <w:vMerge w:val="continue"/>
                  <w:noWrap w:val="0"/>
                  <w:vAlign w:val="center"/>
                </w:tcPr>
                <w:p w14:paraId="318E2BB0">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644" w:type="pct"/>
                  <w:vMerge w:val="continue"/>
                  <w:noWrap w:val="0"/>
                  <w:vAlign w:val="center"/>
                </w:tcPr>
                <w:p w14:paraId="444E57C1">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385" w:type="pct"/>
                  <w:vMerge w:val="continue"/>
                  <w:noWrap w:val="0"/>
                  <w:vAlign w:val="center"/>
                </w:tcPr>
                <w:p w14:paraId="53A6A347">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299" w:type="pct"/>
                  <w:vMerge w:val="continue"/>
                  <w:noWrap w:val="0"/>
                  <w:vAlign w:val="center"/>
                </w:tcPr>
                <w:p w14:paraId="481B4D06">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219" w:type="pct"/>
                  <w:vMerge w:val="continue"/>
                  <w:noWrap w:val="0"/>
                  <w:vAlign w:val="center"/>
                </w:tcPr>
                <w:p w14:paraId="5657BB68">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447" w:type="pct"/>
                  <w:noWrap w:val="0"/>
                  <w:vAlign w:val="center"/>
                </w:tcPr>
                <w:p w14:paraId="3BE6A6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TP</w:t>
                  </w:r>
                </w:p>
              </w:tc>
              <w:tc>
                <w:tcPr>
                  <w:tcW w:w="1399" w:type="dxa"/>
                  <w:noWrap w:val="0"/>
                  <w:vAlign w:val="center"/>
                </w:tcPr>
                <w:p w14:paraId="7539E0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0.5</w:t>
                  </w:r>
                </w:p>
              </w:tc>
              <w:tc>
                <w:tcPr>
                  <w:tcW w:w="1562" w:type="dxa"/>
                  <w:noWrap w:val="0"/>
                  <w:vAlign w:val="center"/>
                </w:tcPr>
                <w:p w14:paraId="0EBC244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0.0001 </w:t>
                  </w:r>
                </w:p>
              </w:tc>
              <w:tc>
                <w:tcPr>
                  <w:tcW w:w="303" w:type="pct"/>
                  <w:vMerge w:val="continue"/>
                  <w:noWrap w:val="0"/>
                  <w:vAlign w:val="center"/>
                </w:tcPr>
                <w:p w14:paraId="7F854E10">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r>
            <w:tr w14:paraId="260BCE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227" w:type="pct"/>
                  <w:vMerge w:val="continue"/>
                  <w:noWrap w:val="0"/>
                  <w:vAlign w:val="center"/>
                </w:tcPr>
                <w:p w14:paraId="6F686EB4">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390" w:type="pct"/>
                  <w:vMerge w:val="continue"/>
                  <w:noWrap w:val="0"/>
                  <w:vAlign w:val="center"/>
                </w:tcPr>
                <w:p w14:paraId="14F3751D">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390" w:type="pct"/>
                  <w:vMerge w:val="continue"/>
                  <w:noWrap w:val="0"/>
                  <w:vAlign w:val="center"/>
                </w:tcPr>
                <w:p w14:paraId="293DAA5A">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578" w:type="pct"/>
                  <w:vMerge w:val="continue"/>
                  <w:noWrap w:val="0"/>
                  <w:vAlign w:val="center"/>
                </w:tcPr>
                <w:p w14:paraId="56D8C6A6">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644" w:type="pct"/>
                  <w:vMerge w:val="continue"/>
                  <w:noWrap w:val="0"/>
                  <w:vAlign w:val="center"/>
                </w:tcPr>
                <w:p w14:paraId="1139347A">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385" w:type="pct"/>
                  <w:vMerge w:val="continue"/>
                  <w:noWrap w:val="0"/>
                  <w:vAlign w:val="center"/>
                </w:tcPr>
                <w:p w14:paraId="310B8E4D">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299" w:type="pct"/>
                  <w:vMerge w:val="continue"/>
                  <w:noWrap w:val="0"/>
                  <w:vAlign w:val="center"/>
                </w:tcPr>
                <w:p w14:paraId="1A34446E">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219" w:type="pct"/>
                  <w:vMerge w:val="continue"/>
                  <w:noWrap w:val="0"/>
                  <w:vAlign w:val="center"/>
                </w:tcPr>
                <w:p w14:paraId="48392CB8">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447" w:type="pct"/>
                  <w:noWrap w:val="0"/>
                  <w:vAlign w:val="center"/>
                </w:tcPr>
                <w:p w14:paraId="024AEC8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TN</w:t>
                  </w:r>
                </w:p>
              </w:tc>
              <w:tc>
                <w:tcPr>
                  <w:tcW w:w="1399" w:type="dxa"/>
                  <w:noWrap w:val="0"/>
                  <w:vAlign w:val="center"/>
                </w:tcPr>
                <w:p w14:paraId="0E7072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562" w:type="dxa"/>
                  <w:noWrap w:val="0"/>
                  <w:vAlign w:val="center"/>
                </w:tcPr>
                <w:p w14:paraId="5354806B">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0.0036 </w:t>
                  </w:r>
                </w:p>
              </w:tc>
              <w:tc>
                <w:tcPr>
                  <w:tcW w:w="303" w:type="pct"/>
                  <w:vMerge w:val="continue"/>
                  <w:noWrap w:val="0"/>
                  <w:vAlign w:val="center"/>
                </w:tcPr>
                <w:p w14:paraId="4CC3EE36">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r>
          </w:tbl>
          <w:p w14:paraId="0E3F2FA8">
            <w:pPr>
              <w:keepNext w:val="0"/>
              <w:keepLines w:val="0"/>
              <w:suppressLineNumbers w:val="0"/>
              <w:spacing w:before="0" w:beforeAutospacing="0" w:after="0" w:afterAutospacing="0"/>
              <w:ind w:left="0" w:right="0"/>
              <w:rPr>
                <w:rFonts w:hint="default" w:ascii="Times New Roman" w:hAnsi="Times New Roman" w:eastAsia="宋体" w:cs="Times New Roman"/>
                <w:color w:val="0000FF"/>
                <w:sz w:val="30"/>
                <w:szCs w:val="30"/>
              </w:rPr>
            </w:pPr>
          </w:p>
        </w:tc>
      </w:tr>
    </w:tbl>
    <w:p w14:paraId="2B08A7B0">
      <w:pPr>
        <w:pStyle w:val="46"/>
        <w:spacing w:before="120" w:beforeLines="50" w:beforeAutospacing="0" w:after="0" w:afterAutospacing="0" w:line="360" w:lineRule="auto"/>
        <w:jc w:val="center"/>
        <w:outlineLvl w:val="0"/>
        <w:rPr>
          <w:rFonts w:hint="default" w:ascii="Times New Roman" w:hAnsi="Times New Roman" w:eastAsia="宋体" w:cs="Times New Roman"/>
          <w:snapToGrid w:val="0"/>
          <w:color w:val="0000FF"/>
          <w:sz w:val="30"/>
          <w:szCs w:val="30"/>
        </w:rPr>
        <w:sectPr>
          <w:pgSz w:w="16840" w:h="11907" w:orient="landscape"/>
          <w:pgMar w:top="1440" w:right="1440" w:bottom="1440" w:left="1389" w:header="851" w:footer="851" w:gutter="0"/>
          <w:pgBorders>
            <w:top w:val="none" w:sz="0" w:space="0"/>
            <w:left w:val="none" w:sz="0" w:space="0"/>
            <w:bottom w:val="none" w:sz="0" w:space="0"/>
            <w:right w:val="none" w:sz="0" w:space="0"/>
          </w:pgBorders>
          <w:pgNumType w:fmt="numberInDash"/>
          <w:cols w:space="720" w:num="1"/>
          <w:docGrid w:linePitch="312" w:charSpace="0"/>
        </w:sectPr>
      </w:pPr>
    </w:p>
    <w:tbl>
      <w:tblPr>
        <w:tblStyle w:val="52"/>
        <w:tblW w:w="95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8838"/>
      </w:tblGrid>
      <w:tr w14:paraId="41EA4B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15" w:hRule="atLeast"/>
          <w:jc w:val="center"/>
        </w:trPr>
        <w:tc>
          <w:tcPr>
            <w:tcW w:w="699" w:type="dxa"/>
            <w:noWrap w:val="0"/>
            <w:tcMar>
              <w:left w:w="28" w:type="dxa"/>
              <w:right w:w="28" w:type="dxa"/>
            </w:tcMar>
            <w:vAlign w:val="center"/>
          </w:tcPr>
          <w:p w14:paraId="25B6FA3D">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33A5F24A">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F643A64">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4092F628">
            <w:pPr>
              <w:pStyle w:val="6"/>
              <w:suppressLineNumbers w:val="0"/>
              <w:spacing w:beforeAutospacing="0" w:afterAutospacing="0"/>
              <w:ind w:left="0" w:right="0"/>
              <w:outlineLvl w:val="3"/>
              <w:rPr>
                <w:rFonts w:hint="default" w:ascii="Times New Roman" w:hAnsi="Times New Roman" w:eastAsia="宋体" w:cs="Times New Roman"/>
                <w:color w:val="auto"/>
              </w:rPr>
            </w:pPr>
          </w:p>
          <w:p w14:paraId="22842A2F">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6724861F">
            <w:pPr>
              <w:pStyle w:val="6"/>
              <w:suppressLineNumbers w:val="0"/>
              <w:spacing w:beforeAutospacing="0" w:afterAutospacing="0"/>
              <w:ind w:left="0" w:right="0"/>
              <w:outlineLvl w:val="3"/>
              <w:rPr>
                <w:rFonts w:hint="default" w:ascii="Times New Roman" w:hAnsi="Times New Roman" w:eastAsia="宋体" w:cs="Times New Roman"/>
                <w:color w:val="auto"/>
              </w:rPr>
            </w:pPr>
          </w:p>
          <w:p w14:paraId="35948F59">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6929F00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1008A9D">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37F4569">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AA13C4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2922452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51324E4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2372BC8F">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1339F90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17787AF5">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措施</w:t>
            </w:r>
          </w:p>
          <w:p w14:paraId="609243CB">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5495FEBE">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60D191A7">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118B3EF0">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9322BFF">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351FA1C">
            <w:pPr>
              <w:pStyle w:val="6"/>
              <w:suppressLineNumbers w:val="0"/>
              <w:spacing w:beforeAutospacing="0" w:afterAutospacing="0"/>
              <w:ind w:left="0" w:right="0"/>
              <w:outlineLvl w:val="3"/>
              <w:rPr>
                <w:rFonts w:hint="default" w:ascii="Times New Roman" w:hAnsi="Times New Roman" w:eastAsia="宋体" w:cs="Times New Roman"/>
                <w:color w:val="auto"/>
              </w:rPr>
            </w:pPr>
          </w:p>
          <w:p w14:paraId="14EB8143">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2D87CE81">
            <w:pPr>
              <w:pStyle w:val="6"/>
              <w:suppressLineNumbers w:val="0"/>
              <w:spacing w:beforeAutospacing="0" w:afterAutospacing="0"/>
              <w:ind w:left="0" w:right="0"/>
              <w:outlineLvl w:val="3"/>
              <w:rPr>
                <w:rFonts w:hint="default" w:ascii="Times New Roman" w:hAnsi="Times New Roman" w:eastAsia="宋体" w:cs="Times New Roman"/>
                <w:color w:val="auto"/>
              </w:rPr>
            </w:pPr>
          </w:p>
          <w:p w14:paraId="5E5F18D8">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4B71A3B2">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3426DDED">
            <w:pPr>
              <w:keepNext w:val="0"/>
              <w:keepLines w:val="0"/>
              <w:suppressLineNumbers w:val="0"/>
              <w:adjustRightInd w:val="0"/>
              <w:snapToGrid w:val="0"/>
              <w:spacing w:before="0" w:beforeAutospacing="0" w:after="0" w:afterAutospacing="0" w:line="440" w:lineRule="exact"/>
              <w:ind w:left="0" w:right="0"/>
              <w:rPr>
                <w:rFonts w:hint="default" w:ascii="Times New Roman" w:hAnsi="Times New Roman" w:eastAsia="宋体" w:cs="Times New Roman"/>
                <w:color w:val="auto"/>
              </w:rPr>
            </w:pPr>
          </w:p>
          <w:p w14:paraId="0F5802BA">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15D4EC14">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35457A21">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67EB3A06">
            <w:pPr>
              <w:pStyle w:val="6"/>
              <w:suppressLineNumbers w:val="0"/>
              <w:spacing w:beforeAutospacing="0" w:afterAutospacing="0"/>
              <w:ind w:left="0" w:right="0"/>
              <w:outlineLvl w:val="3"/>
              <w:rPr>
                <w:rFonts w:hint="default" w:ascii="Times New Roman" w:hAnsi="Times New Roman" w:eastAsia="宋体" w:cs="Times New Roman"/>
                <w:color w:val="auto"/>
              </w:rPr>
            </w:pPr>
          </w:p>
          <w:p w14:paraId="4FC4323F">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0BE5F88A">
            <w:pPr>
              <w:pStyle w:val="6"/>
              <w:suppressLineNumbers w:val="0"/>
              <w:spacing w:beforeAutospacing="0" w:afterAutospacing="0"/>
              <w:ind w:left="0" w:right="0"/>
              <w:outlineLvl w:val="3"/>
              <w:rPr>
                <w:rFonts w:hint="default" w:ascii="Times New Roman" w:hAnsi="Times New Roman" w:eastAsia="宋体" w:cs="Times New Roman"/>
                <w:color w:val="auto"/>
              </w:rPr>
            </w:pPr>
          </w:p>
          <w:p w14:paraId="6D550E6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95514D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39AFEE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31F7D501">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0BACC4F2">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7F6C2FA3">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71EE7456">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598BB58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7BDDD229">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049F5E1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措施</w:t>
            </w:r>
          </w:p>
          <w:p w14:paraId="1A0A869D">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9B16EFF">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A83AE5E">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50258FA">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3BFD3BD9">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79CC139">
            <w:pPr>
              <w:pStyle w:val="6"/>
              <w:suppressLineNumbers w:val="0"/>
              <w:spacing w:beforeAutospacing="0" w:afterAutospacing="0"/>
              <w:ind w:left="0" w:right="0"/>
              <w:outlineLvl w:val="3"/>
              <w:rPr>
                <w:rFonts w:hint="default" w:ascii="Times New Roman" w:hAnsi="Times New Roman" w:eastAsia="宋体" w:cs="Times New Roman"/>
                <w:color w:val="auto"/>
              </w:rPr>
            </w:pPr>
          </w:p>
          <w:p w14:paraId="7481117E">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2FBD0453">
            <w:pPr>
              <w:pStyle w:val="6"/>
              <w:suppressLineNumbers w:val="0"/>
              <w:spacing w:beforeAutospacing="0" w:afterAutospacing="0"/>
              <w:ind w:left="0" w:right="0"/>
              <w:outlineLvl w:val="3"/>
              <w:rPr>
                <w:rFonts w:hint="default" w:ascii="Times New Roman" w:hAnsi="Times New Roman" w:eastAsia="宋体" w:cs="Times New Roman"/>
                <w:color w:val="auto"/>
              </w:rPr>
            </w:pPr>
          </w:p>
          <w:p w14:paraId="7DC40AC8">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471DA34F">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1063C019">
            <w:pPr>
              <w:pStyle w:val="2"/>
              <w:keepNext w:val="0"/>
              <w:keepLines w:val="0"/>
              <w:suppressLineNumbers w:val="0"/>
              <w:spacing w:beforeAutospacing="0" w:afterAutospacing="0"/>
              <w:ind w:left="0"/>
              <w:rPr>
                <w:rFonts w:hint="default"/>
                <w:color w:val="auto"/>
              </w:rPr>
            </w:pPr>
          </w:p>
        </w:tc>
        <w:tc>
          <w:tcPr>
            <w:tcW w:w="8838" w:type="dxa"/>
            <w:noWrap w:val="0"/>
            <w:vAlign w:val="top"/>
          </w:tcPr>
          <w:p w14:paraId="43C2E94F">
            <w:pPr>
              <w:keepNext w:val="0"/>
              <w:keepLines w:val="0"/>
              <w:suppressLineNumbers w:val="0"/>
              <w:snapToGrid w:val="0"/>
              <w:spacing w:before="0" w:beforeAutospacing="0" w:after="0" w:afterAutospacing="0" w:line="460" w:lineRule="exact"/>
              <w:ind w:left="0" w:right="0" w:firstLine="482"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bCs/>
                <w:color w:val="auto"/>
                <w:sz w:val="24"/>
                <w:szCs w:val="24"/>
              </w:rPr>
              <w:t>2.3</w:t>
            </w:r>
            <w:r>
              <w:rPr>
                <w:rFonts w:hint="eastAsia" w:ascii="Times New Roman" w:hAnsi="Times New Roman" w:eastAsia="Times New Roman" w:cs="宋体"/>
                <w:b/>
                <w:bCs/>
                <w:color w:val="auto"/>
                <w:kern w:val="0"/>
                <w:sz w:val="24"/>
                <w:szCs w:val="24"/>
                <w:lang w:bidi="ar"/>
              </w:rPr>
              <w:t>污染防治措施可行性分析</w:t>
            </w:r>
          </w:p>
          <w:p w14:paraId="2DAE94A9">
            <w:pPr>
              <w:pStyle w:val="235"/>
              <w:keepNext w:val="0"/>
              <w:keepLines w:val="0"/>
              <w:pageBreakBefore w:val="0"/>
              <w:suppressLineNumbers w:val="0"/>
              <w:kinsoku/>
              <w:wordWrap/>
              <w:overflowPunct/>
              <w:topLinePunct w:val="0"/>
              <w:bidi w:val="0"/>
              <w:adjustRightInd w:val="0"/>
              <w:spacing w:before="0" w:beforeAutospacing="0" w:after="0" w:afterAutospacing="0" w:line="460" w:lineRule="exact"/>
              <w:ind w:left="0" w:right="0" w:firstLine="480"/>
              <w:textAlignment w:val="auto"/>
              <w:rPr>
                <w:rFonts w:hint="default" w:ascii="Times New Roman" w:hAnsi="Times New Roman" w:eastAsia="宋体" w:cs="Times New Roman"/>
                <w:color w:val="auto"/>
              </w:rPr>
            </w:pPr>
            <w:r>
              <w:rPr>
                <w:rFonts w:hint="default" w:ascii="Times New Roman" w:hAnsi="Times New Roman" w:eastAsia="宋体" w:cs="Times New Roman"/>
                <w:b w:val="0"/>
                <w:bCs w:val="0"/>
                <w:color w:val="auto"/>
              </w:rPr>
              <w:t>（1）</w:t>
            </w:r>
            <w:r>
              <w:rPr>
                <w:rFonts w:hint="default" w:ascii="Times New Roman" w:hAnsi="Times New Roman" w:eastAsia="Times New Roman" w:cs="Times New Roman"/>
                <w:color w:val="auto"/>
                <w:sz w:val="24"/>
              </w:rPr>
              <w:t>生活污水处理措施技术可行性论证</w:t>
            </w:r>
          </w:p>
          <w:p w14:paraId="1AA62E4B">
            <w:pPr>
              <w:pStyle w:val="62"/>
              <w:keepNext w:val="0"/>
              <w:keepLines w:val="0"/>
              <w:suppressLineNumbers w:val="0"/>
              <w:bidi w:val="0"/>
              <w:spacing w:before="0" w:beforeAutospacing="0" w:after="0" w:afterAutospacing="0"/>
              <w:ind w:left="0" w:right="0"/>
              <w:jc w:val="both"/>
              <w:rPr>
                <w:rFonts w:hint="eastAsia" w:eastAsia="宋体"/>
                <w:color w:val="0000FF"/>
                <w:sz w:val="24"/>
                <w:lang w:eastAsia="zh-CN"/>
              </w:rPr>
            </w:pPr>
            <w:r>
              <w:rPr>
                <w:rFonts w:hint="default"/>
                <w:color w:val="auto"/>
                <w:sz w:val="24"/>
              </w:rPr>
              <w:t>本项目生活污水产生量为</w:t>
            </w:r>
            <w:r>
              <w:rPr>
                <w:rFonts w:hint="eastAsia"/>
                <w:color w:val="auto"/>
                <w:sz w:val="24"/>
                <w:lang w:val="en-US" w:eastAsia="zh-CN"/>
              </w:rPr>
              <w:t>24</w:t>
            </w:r>
            <w:r>
              <w:rPr>
                <w:rFonts w:hint="eastAsia"/>
                <w:color w:val="auto"/>
                <w:sz w:val="24"/>
              </w:rPr>
              <w:t>0</w:t>
            </w:r>
            <w:r>
              <w:rPr>
                <w:rFonts w:hint="default"/>
                <w:color w:val="auto"/>
                <w:sz w:val="24"/>
              </w:rPr>
              <w:t>m</w:t>
            </w:r>
            <w:r>
              <w:rPr>
                <w:rFonts w:hint="default"/>
                <w:color w:val="auto"/>
                <w:sz w:val="24"/>
                <w:vertAlign w:val="superscript"/>
              </w:rPr>
              <w:t>3</w:t>
            </w:r>
            <w:r>
              <w:rPr>
                <w:rFonts w:hint="default"/>
                <w:color w:val="auto"/>
                <w:sz w:val="24"/>
              </w:rPr>
              <w:t>/a，</w:t>
            </w:r>
            <w:r>
              <w:rPr>
                <w:rFonts w:hint="eastAsia"/>
                <w:color w:val="auto"/>
                <w:sz w:val="24"/>
              </w:rPr>
              <w:t>主要污染因子为COD、NH</w:t>
            </w:r>
            <w:r>
              <w:rPr>
                <w:rFonts w:hint="eastAsia"/>
                <w:color w:val="auto"/>
                <w:sz w:val="24"/>
                <w:vertAlign w:val="subscript"/>
              </w:rPr>
              <w:t>3</w:t>
            </w:r>
            <w:r>
              <w:rPr>
                <w:rFonts w:hint="eastAsia"/>
                <w:color w:val="auto"/>
                <w:sz w:val="24"/>
              </w:rPr>
              <w:t>-N、SS</w:t>
            </w:r>
            <w:r>
              <w:rPr>
                <w:rFonts w:hint="eastAsia"/>
                <w:color w:val="auto"/>
                <w:sz w:val="24"/>
                <w:lang w:eastAsia="zh-CN"/>
              </w:rPr>
              <w:t>、</w:t>
            </w:r>
            <w:r>
              <w:rPr>
                <w:rFonts w:hint="eastAsia"/>
                <w:color w:val="auto"/>
                <w:sz w:val="24"/>
              </w:rPr>
              <w:t>BOD</w:t>
            </w:r>
            <w:r>
              <w:rPr>
                <w:rFonts w:hint="eastAsia"/>
                <w:color w:val="auto"/>
                <w:sz w:val="24"/>
                <w:vertAlign w:val="subscript"/>
              </w:rPr>
              <w:t>5</w:t>
            </w:r>
            <w:r>
              <w:rPr>
                <w:rFonts w:hint="eastAsia"/>
                <w:color w:val="auto"/>
                <w:sz w:val="24"/>
                <w:vertAlign w:val="baseline"/>
                <w:lang w:eastAsia="zh-CN"/>
              </w:rPr>
              <w:t>、</w:t>
            </w:r>
            <w:r>
              <w:rPr>
                <w:rFonts w:hint="eastAsia"/>
                <w:color w:val="auto"/>
                <w:sz w:val="24"/>
                <w:vertAlign w:val="baseline"/>
                <w:lang w:val="en-US" w:eastAsia="zh-CN"/>
              </w:rPr>
              <w:t>TP、TN</w:t>
            </w:r>
            <w:r>
              <w:rPr>
                <w:rFonts w:hint="eastAsia"/>
                <w:color w:val="auto"/>
                <w:sz w:val="24"/>
              </w:rPr>
              <w:t>等</w:t>
            </w:r>
            <w:r>
              <w:rPr>
                <w:rFonts w:hint="eastAsia"/>
                <w:color w:val="auto"/>
                <w:sz w:val="24"/>
                <w:lang w:eastAsia="zh-CN"/>
              </w:rPr>
              <w:t>；</w:t>
            </w:r>
            <w:r>
              <w:rPr>
                <w:rFonts w:hint="default"/>
                <w:color w:val="auto"/>
                <w:sz w:val="24"/>
              </w:rPr>
              <w:t>生活污水经</w:t>
            </w:r>
            <w:r>
              <w:rPr>
                <w:rFonts w:hint="eastAsia"/>
                <w:color w:val="auto"/>
                <w:sz w:val="24"/>
              </w:rPr>
              <w:t>化粪池处理后，</w:t>
            </w:r>
            <w:r>
              <w:rPr>
                <w:rFonts w:hint="eastAsia"/>
                <w:color w:val="auto"/>
                <w:sz w:val="24"/>
                <w:lang w:val="en-US" w:eastAsia="zh-CN"/>
              </w:rPr>
              <w:t>满足</w:t>
            </w:r>
            <w:r>
              <w:rPr>
                <w:rFonts w:hint="eastAsia"/>
                <w:color w:val="auto"/>
                <w:sz w:val="24"/>
              </w:rPr>
              <w:t>《污水综合排放标准》（GB8978-1996）和</w:t>
            </w:r>
            <w:r>
              <w:rPr>
                <w:rFonts w:hint="default" w:ascii="Times New Roman" w:hAnsi="Times New Roman"/>
                <w:color w:val="auto"/>
                <w:sz w:val="24"/>
                <w:szCs w:val="24"/>
                <w:lang w:eastAsia="zh-CN"/>
              </w:rPr>
              <w:t>淮南经济技术开发区工业污水处理厂</w:t>
            </w:r>
            <w:r>
              <w:rPr>
                <w:rFonts w:hint="eastAsia"/>
                <w:color w:val="auto"/>
                <w:sz w:val="24"/>
              </w:rPr>
              <w:t>接管标准后</w:t>
            </w:r>
            <w:r>
              <w:rPr>
                <w:rFonts w:hint="eastAsia"/>
                <w:color w:val="auto"/>
                <w:sz w:val="24"/>
                <w:lang w:eastAsia="zh-CN"/>
              </w:rPr>
              <w:t>，</w:t>
            </w:r>
            <w:r>
              <w:rPr>
                <w:rFonts w:hint="eastAsia"/>
                <w:color w:val="auto"/>
                <w:sz w:val="24"/>
                <w:lang w:val="en-US" w:eastAsia="zh-CN"/>
              </w:rPr>
              <w:t>由</w:t>
            </w:r>
            <w:r>
              <w:rPr>
                <w:rFonts w:hint="eastAsia"/>
                <w:color w:val="auto"/>
                <w:sz w:val="24"/>
              </w:rPr>
              <w:t>市政污水管网</w:t>
            </w:r>
            <w:r>
              <w:rPr>
                <w:rFonts w:hint="eastAsia" w:cs="宋体"/>
                <w:color w:val="auto"/>
                <w:sz w:val="24"/>
              </w:rPr>
              <w:t>接入</w:t>
            </w:r>
            <w:r>
              <w:rPr>
                <w:rFonts w:hint="default" w:ascii="Times New Roman" w:hAnsi="Times New Roman"/>
                <w:color w:val="auto"/>
                <w:sz w:val="24"/>
                <w:szCs w:val="24"/>
                <w:lang w:eastAsia="zh-CN"/>
              </w:rPr>
              <w:t>淮南经济技术开发区工业污水处理厂</w:t>
            </w:r>
            <w:r>
              <w:rPr>
                <w:rFonts w:hint="eastAsia" w:cs="宋体"/>
                <w:color w:val="auto"/>
                <w:sz w:val="24"/>
                <w:lang w:eastAsia="zh-CN"/>
              </w:rPr>
              <w:t>。</w:t>
            </w:r>
          </w:p>
          <w:p w14:paraId="3ADE5FFB">
            <w:pPr>
              <w:pStyle w:val="235"/>
              <w:keepNext w:val="0"/>
              <w:keepLines w:val="0"/>
              <w:suppressLineNumbers w:val="0"/>
              <w:adjustRightInd w:val="0"/>
              <w:spacing w:before="0" w:beforeAutospacing="0" w:after="0" w:afterAutospacing="0"/>
              <w:ind w:left="0" w:right="0" w:firstLine="480"/>
              <w:rPr>
                <w:rFonts w:hint="default" w:ascii="Times New Roman" w:hAnsi="Times New Roman" w:eastAsia="宋体" w:cs="Times New Roman"/>
                <w:color w:val="auto"/>
                <w:sz w:val="24"/>
                <w:szCs w:val="24"/>
              </w:rPr>
            </w:pPr>
            <w:r>
              <w:rPr>
                <w:rFonts w:hint="default" w:ascii="Times New Roman" w:hAnsi="Times New Roman" w:cs="Times New Roman"/>
                <w:color w:val="auto"/>
                <w:sz w:val="24"/>
                <w:szCs w:val="24"/>
                <w:lang w:eastAsia="zh-CN" w:bidi="ar"/>
              </w:rPr>
              <w:t>（</w:t>
            </w:r>
            <w:r>
              <w:rPr>
                <w:rFonts w:hint="default" w:ascii="Times New Roman" w:hAnsi="Times New Roman" w:cs="Times New Roman"/>
                <w:color w:val="auto"/>
                <w:sz w:val="24"/>
                <w:szCs w:val="24"/>
                <w:lang w:val="en-US" w:eastAsia="zh-CN" w:bidi="ar"/>
              </w:rPr>
              <w:t>2</w:t>
            </w:r>
            <w:r>
              <w:rPr>
                <w:rFonts w:hint="default" w:ascii="Times New Roman" w:hAnsi="Times New Roman" w:cs="Times New Roman"/>
                <w:color w:val="auto"/>
                <w:sz w:val="24"/>
                <w:szCs w:val="24"/>
                <w:lang w:eastAsia="zh-CN" w:bidi="ar"/>
              </w:rPr>
              <w:t>）</w:t>
            </w:r>
            <w:r>
              <w:rPr>
                <w:rFonts w:hint="eastAsia" w:cs="宋体"/>
                <w:color w:val="auto"/>
                <w:sz w:val="24"/>
                <w:szCs w:val="24"/>
                <w:lang w:bidi="ar"/>
              </w:rPr>
              <w:t>依托区域污水处理设施的可行性分析</w:t>
            </w:r>
          </w:p>
          <w:p w14:paraId="48D13997">
            <w:pPr>
              <w:pStyle w:val="235"/>
              <w:keepNext w:val="0"/>
              <w:keepLines w:val="0"/>
              <w:suppressLineNumbers w:val="0"/>
              <w:adjustRightInd w:val="0"/>
              <w:spacing w:before="0" w:beforeAutospacing="0" w:after="0" w:afterAutospacing="0"/>
              <w:ind w:left="0" w:right="0" w:firstLine="480"/>
              <w:rPr>
                <w:rFonts w:hint="default" w:ascii="Times New Roman" w:hAnsi="Times New Roman" w:eastAsia="宋体" w:cs="Times New Roman"/>
                <w:color w:val="0000FF"/>
                <w:sz w:val="24"/>
                <w:szCs w:val="24"/>
                <w:lang w:val="en-US" w:eastAsia="zh-CN"/>
              </w:rPr>
            </w:pPr>
            <w:r>
              <w:rPr>
                <w:rFonts w:hint="default" w:ascii="Times New Roman" w:hAnsi="Times New Roman" w:eastAsia="宋体" w:cs="Times New Roman"/>
                <w:color w:val="auto"/>
                <w:sz w:val="24"/>
                <w:szCs w:val="24"/>
              </w:rPr>
              <w:t>①</w:t>
            </w:r>
            <w:r>
              <w:rPr>
                <w:rFonts w:hint="default" w:ascii="Times New Roman" w:hAnsi="Times New Roman"/>
                <w:color w:val="auto"/>
                <w:sz w:val="24"/>
                <w:szCs w:val="24"/>
                <w:lang w:eastAsia="zh-CN"/>
              </w:rPr>
              <w:t>淮南经济技术开发区工业污水处理厂</w:t>
            </w:r>
            <w:r>
              <w:rPr>
                <w:rFonts w:hint="eastAsia" w:ascii="Times New Roman" w:hAnsi="Times New Roman" w:eastAsia="宋体" w:cs="Times New Roman"/>
                <w:color w:val="auto"/>
                <w:sz w:val="24"/>
                <w:szCs w:val="24"/>
                <w:lang w:val="en-US" w:eastAsia="zh-CN"/>
              </w:rPr>
              <w:t>收水</w:t>
            </w:r>
            <w:r>
              <w:rPr>
                <w:rFonts w:hint="default" w:ascii="Times New Roman" w:hAnsi="Times New Roman" w:eastAsia="宋体" w:cs="Times New Roman"/>
                <w:color w:val="auto"/>
                <w:sz w:val="24"/>
                <w:szCs w:val="24"/>
              </w:rPr>
              <w:t>范围</w:t>
            </w:r>
            <w:r>
              <w:rPr>
                <w:rFonts w:hint="eastAsia" w:ascii="Times New Roman" w:hAnsi="Times New Roman" w:eastAsia="宋体" w:cs="Times New Roman"/>
                <w:color w:val="auto"/>
                <w:sz w:val="24"/>
                <w:szCs w:val="24"/>
                <w:lang w:val="en-US" w:eastAsia="zh-CN"/>
              </w:rPr>
              <w:t>及污水处理工艺</w:t>
            </w:r>
          </w:p>
          <w:p w14:paraId="04983A6F">
            <w:pPr>
              <w:pStyle w:val="62"/>
              <w:keepNext w:val="0"/>
              <w:keepLines w:val="0"/>
              <w:suppressLineNumbers w:val="0"/>
              <w:bidi w:val="0"/>
              <w:spacing w:before="0" w:beforeAutospacing="0" w:after="0" w:afterAutospacing="0"/>
              <w:ind w:left="0" w:right="0"/>
              <w:rPr>
                <w:rFonts w:hint="default"/>
                <w:color w:val="auto"/>
              </w:rPr>
            </w:pPr>
            <w:r>
              <w:rPr>
                <w:rFonts w:hint="default"/>
                <w:color w:val="auto"/>
              </w:rPr>
              <w:t>淮南经济技术开发区污水处理厂是一座已建成运营，淮南经济技术开发区污水处理厂采用较为先进的污水处理工艺，其设计规模为</w:t>
            </w:r>
            <w:r>
              <w:rPr>
                <w:rFonts w:hint="eastAsia"/>
                <w:color w:val="auto"/>
              </w:rPr>
              <w:t>3</w:t>
            </w:r>
            <w:r>
              <w:rPr>
                <w:rFonts w:hint="default"/>
                <w:color w:val="auto"/>
              </w:rPr>
              <w:t>万立方米/日，</w:t>
            </w:r>
            <w:r>
              <w:rPr>
                <w:rFonts w:hint="eastAsia"/>
                <w:color w:val="auto"/>
              </w:rPr>
              <w:t>服务范围主要为整个淮南经济技术开发区的工业废水和生活污水及大通区的部分工业废水和生活污水（大通区的废水占处理总量的10%左右）。</w:t>
            </w:r>
            <w:r>
              <w:rPr>
                <w:rFonts w:hint="default"/>
                <w:color w:val="auto"/>
              </w:rPr>
              <w:t>处理工艺采用</w:t>
            </w:r>
            <w:r>
              <w:rPr>
                <w:rFonts w:hint="eastAsia" w:ascii="宋体" w:hAnsi="宋体" w:eastAsia="宋体" w:cs="宋体"/>
                <w:color w:val="auto"/>
              </w:rPr>
              <w:t>“</w:t>
            </w:r>
            <w:r>
              <w:rPr>
                <w:rFonts w:hint="eastAsia"/>
                <w:color w:val="auto"/>
              </w:rPr>
              <w:t>调节+</w:t>
            </w:r>
            <w:r>
              <w:rPr>
                <w:rFonts w:hint="default"/>
                <w:color w:val="auto"/>
              </w:rPr>
              <w:t>水解酸化+Bardenpho工艺</w:t>
            </w:r>
            <w:r>
              <w:rPr>
                <w:rFonts w:hint="eastAsia"/>
                <w:color w:val="auto"/>
              </w:rPr>
              <w:t>+芬顿氧化+混凝沉淀+复合滤料滤池+次氯酸钠消毒处理工艺</w:t>
            </w:r>
            <w:r>
              <w:rPr>
                <w:rFonts w:hint="eastAsia" w:ascii="宋体" w:hAnsi="宋体" w:eastAsia="宋体" w:cs="宋体"/>
                <w:color w:val="auto"/>
              </w:rPr>
              <w:t>”</w:t>
            </w:r>
            <w:r>
              <w:rPr>
                <w:rFonts w:hint="default"/>
                <w:color w:val="auto"/>
              </w:rPr>
              <w:t>，尾水排放执行国家《城镇污水处理厂污染物排放标准》（GB18918-2002）的一级A标准，排入</w:t>
            </w:r>
            <w:r>
              <w:rPr>
                <w:rFonts w:hint="eastAsia"/>
                <w:color w:val="auto"/>
              </w:rPr>
              <w:t>淮河</w:t>
            </w:r>
            <w:r>
              <w:rPr>
                <w:rFonts w:hint="default"/>
                <w:color w:val="auto"/>
              </w:rPr>
              <w:t>。</w:t>
            </w:r>
          </w:p>
          <w:p w14:paraId="34D09B63">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color w:val="0000FF"/>
              </w:rPr>
            </w:pPr>
            <w:r>
              <w:rPr>
                <w:rFonts w:hint="default" w:ascii="Times New Roman" w:hAnsi="Times New Roman" w:eastAsia="宋体" w:cs="Times New Roman"/>
                <w:color w:val="auto"/>
              </w:rPr>
              <w:t>本项目</w:t>
            </w:r>
            <w:r>
              <w:rPr>
                <w:rFonts w:hint="default" w:ascii="Times New Roman" w:hAnsi="Times New Roman" w:eastAsia="宋体" w:cs="Times New Roman"/>
                <w:color w:val="auto"/>
                <w:lang w:val="en-US" w:eastAsia="zh-CN"/>
              </w:rPr>
              <w:t>位于</w:t>
            </w:r>
            <w:r>
              <w:rPr>
                <w:rFonts w:hint="eastAsia" w:ascii="Times New Roman" w:hAnsi="Times New Roman" w:cs="Times New Roman"/>
                <w:color w:val="auto"/>
                <w:sz w:val="24"/>
                <w:lang w:val="en-US" w:eastAsia="zh-CN"/>
              </w:rPr>
              <w:t>淮南</w:t>
            </w:r>
            <w:r>
              <w:rPr>
                <w:rFonts w:hint="eastAsia" w:ascii="Times New Roman" w:hAnsi="Times New Roman" w:eastAsia="宋体" w:cs="Times New Roman"/>
                <w:color w:val="auto"/>
                <w:sz w:val="24"/>
                <w:lang w:val="en-US" w:eastAsia="zh-CN"/>
              </w:rPr>
              <w:t>市经开区华兴路东侧、庆兴北侧智慧显示产业园</w:t>
            </w:r>
            <w:r>
              <w:rPr>
                <w:rFonts w:hint="eastAsia" w:ascii="Times New Roman" w:hAnsi="Times New Roman" w:cs="Times New Roman"/>
                <w:color w:val="auto"/>
                <w:sz w:val="24"/>
                <w:lang w:val="en-US" w:eastAsia="zh-CN"/>
              </w:rPr>
              <w:t>5#</w:t>
            </w:r>
            <w:r>
              <w:rPr>
                <w:rFonts w:hint="eastAsia" w:ascii="Times New Roman" w:hAnsi="Times New Roman" w:eastAsia="宋体" w:cs="Times New Roman"/>
                <w:color w:val="auto"/>
                <w:sz w:val="24"/>
                <w:lang w:val="en-US" w:eastAsia="zh-CN"/>
              </w:rPr>
              <w:t>厂房（西侧区域）</w:t>
            </w:r>
            <w:r>
              <w:rPr>
                <w:rFonts w:hint="default" w:ascii="Times New Roman" w:hAnsi="Times New Roman" w:eastAsia="宋体" w:cs="Times New Roman"/>
                <w:color w:val="auto"/>
                <w:lang w:val="en-US" w:eastAsia="zh-CN"/>
              </w:rPr>
              <w:t>，属于</w:t>
            </w:r>
            <w:r>
              <w:rPr>
                <w:rFonts w:hint="default"/>
                <w:color w:val="auto"/>
              </w:rPr>
              <w:t>淮南经济技术开发区污水处理厂</w:t>
            </w:r>
            <w:r>
              <w:rPr>
                <w:rFonts w:hint="default" w:ascii="Times New Roman" w:hAnsi="Times New Roman" w:eastAsia="宋体" w:cs="Times New Roman"/>
                <w:color w:val="auto"/>
                <w:lang w:val="en-US" w:eastAsia="zh-CN"/>
              </w:rPr>
              <w:t>收水范围内</w:t>
            </w:r>
            <w:r>
              <w:rPr>
                <w:rFonts w:hint="default"/>
                <w:color w:val="auto"/>
              </w:rPr>
              <w:t>，且项目周边污水管网已铺设到位，从接管范围上分析，项目废水接入淮南经济技术开发区污水处理厂处理是可行的。</w:t>
            </w:r>
          </w:p>
          <w:p w14:paraId="768B61B9">
            <w:pPr>
              <w:pStyle w:val="4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FF"/>
                <w:lang w:eastAsia="zh-CN"/>
              </w:rPr>
            </w:pPr>
            <w:r>
              <w:rPr>
                <w:rFonts w:hint="default" w:ascii="Times New Roman" w:hAnsi="Times New Roman" w:eastAsia="宋体" w:cs="Times New Roman"/>
                <w:color w:val="0000FF"/>
              </w:rPr>
              <w:pict>
                <v:group id="画布 7669" o:spid="_x0000_s10348" o:spt="203" style="height:232.05pt;width:431.05pt;" coordsize="5474335,2947031" editas="canvas">
                  <o:lock v:ext="edit"/>
                  <v:shape id="画布 7669" o:spid="_x0000_s10349" o:spt="75" type="#_x0000_t75" style="position:absolute;left:0;top:0;height:2947031;width:5474335;" filled="f" stroked="f" coordsize="21600,21600">
                    <v:path/>
                    <v:fill on="f" focussize="0,0"/>
                    <v:stroke on="f"/>
                    <v:imagedata o:title=""/>
                    <o:lock v:ext="edit" rotation="t" aspectratio="f"/>
                  </v:shape>
                  <v:rect id="矩形 7672" o:spid="_x0000_s10350" o:spt="1" style="position:absolute;left:110490;top:2654932;height:292100;width:5294630;" fillcolor="#FFFFFF" filled="t" stroked="t" coordsize="21600,21600">
                    <v:path/>
                    <v:fill on="t" color2="#FFFFFF" focussize="0,0"/>
                    <v:stroke color="#000000" opacity="0f" joinstyle="miter"/>
                    <v:imagedata o:title=""/>
                    <o:lock v:ext="edit" aspectratio="f"/>
                    <v:textbox>
                      <w:txbxContent>
                        <w:p w14:paraId="4949157B">
                          <w:pPr>
                            <w:jc w:val="center"/>
                            <w:rPr>
                              <w:b/>
                              <w:bCs/>
                              <w:sz w:val="24"/>
                            </w:rPr>
                          </w:pPr>
                          <w:r>
                            <w:rPr>
                              <w:rFonts w:hint="default" w:ascii="Times New Roman" w:hAnsi="Times New Roman" w:cs="Times New Roman"/>
                              <w:b/>
                              <w:bCs/>
                              <w:sz w:val="24"/>
                            </w:rPr>
                            <w:t>图4-</w:t>
                          </w:r>
                          <w:r>
                            <w:rPr>
                              <w:rFonts w:hint="eastAsia" w:ascii="Times New Roman" w:hAnsi="Times New Roman" w:cs="Times New Roman"/>
                              <w:b/>
                              <w:bCs/>
                              <w:sz w:val="24"/>
                              <w:lang w:val="en-US" w:eastAsia="zh-CN"/>
                            </w:rPr>
                            <w:t>2</w:t>
                          </w:r>
                          <w:r>
                            <w:rPr>
                              <w:rFonts w:hint="eastAsia"/>
                              <w:b/>
                              <w:bCs/>
                              <w:sz w:val="24"/>
                            </w:rPr>
                            <w:t xml:space="preserve">  </w:t>
                          </w:r>
                          <w:r>
                            <w:rPr>
                              <w:rFonts w:ascii="Times New Roman" w:hAnsi="Times New Roman"/>
                              <w:b/>
                              <w:bCs/>
                              <w:color w:val="auto"/>
                              <w:sz w:val="24"/>
                              <w:szCs w:val="24"/>
                              <w:lang w:eastAsia="zh-CN"/>
                            </w:rPr>
                            <w:t>淮南经济技术开发区工业污水处理厂</w:t>
                          </w:r>
                          <w:r>
                            <w:rPr>
                              <w:rFonts w:hint="eastAsia"/>
                              <w:b/>
                              <w:bCs/>
                              <w:sz w:val="24"/>
                            </w:rPr>
                            <w:t>处理工艺流程图</w:t>
                          </w:r>
                        </w:p>
                      </w:txbxContent>
                    </v:textbox>
                  </v:rect>
                  <v:shape id="_x0000_s10450" o:spid="_x0000_s10450" o:spt="75" type="#_x0000_t75" style="position:absolute;left:0;top:52070;height:2679062;width:5341620;" filled="f" o:preferrelative="t" stroked="f" coordsize="21600,21600">
                    <v:path/>
                    <v:fill on="f" focussize="0,0"/>
                    <v:stroke on="f"/>
                    <v:imagedata r:id="rId23" o:title=""/>
                    <o:lock v:ext="edit" aspectratio="t"/>
                  </v:shape>
                  <w10:wrap type="none"/>
                  <w10:anchorlock/>
                </v:group>
              </w:pict>
            </w:r>
          </w:p>
          <w:p w14:paraId="22082710">
            <w:pPr>
              <w:pStyle w:val="235"/>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440" w:lineRule="exact"/>
              <w:ind w:left="0" w:right="0" w:firstLine="48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②水质</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水量</w:t>
            </w:r>
            <w:r>
              <w:rPr>
                <w:rFonts w:hint="default" w:ascii="Times New Roman" w:hAnsi="Times New Roman" w:eastAsia="宋体" w:cs="Times New Roman"/>
                <w:color w:val="auto"/>
              </w:rPr>
              <w:t>方面</w:t>
            </w:r>
          </w:p>
          <w:p w14:paraId="1B47D2F4">
            <w:pPr>
              <w:pStyle w:val="62"/>
              <w:keepNext w:val="0"/>
              <w:keepLines w:val="0"/>
              <w:pageBreakBefore w:val="0"/>
              <w:suppressLineNumbers w:val="0"/>
              <w:kinsoku/>
              <w:wordWrap/>
              <w:overflowPunct/>
              <w:topLinePunct w:val="0"/>
              <w:autoSpaceDE/>
              <w:autoSpaceDN/>
              <w:bidi w:val="0"/>
              <w:snapToGrid/>
              <w:spacing w:before="0" w:beforeAutospacing="0" w:after="0" w:afterAutospacing="0" w:line="440" w:lineRule="exact"/>
              <w:ind w:left="0" w:right="0" w:firstLine="480"/>
              <w:textAlignment w:val="auto"/>
              <w:rPr>
                <w:rFonts w:hint="default" w:ascii="Times New Roman" w:hAnsi="Times New Roman" w:eastAsia="宋体" w:cs="Times New Roman"/>
                <w:color w:val="0000FF"/>
              </w:rPr>
            </w:pPr>
            <w:r>
              <w:rPr>
                <w:rFonts w:hint="default" w:ascii="Times New Roman" w:hAnsi="Times New Roman" w:eastAsia="宋体" w:cs="Times New Roman"/>
                <w:color w:val="auto"/>
              </w:rPr>
              <w:t>本项目废水主要为生活污水，产生总量为</w:t>
            </w:r>
            <w:r>
              <w:rPr>
                <w:rFonts w:hint="eastAsia" w:cs="Times New Roman"/>
                <w:color w:val="auto"/>
                <w:lang w:val="en-US" w:eastAsia="zh-CN"/>
              </w:rPr>
              <w:t>24</w:t>
            </w:r>
            <w:r>
              <w:rPr>
                <w:rFonts w:hint="default" w:ascii="Times New Roman" w:hAnsi="Times New Roman" w:eastAsia="宋体" w:cs="Times New Roman"/>
                <w:color w:val="auto"/>
                <w:lang w:val="en-US" w:eastAsia="zh-CN"/>
              </w:rPr>
              <w:t>0</w:t>
            </w:r>
            <w:r>
              <w:rPr>
                <w:rFonts w:hint="default" w:ascii="Times New Roman" w:hAnsi="Times New Roman" w:eastAsia="宋体" w:cs="Times New Roman"/>
                <w:color w:val="auto"/>
              </w:rPr>
              <w:t>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/a</w:t>
            </w:r>
            <w:r>
              <w:rPr>
                <w:rFonts w:hint="eastAsia" w:cs="Times New Roman"/>
                <w:color w:val="auto"/>
                <w:lang w:eastAsia="zh-CN"/>
              </w:rPr>
              <w:t>（</w:t>
            </w:r>
            <w:r>
              <w:rPr>
                <w:rFonts w:hint="eastAsia" w:cs="Times New Roman"/>
                <w:color w:val="auto"/>
                <w:lang w:val="en-US" w:eastAsia="zh-CN"/>
              </w:rPr>
              <w:t>0.8</w:t>
            </w:r>
            <w:r>
              <w:rPr>
                <w:rFonts w:hint="default" w:ascii="Times New Roman" w:hAnsi="Times New Roman" w:eastAsia="宋体" w:cs="Times New Roman"/>
                <w:color w:val="auto"/>
              </w:rPr>
              <w:t>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w:t>
            </w:r>
            <w:r>
              <w:rPr>
                <w:rFonts w:hint="eastAsia" w:ascii="Times New Roman" w:hAnsi="Times New Roman" w:eastAsia="宋体" w:cs="Times New Roman"/>
                <w:color w:val="auto"/>
                <w:lang w:val="en-US" w:eastAsia="zh-CN"/>
              </w:rPr>
              <w:t>d</w:t>
            </w:r>
            <w:r>
              <w:rPr>
                <w:rFonts w:hint="eastAsia" w:cs="Times New Roman"/>
                <w:color w:val="auto"/>
                <w:lang w:eastAsia="zh-CN"/>
              </w:rPr>
              <w:t>）</w:t>
            </w:r>
            <w:r>
              <w:rPr>
                <w:rFonts w:hint="default" w:ascii="Times New Roman" w:hAnsi="Times New Roman" w:eastAsia="宋体" w:cs="Times New Roman"/>
                <w:color w:val="auto"/>
              </w:rPr>
              <w:t>，</w:t>
            </w:r>
            <w:r>
              <w:rPr>
                <w:rFonts w:hint="default"/>
                <w:snapToGrid w:val="0"/>
                <w:color w:val="auto"/>
                <w:sz w:val="24"/>
              </w:rPr>
              <w:t>占</w:t>
            </w:r>
            <w:r>
              <w:rPr>
                <w:rFonts w:hint="default" w:ascii="Times New Roman" w:hAnsi="Times New Roman"/>
                <w:color w:val="auto"/>
                <w:sz w:val="24"/>
                <w:szCs w:val="24"/>
                <w:lang w:eastAsia="zh-CN"/>
              </w:rPr>
              <w:t>淮南经济技术开发区工业污水处理厂</w:t>
            </w:r>
            <w:r>
              <w:rPr>
                <w:rFonts w:hint="default"/>
                <w:snapToGrid w:val="0"/>
                <w:color w:val="auto"/>
                <w:sz w:val="24"/>
              </w:rPr>
              <w:t>污水处理规模</w:t>
            </w:r>
            <w:r>
              <w:rPr>
                <w:rFonts w:hint="eastAsia"/>
                <w:snapToGrid w:val="0"/>
                <w:color w:val="auto"/>
                <w:sz w:val="24"/>
                <w:lang w:val="en-US" w:eastAsia="zh-CN"/>
              </w:rPr>
              <w:t>3</w:t>
            </w:r>
            <w:r>
              <w:rPr>
                <w:rFonts w:hint="default"/>
                <w:snapToGrid w:val="0"/>
                <w:color w:val="auto"/>
                <w:sz w:val="24"/>
              </w:rPr>
              <w:t>万t/d的0.00</w:t>
            </w:r>
            <w:r>
              <w:rPr>
                <w:rFonts w:hint="eastAsia"/>
                <w:snapToGrid w:val="0"/>
                <w:color w:val="auto"/>
                <w:sz w:val="24"/>
                <w:lang w:val="en-US" w:eastAsia="zh-CN"/>
              </w:rPr>
              <w:t>27</w:t>
            </w:r>
            <w:r>
              <w:rPr>
                <w:rFonts w:hint="default"/>
                <w:snapToGrid w:val="0"/>
                <w:color w:val="auto"/>
                <w:sz w:val="24"/>
              </w:rPr>
              <w:t>%</w:t>
            </w:r>
            <w:r>
              <w:rPr>
                <w:rFonts w:hint="eastAsia"/>
                <w:snapToGrid w:val="0"/>
                <w:color w:val="auto"/>
                <w:sz w:val="24"/>
                <w:lang w:eastAsia="zh-CN"/>
              </w:rPr>
              <w:t>，</w:t>
            </w:r>
            <w:r>
              <w:rPr>
                <w:rFonts w:hint="default"/>
                <w:snapToGrid w:val="0"/>
                <w:color w:val="auto"/>
                <w:sz w:val="24"/>
              </w:rPr>
              <w:t>且本项目废水水质较为简单</w:t>
            </w:r>
            <w:r>
              <w:rPr>
                <w:rFonts w:hint="default" w:ascii="Times New Roman" w:hAnsi="Times New Roman" w:eastAsia="宋体" w:cs="Times New Roman"/>
                <w:color w:val="auto"/>
              </w:rPr>
              <w:t>，出水水质可满足</w:t>
            </w:r>
            <w:r>
              <w:rPr>
                <w:rFonts w:hint="default" w:ascii="Times New Roman" w:hAnsi="Times New Roman"/>
                <w:color w:val="auto"/>
                <w:sz w:val="24"/>
                <w:szCs w:val="24"/>
                <w:lang w:eastAsia="zh-CN"/>
              </w:rPr>
              <w:t>淮南经济技术开发区工业污水处理厂</w:t>
            </w:r>
            <w:r>
              <w:rPr>
                <w:rFonts w:hint="default" w:ascii="Times New Roman" w:hAnsi="Times New Roman" w:eastAsia="宋体" w:cs="Times New Roman"/>
                <w:color w:val="auto"/>
              </w:rPr>
              <w:t>接管限值及</w:t>
            </w:r>
            <w:r>
              <w:rPr>
                <w:rFonts w:hint="default"/>
                <w:color w:val="auto"/>
                <w:sz w:val="24"/>
                <w:szCs w:val="28"/>
              </w:rPr>
              <w:t>《污水综合排放标准》(GB8978-1996)中三级标准</w:t>
            </w:r>
            <w:r>
              <w:rPr>
                <w:rFonts w:hint="eastAsia"/>
                <w:color w:val="auto"/>
                <w:sz w:val="24"/>
                <w:szCs w:val="28"/>
                <w:lang w:val="en-US" w:eastAsia="zh-CN"/>
              </w:rPr>
              <w:t>要求</w:t>
            </w:r>
            <w:r>
              <w:rPr>
                <w:rFonts w:hint="default" w:ascii="Times New Roman" w:hAnsi="Times New Roman" w:eastAsia="宋体" w:cs="Times New Roman"/>
                <w:color w:val="auto"/>
              </w:rPr>
              <w:t>，不会对</w:t>
            </w:r>
            <w:r>
              <w:rPr>
                <w:rFonts w:hint="default" w:ascii="Times New Roman" w:hAnsi="Times New Roman"/>
                <w:color w:val="auto"/>
                <w:sz w:val="24"/>
                <w:szCs w:val="24"/>
                <w:lang w:eastAsia="zh-CN"/>
              </w:rPr>
              <w:t>淮南经济技术开发区工业污水处理厂</w:t>
            </w:r>
            <w:r>
              <w:rPr>
                <w:rFonts w:hint="default" w:ascii="Times New Roman" w:hAnsi="Times New Roman" w:eastAsia="宋体" w:cs="Times New Roman"/>
                <w:color w:val="auto"/>
              </w:rPr>
              <w:t>的处理工艺造成大的冲击。因此，从水质</w:t>
            </w:r>
            <w:r>
              <w:rPr>
                <w:rFonts w:hint="eastAsia" w:cs="Times New Roman"/>
                <w:color w:val="auto"/>
                <w:lang w:eastAsia="zh-CN"/>
              </w:rPr>
              <w:t>、</w:t>
            </w:r>
            <w:r>
              <w:rPr>
                <w:rFonts w:hint="eastAsia" w:cs="Times New Roman"/>
                <w:color w:val="auto"/>
                <w:lang w:val="en-US" w:eastAsia="zh-CN"/>
              </w:rPr>
              <w:t>水量方面</w:t>
            </w:r>
            <w:r>
              <w:rPr>
                <w:rFonts w:hint="default" w:ascii="Times New Roman" w:hAnsi="Times New Roman" w:eastAsia="宋体" w:cs="Times New Roman"/>
                <w:color w:val="auto"/>
              </w:rPr>
              <w:t>上来说，本项目产生的废水排入</w:t>
            </w:r>
            <w:r>
              <w:rPr>
                <w:rFonts w:hint="default" w:ascii="Times New Roman" w:hAnsi="Times New Roman"/>
                <w:color w:val="auto"/>
                <w:sz w:val="24"/>
                <w:szCs w:val="24"/>
                <w:lang w:eastAsia="zh-CN"/>
              </w:rPr>
              <w:t>淮南经济技术开发区工业污水处理厂</w:t>
            </w:r>
            <w:r>
              <w:rPr>
                <w:rFonts w:hint="default" w:ascii="Times New Roman" w:hAnsi="Times New Roman" w:eastAsia="宋体" w:cs="Times New Roman"/>
                <w:color w:val="auto"/>
              </w:rPr>
              <w:t>处理是可行的。</w:t>
            </w:r>
          </w:p>
          <w:p w14:paraId="2DFB693D">
            <w:pPr>
              <w:pStyle w:val="46"/>
              <w:keepNext w:val="0"/>
              <w:keepLines w:val="0"/>
              <w:pageBreakBefore w:val="0"/>
              <w:suppressLineNumbers w:val="0"/>
              <w:kinsoku/>
              <w:wordWrap/>
              <w:overflowPunct/>
              <w:topLinePunct w:val="0"/>
              <w:autoSpaceDE/>
              <w:autoSpaceDN/>
              <w:bidi w:val="0"/>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综上，项目废水进入</w:t>
            </w:r>
            <w:r>
              <w:rPr>
                <w:rFonts w:hint="default" w:ascii="Times New Roman" w:hAnsi="Times New Roman"/>
                <w:color w:val="auto"/>
                <w:sz w:val="24"/>
                <w:szCs w:val="24"/>
                <w:lang w:eastAsia="zh-CN"/>
              </w:rPr>
              <w:t>淮南经济技术开发区工业污水处理厂</w:t>
            </w:r>
            <w:r>
              <w:rPr>
                <w:rFonts w:hint="default" w:ascii="Times New Roman" w:hAnsi="Times New Roman" w:eastAsia="宋体" w:cs="Times New Roman"/>
                <w:color w:val="auto"/>
              </w:rPr>
              <w:t>处理可行，外排废水达到《城镇污水处理厂污染物排放标准》（GB18918-2002）一级A排放标准</w:t>
            </w:r>
            <w:r>
              <w:rPr>
                <w:rFonts w:hint="eastAsia"/>
                <w:snapToGrid w:val="0"/>
                <w:color w:val="auto"/>
                <w:sz w:val="24"/>
                <w:lang w:val="en-US" w:eastAsia="zh-CN"/>
              </w:rPr>
              <w:t>要求</w:t>
            </w:r>
            <w:r>
              <w:rPr>
                <w:rFonts w:hint="default" w:ascii="Times New Roman" w:hAnsi="Times New Roman" w:eastAsia="宋体" w:cs="Times New Roman"/>
                <w:color w:val="auto"/>
              </w:rPr>
              <w:t>，项目建设对区域地表水环境造成的不利影响较小。</w:t>
            </w:r>
          </w:p>
          <w:p w14:paraId="0D42D6DE">
            <w:pPr>
              <w:pStyle w:val="68"/>
              <w:keepNext w:val="0"/>
              <w:keepLines w:val="0"/>
              <w:suppressLineNumbers w:val="0"/>
              <w:spacing w:before="0" w:beforeAutospacing="0" w:after="0" w:afterAutospacing="0" w:line="460" w:lineRule="exact"/>
              <w:ind w:left="0" w:right="0" w:firstLine="482" w:firstLineChars="200"/>
              <w:rPr>
                <w:rFonts w:hint="default" w:ascii="Times New Roman" w:hAnsi="Times New Roman" w:eastAsia="宋体" w:cs="Times New Roman"/>
                <w:bCs/>
                <w:color w:val="auto"/>
              </w:rPr>
            </w:pPr>
            <w:r>
              <w:rPr>
                <w:rFonts w:hint="default" w:ascii="Times New Roman" w:hAnsi="Times New Roman" w:eastAsia="宋体" w:cs="Times New Roman"/>
                <w:b/>
                <w:bCs w:val="0"/>
                <w:color w:val="auto"/>
              </w:rPr>
              <w:t>2.4</w:t>
            </w:r>
            <w:r>
              <w:rPr>
                <w:rFonts w:hint="default" w:ascii="Times New Roman" w:hAnsi="Times New Roman" w:eastAsia="宋体" w:cs="Times New Roman"/>
                <w:b/>
                <w:bCs w:val="0"/>
                <w:color w:val="auto"/>
                <w:lang w:val="en-US" w:eastAsia="zh-CN"/>
              </w:rPr>
              <w:t xml:space="preserve"> </w:t>
            </w:r>
            <w:r>
              <w:rPr>
                <w:rFonts w:hint="default" w:ascii="Times New Roman" w:hAnsi="Times New Roman" w:eastAsia="宋体" w:cs="Times New Roman"/>
                <w:b/>
                <w:bCs w:val="0"/>
                <w:color w:val="auto"/>
              </w:rPr>
              <w:t>废水监测计划</w:t>
            </w:r>
          </w:p>
          <w:p w14:paraId="7B000F82">
            <w:pPr>
              <w:pStyle w:val="62"/>
              <w:keepNext w:val="0"/>
              <w:keepLines w:val="0"/>
              <w:suppressLineNumbers w:val="0"/>
              <w:bidi w:val="0"/>
              <w:spacing w:before="0" w:beforeAutospacing="0" w:after="0" w:afterAutospacing="0"/>
              <w:ind w:left="0" w:right="0"/>
              <w:rPr>
                <w:rFonts w:hint="default"/>
                <w:color w:val="auto"/>
              </w:rPr>
            </w:pPr>
            <w:r>
              <w:rPr>
                <w:rFonts w:hint="default"/>
                <w:color w:val="auto"/>
              </w:rPr>
              <w:t>根据</w:t>
            </w:r>
            <w:r>
              <w:rPr>
                <w:rFonts w:hint="eastAsia"/>
                <w:color w:val="auto"/>
                <w:sz w:val="24"/>
              </w:rPr>
              <w:t>《</w:t>
            </w:r>
            <w:r>
              <w:rPr>
                <w:rFonts w:hint="eastAsia" w:ascii="Times New Roman" w:hAnsi="Times New Roman" w:eastAsia="宋体" w:cs="Times New Roman"/>
                <w:color w:val="auto"/>
                <w:sz w:val="24"/>
                <w:lang w:val="en-US" w:eastAsia="zh-CN"/>
              </w:rPr>
              <w:t>排污单位自行监测技术指南 总则》（HJ819-2017）</w:t>
            </w:r>
            <w:r>
              <w:rPr>
                <w:rFonts w:hint="default"/>
                <w:color w:val="auto"/>
              </w:rPr>
              <w:t>，</w:t>
            </w:r>
            <w:r>
              <w:rPr>
                <w:rFonts w:hint="eastAsia"/>
                <w:color w:val="auto"/>
                <w:lang w:eastAsia="zh-CN"/>
              </w:rPr>
              <w:t>厂区废水</w:t>
            </w:r>
            <w:r>
              <w:rPr>
                <w:rFonts w:hint="default"/>
                <w:color w:val="auto"/>
              </w:rPr>
              <w:t>自行监测计划见</w:t>
            </w:r>
            <w:r>
              <w:rPr>
                <w:rFonts w:hint="eastAsia"/>
                <w:color w:val="auto"/>
              </w:rPr>
              <w:t>下</w:t>
            </w:r>
            <w:r>
              <w:rPr>
                <w:rFonts w:hint="default"/>
                <w:color w:val="auto"/>
              </w:rPr>
              <w:t>表</w:t>
            </w:r>
            <w:r>
              <w:rPr>
                <w:rFonts w:hint="eastAsia"/>
                <w:color w:val="auto"/>
              </w:rPr>
              <w:t>：</w:t>
            </w:r>
          </w:p>
          <w:p w14:paraId="037F9600">
            <w:pPr>
              <w:keepNext w:val="0"/>
              <w:keepLines w:val="0"/>
              <w:suppressLineNumbers w:val="0"/>
              <w:spacing w:before="0" w:beforeAutospacing="0" w:after="0" w:afterAutospacing="0" w:line="460" w:lineRule="exact"/>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表4-</w:t>
            </w:r>
            <w:r>
              <w:rPr>
                <w:rFonts w:hint="eastAsia" w:ascii="Times New Roman" w:hAnsi="Times New Roman" w:eastAsia="宋体" w:cs="Times New Roman"/>
                <w:b/>
                <w:color w:val="auto"/>
                <w:kern w:val="0"/>
                <w:lang w:val="en-US" w:eastAsia="zh-CN"/>
              </w:rPr>
              <w:t>1</w:t>
            </w:r>
            <w:r>
              <w:rPr>
                <w:rFonts w:hint="eastAsia" w:ascii="Times New Roman" w:hAnsi="Times New Roman" w:cs="Times New Roman"/>
                <w:b/>
                <w:color w:val="auto"/>
                <w:kern w:val="0"/>
                <w:lang w:val="en-US" w:eastAsia="zh-CN"/>
              </w:rPr>
              <w:t>4</w:t>
            </w:r>
            <w:r>
              <w:rPr>
                <w:rFonts w:hint="default" w:ascii="Times New Roman" w:hAnsi="Times New Roman" w:eastAsia="宋体" w:cs="Times New Roman"/>
                <w:b/>
                <w:color w:val="auto"/>
                <w:kern w:val="0"/>
              </w:rPr>
              <w:t xml:space="preserve">  排污单位废水排放监测点位、监测指标及最低监测频次</w:t>
            </w:r>
          </w:p>
          <w:tbl>
            <w:tblPr>
              <w:tblStyle w:val="52"/>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30"/>
              <w:gridCol w:w="1049"/>
              <w:gridCol w:w="1316"/>
              <w:gridCol w:w="2587"/>
              <w:gridCol w:w="1645"/>
              <w:gridCol w:w="1082"/>
            </w:tblGrid>
            <w:tr w14:paraId="45331D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540" w:type="pct"/>
                  <w:tcBorders>
                    <w:right w:val="single" w:color="auto" w:sz="4" w:space="0"/>
                  </w:tcBorders>
                  <w:noWrap w:val="0"/>
                  <w:vAlign w:val="center"/>
                </w:tcPr>
                <w:p w14:paraId="4F0AB67F">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污染源类型</w:t>
                  </w:r>
                </w:p>
              </w:tc>
              <w:tc>
                <w:tcPr>
                  <w:tcW w:w="609" w:type="pct"/>
                  <w:tcBorders>
                    <w:left w:val="single" w:color="auto" w:sz="4" w:space="0"/>
                  </w:tcBorders>
                  <w:noWrap w:val="0"/>
                  <w:vAlign w:val="center"/>
                </w:tcPr>
                <w:p w14:paraId="61D10A57">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排放口编号</w:t>
                  </w:r>
                </w:p>
              </w:tc>
              <w:tc>
                <w:tcPr>
                  <w:tcW w:w="764" w:type="pct"/>
                  <w:tcBorders>
                    <w:right w:val="single" w:color="auto" w:sz="4" w:space="0"/>
                  </w:tcBorders>
                  <w:noWrap w:val="0"/>
                  <w:vAlign w:val="center"/>
                </w:tcPr>
                <w:p w14:paraId="4640CCC5">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监测点位</w:t>
                  </w:r>
                </w:p>
              </w:tc>
              <w:tc>
                <w:tcPr>
                  <w:tcW w:w="1502" w:type="pct"/>
                  <w:tcBorders>
                    <w:left w:val="single" w:color="auto" w:sz="4" w:space="0"/>
                  </w:tcBorders>
                  <w:noWrap w:val="0"/>
                  <w:vAlign w:val="center"/>
                </w:tcPr>
                <w:p w14:paraId="49AA7580">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监测指标</w:t>
                  </w:r>
                </w:p>
              </w:tc>
              <w:tc>
                <w:tcPr>
                  <w:tcW w:w="955" w:type="pct"/>
                  <w:tcBorders>
                    <w:right w:val="single" w:color="auto" w:sz="4" w:space="0"/>
                  </w:tcBorders>
                  <w:noWrap w:val="0"/>
                  <w:vAlign w:val="center"/>
                </w:tcPr>
                <w:p w14:paraId="58D1C424">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监测频次</w:t>
                  </w:r>
                </w:p>
              </w:tc>
              <w:tc>
                <w:tcPr>
                  <w:tcW w:w="628" w:type="pct"/>
                  <w:tcBorders>
                    <w:left w:val="single" w:color="auto" w:sz="4" w:space="0"/>
                  </w:tcBorders>
                  <w:noWrap w:val="0"/>
                  <w:vAlign w:val="center"/>
                </w:tcPr>
                <w:p w14:paraId="0093CAB0">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排放口类型</w:t>
                  </w:r>
                </w:p>
              </w:tc>
            </w:tr>
            <w:tr w14:paraId="36E1452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540" w:type="pct"/>
                  <w:tcBorders>
                    <w:right w:val="single" w:color="auto" w:sz="4" w:space="0"/>
                  </w:tcBorders>
                  <w:noWrap w:val="0"/>
                  <w:vAlign w:val="center"/>
                </w:tcPr>
                <w:p w14:paraId="3BDC3C4F">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废水</w:t>
                  </w:r>
                </w:p>
              </w:tc>
              <w:tc>
                <w:tcPr>
                  <w:tcW w:w="609" w:type="pct"/>
                  <w:tcBorders>
                    <w:left w:val="single" w:color="auto" w:sz="4" w:space="0"/>
                  </w:tcBorders>
                  <w:noWrap w:val="0"/>
                  <w:vAlign w:val="center"/>
                </w:tcPr>
                <w:p w14:paraId="588FF4F3">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DW001</w:t>
                  </w:r>
                </w:p>
              </w:tc>
              <w:tc>
                <w:tcPr>
                  <w:tcW w:w="764" w:type="pct"/>
                  <w:tcBorders>
                    <w:right w:val="single" w:color="auto" w:sz="4" w:space="0"/>
                  </w:tcBorders>
                  <w:noWrap w:val="0"/>
                  <w:vAlign w:val="center"/>
                </w:tcPr>
                <w:p w14:paraId="43493434">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rPr>
                    <w:t>污水总排放口</w:t>
                  </w:r>
                </w:p>
              </w:tc>
              <w:tc>
                <w:tcPr>
                  <w:tcW w:w="1502" w:type="pct"/>
                  <w:tcBorders>
                    <w:left w:val="single" w:color="auto" w:sz="4" w:space="0"/>
                  </w:tcBorders>
                  <w:noWrap w:val="0"/>
                  <w:vAlign w:val="center"/>
                </w:tcPr>
                <w:p w14:paraId="3848CB87">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pH、SS、氨氮、化学需氧量、五日生化需氧量</w:t>
                  </w:r>
                </w:p>
              </w:tc>
              <w:tc>
                <w:tcPr>
                  <w:tcW w:w="955" w:type="pct"/>
                  <w:tcBorders>
                    <w:right w:val="single" w:color="auto" w:sz="4" w:space="0"/>
                  </w:tcBorders>
                  <w:noWrap w:val="0"/>
                  <w:vAlign w:val="center"/>
                </w:tcPr>
                <w:p w14:paraId="02E8FC5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1次/年</w:t>
                  </w:r>
                </w:p>
              </w:tc>
              <w:tc>
                <w:tcPr>
                  <w:tcW w:w="628" w:type="pct"/>
                  <w:tcBorders>
                    <w:left w:val="single" w:color="auto" w:sz="4" w:space="0"/>
                  </w:tcBorders>
                  <w:noWrap w:val="0"/>
                  <w:vAlign w:val="center"/>
                </w:tcPr>
                <w:p w14:paraId="5824244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一般排放口</w:t>
                  </w:r>
                </w:p>
              </w:tc>
            </w:tr>
          </w:tbl>
          <w:p w14:paraId="38CEE961">
            <w:pPr>
              <w:keepNext w:val="0"/>
              <w:keepLines w:val="0"/>
              <w:suppressLineNumbers w:val="0"/>
              <w:adjustRightInd w:val="0"/>
              <w:spacing w:before="0" w:beforeAutospacing="0" w:after="0" w:afterAutospacing="0" w:line="460" w:lineRule="exact"/>
              <w:ind w:left="0" w:right="0" w:firstLine="480"/>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3、噪声</w:t>
            </w:r>
          </w:p>
          <w:p w14:paraId="5EE9AD82">
            <w:pPr>
              <w:keepNext w:val="0"/>
              <w:keepLines w:val="0"/>
              <w:suppressLineNumbers w:val="0"/>
              <w:adjustRightInd w:val="0"/>
              <w:spacing w:before="0" w:beforeAutospacing="0" w:after="0" w:afterAutospacing="0" w:line="460" w:lineRule="exact"/>
              <w:ind w:left="0" w:right="0" w:firstLine="480"/>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3.1噪声源强</w:t>
            </w:r>
          </w:p>
          <w:p w14:paraId="3ABFB46E">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根据《环境影响评价技术导则 声环境》（HJ2.4-2021）附录D要求，列出项目噪声源强调查清单。项目噪声源强调查清单见下表。</w:t>
            </w:r>
          </w:p>
          <w:p w14:paraId="15D379BC">
            <w:pPr>
              <w:pStyle w:val="63"/>
              <w:keepNext w:val="0"/>
              <w:keepLines w:val="0"/>
              <w:suppressLineNumbers w:val="0"/>
              <w:spacing w:before="0" w:beforeAutospacing="0" w:after="0" w:afterAutospacing="0"/>
              <w:ind w:left="0" w:right="0"/>
              <w:rPr>
                <w:rFonts w:hint="default" w:ascii="Times New Roman" w:hAnsi="Times New Roman" w:eastAsia="宋体" w:cs="Times New Roman"/>
                <w:color w:val="auto"/>
              </w:rPr>
            </w:pPr>
            <w:r>
              <w:rPr>
                <w:rFonts w:hint="default" w:ascii="Times New Roman" w:hAnsi="Times New Roman" w:eastAsia="宋体" w:cs="Times New Roman"/>
                <w:color w:val="auto"/>
              </w:rPr>
              <w:t>表4-</w:t>
            </w:r>
            <w:r>
              <w:rPr>
                <w:rFonts w:hint="eastAsia" w:cs="Times New Roman"/>
                <w:color w:val="auto"/>
                <w:lang w:val="en-US" w:eastAsia="zh-CN"/>
              </w:rPr>
              <w:t>15</w:t>
            </w:r>
            <w:r>
              <w:rPr>
                <w:rFonts w:hint="default" w:ascii="Times New Roman" w:hAnsi="Times New Roman" w:eastAsia="宋体" w:cs="Times New Roman"/>
                <w:color w:val="auto"/>
              </w:rPr>
              <w:t xml:space="preserve">   项目</w:t>
            </w:r>
            <w:r>
              <w:rPr>
                <w:rFonts w:hint="eastAsia" w:cs="Times New Roman"/>
                <w:color w:val="auto"/>
                <w:lang w:val="en-US" w:eastAsia="zh-CN"/>
              </w:rPr>
              <w:t>主要</w:t>
            </w:r>
            <w:r>
              <w:rPr>
                <w:rFonts w:hint="default" w:ascii="Times New Roman" w:hAnsi="Times New Roman" w:eastAsia="宋体" w:cs="Times New Roman"/>
                <w:color w:val="auto"/>
              </w:rPr>
              <w:t>噪声污染源强调查清单（室外声源）</w:t>
            </w:r>
          </w:p>
          <w:tbl>
            <w:tblPr>
              <w:tblStyle w:val="53"/>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
              <w:gridCol w:w="1394"/>
              <w:gridCol w:w="599"/>
              <w:gridCol w:w="494"/>
              <w:gridCol w:w="573"/>
              <w:gridCol w:w="540"/>
              <w:gridCol w:w="1791"/>
              <w:gridCol w:w="1963"/>
              <w:gridCol w:w="853"/>
            </w:tblGrid>
            <w:tr w14:paraId="7A3E5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30" w:type="pct"/>
                  <w:vMerge w:val="restart"/>
                  <w:noWrap w:val="0"/>
                  <w:vAlign w:val="center"/>
                </w:tcPr>
                <w:p w14:paraId="33516F10">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序号</w:t>
                  </w:r>
                </w:p>
              </w:tc>
              <w:tc>
                <w:tcPr>
                  <w:tcW w:w="810" w:type="pct"/>
                  <w:vMerge w:val="restart"/>
                  <w:noWrap w:val="0"/>
                  <w:vAlign w:val="center"/>
                </w:tcPr>
                <w:p w14:paraId="458C02C1">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声源名称</w:t>
                  </w:r>
                </w:p>
              </w:tc>
              <w:tc>
                <w:tcPr>
                  <w:tcW w:w="348" w:type="pct"/>
                  <w:vMerge w:val="restart"/>
                  <w:noWrap w:val="0"/>
                  <w:vAlign w:val="center"/>
                </w:tcPr>
                <w:p w14:paraId="66196CA0">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型号</w:t>
                  </w:r>
                </w:p>
              </w:tc>
              <w:tc>
                <w:tcPr>
                  <w:tcW w:w="934" w:type="pct"/>
                  <w:gridSpan w:val="3"/>
                  <w:noWrap w:val="0"/>
                  <w:vAlign w:val="center"/>
                </w:tcPr>
                <w:p w14:paraId="10B3C9EC">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空间相对位置/m</w:t>
                  </w:r>
                </w:p>
              </w:tc>
              <w:tc>
                <w:tcPr>
                  <w:tcW w:w="1041" w:type="pct"/>
                  <w:noWrap w:val="0"/>
                  <w:vAlign w:val="center"/>
                </w:tcPr>
                <w:p w14:paraId="75C8DDB6">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声源源强</w:t>
                  </w:r>
                  <w:r>
                    <w:rPr>
                      <w:rFonts w:hint="default" w:ascii="Times New Roman" w:hAnsi="Times New Roman" w:eastAsia="宋体" w:cs="Times New Roman"/>
                      <w:b/>
                      <w:bCs/>
                      <w:color w:val="auto"/>
                      <w:sz w:val="24"/>
                    </w:rPr>
                    <w:t>（r</w:t>
                  </w:r>
                  <w:r>
                    <w:rPr>
                      <w:rFonts w:hint="default" w:ascii="Times New Roman" w:hAnsi="Times New Roman" w:eastAsia="宋体" w:cs="Times New Roman"/>
                      <w:b/>
                      <w:bCs/>
                      <w:color w:val="auto"/>
                      <w:sz w:val="24"/>
                      <w:vertAlign w:val="subscript"/>
                    </w:rPr>
                    <w:t>0</w:t>
                  </w:r>
                  <w:r>
                    <w:rPr>
                      <w:rFonts w:hint="default" w:ascii="Times New Roman" w:hAnsi="Times New Roman" w:eastAsia="宋体" w:cs="Times New Roman"/>
                      <w:b/>
                      <w:bCs/>
                      <w:color w:val="auto"/>
                      <w:sz w:val="24"/>
                    </w:rPr>
                    <w:t>）</w:t>
                  </w:r>
                </w:p>
              </w:tc>
              <w:tc>
                <w:tcPr>
                  <w:tcW w:w="1141" w:type="pct"/>
                  <w:vMerge w:val="restart"/>
                  <w:noWrap w:val="0"/>
                  <w:vAlign w:val="center"/>
                </w:tcPr>
                <w:p w14:paraId="649BBD18">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声源控制措施</w:t>
                  </w:r>
                </w:p>
              </w:tc>
              <w:tc>
                <w:tcPr>
                  <w:tcW w:w="495" w:type="pct"/>
                  <w:vMerge w:val="restart"/>
                  <w:noWrap w:val="0"/>
                  <w:vAlign w:val="center"/>
                </w:tcPr>
                <w:p w14:paraId="27B3B121">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运行时段</w:t>
                  </w:r>
                </w:p>
              </w:tc>
            </w:tr>
            <w:tr w14:paraId="47AFC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30" w:type="pct"/>
                  <w:vMerge w:val="continue"/>
                  <w:noWrap w:val="0"/>
                  <w:vAlign w:val="center"/>
                </w:tcPr>
                <w:p w14:paraId="3B7176E3">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rPr>
                  </w:pPr>
                </w:p>
              </w:tc>
              <w:tc>
                <w:tcPr>
                  <w:tcW w:w="810" w:type="pct"/>
                  <w:vMerge w:val="continue"/>
                  <w:noWrap w:val="0"/>
                  <w:vAlign w:val="center"/>
                </w:tcPr>
                <w:p w14:paraId="0495A88D">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rPr>
                  </w:pPr>
                </w:p>
              </w:tc>
              <w:tc>
                <w:tcPr>
                  <w:tcW w:w="348" w:type="pct"/>
                  <w:vMerge w:val="continue"/>
                  <w:noWrap w:val="0"/>
                  <w:vAlign w:val="center"/>
                </w:tcPr>
                <w:p w14:paraId="1830EC3E">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rPr>
                  </w:pPr>
                </w:p>
              </w:tc>
              <w:tc>
                <w:tcPr>
                  <w:tcW w:w="287" w:type="pct"/>
                  <w:noWrap w:val="0"/>
                  <w:vAlign w:val="center"/>
                </w:tcPr>
                <w:p w14:paraId="6551F828">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X</w:t>
                  </w:r>
                </w:p>
              </w:tc>
              <w:tc>
                <w:tcPr>
                  <w:tcW w:w="333" w:type="pct"/>
                  <w:noWrap w:val="0"/>
                  <w:vAlign w:val="center"/>
                </w:tcPr>
                <w:p w14:paraId="16E22A9D">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Y</w:t>
                  </w:r>
                </w:p>
              </w:tc>
              <w:tc>
                <w:tcPr>
                  <w:tcW w:w="313" w:type="pct"/>
                  <w:noWrap w:val="0"/>
                  <w:vAlign w:val="center"/>
                </w:tcPr>
                <w:p w14:paraId="5A8AA9AE">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Z</w:t>
                  </w:r>
                </w:p>
              </w:tc>
              <w:tc>
                <w:tcPr>
                  <w:tcW w:w="1041" w:type="pct"/>
                  <w:noWrap w:val="0"/>
                  <w:vAlign w:val="center"/>
                </w:tcPr>
                <w:p w14:paraId="2CAEC928">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声压级dB（A）</w:t>
                  </w:r>
                </w:p>
              </w:tc>
              <w:tc>
                <w:tcPr>
                  <w:tcW w:w="1141" w:type="pct"/>
                  <w:vMerge w:val="continue"/>
                  <w:noWrap w:val="0"/>
                  <w:vAlign w:val="center"/>
                </w:tcPr>
                <w:p w14:paraId="2B1F51C8">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rPr>
                  </w:pPr>
                </w:p>
              </w:tc>
              <w:tc>
                <w:tcPr>
                  <w:tcW w:w="495" w:type="pct"/>
                  <w:vMerge w:val="continue"/>
                  <w:noWrap w:val="0"/>
                  <w:vAlign w:val="center"/>
                </w:tcPr>
                <w:p w14:paraId="05592BD6">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rPr>
                  </w:pPr>
                </w:p>
              </w:tc>
            </w:tr>
            <w:tr w14:paraId="09CB6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230" w:type="pct"/>
                  <w:noWrap w:val="0"/>
                  <w:vAlign w:val="center"/>
                </w:tcPr>
                <w:p w14:paraId="3A11F4BB">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1</w:t>
                  </w:r>
                </w:p>
              </w:tc>
              <w:tc>
                <w:tcPr>
                  <w:tcW w:w="810" w:type="pct"/>
                  <w:noWrap w:val="0"/>
                  <w:vAlign w:val="center"/>
                </w:tcPr>
                <w:p w14:paraId="10932955">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DA001风机</w:t>
                  </w:r>
                </w:p>
              </w:tc>
              <w:tc>
                <w:tcPr>
                  <w:tcW w:w="348" w:type="pct"/>
                  <w:noWrap w:val="0"/>
                  <w:vAlign w:val="center"/>
                </w:tcPr>
                <w:p w14:paraId="4FD2F60A">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287" w:type="pct"/>
                  <w:noWrap w:val="0"/>
                  <w:vAlign w:val="center"/>
                </w:tcPr>
                <w:p w14:paraId="7FCD42CD">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28</w:t>
                  </w:r>
                </w:p>
              </w:tc>
              <w:tc>
                <w:tcPr>
                  <w:tcW w:w="333" w:type="pct"/>
                  <w:noWrap w:val="0"/>
                  <w:vAlign w:val="center"/>
                </w:tcPr>
                <w:p w14:paraId="5F5C0151">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51</w:t>
                  </w:r>
                </w:p>
              </w:tc>
              <w:tc>
                <w:tcPr>
                  <w:tcW w:w="313" w:type="pct"/>
                  <w:noWrap w:val="0"/>
                  <w:vAlign w:val="center"/>
                </w:tcPr>
                <w:p w14:paraId="5A417F25">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w:t>
                  </w:r>
                </w:p>
              </w:tc>
              <w:tc>
                <w:tcPr>
                  <w:tcW w:w="1041" w:type="pct"/>
                  <w:noWrap w:val="0"/>
                  <w:vAlign w:val="center"/>
                </w:tcPr>
                <w:p w14:paraId="1FC585B6">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8</w:t>
                  </w:r>
                  <w:r>
                    <w:rPr>
                      <w:rFonts w:hint="eastAsia" w:ascii="Times New Roman" w:hAnsi="Times New Roman" w:cs="Times New Roman"/>
                      <w:color w:val="auto"/>
                      <w:lang w:val="en-US" w:eastAsia="zh-CN"/>
                    </w:rPr>
                    <w:t>0</w:t>
                  </w:r>
                </w:p>
              </w:tc>
              <w:tc>
                <w:tcPr>
                  <w:tcW w:w="1141" w:type="pct"/>
                  <w:vMerge w:val="restart"/>
                  <w:noWrap w:val="0"/>
                  <w:vAlign w:val="center"/>
                </w:tcPr>
                <w:p w14:paraId="1FE9D3A3">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rPr>
                    <w:t>基础安装减振垫，安装消声器等</w:t>
                  </w:r>
                </w:p>
              </w:tc>
              <w:tc>
                <w:tcPr>
                  <w:tcW w:w="495" w:type="pct"/>
                  <w:noWrap w:val="0"/>
                  <w:vAlign w:val="center"/>
                </w:tcPr>
                <w:p w14:paraId="72E89519">
                  <w:pPr>
                    <w:keepNext w:val="0"/>
                    <w:keepLines w:val="0"/>
                    <w:suppressLineNumbers w:val="0"/>
                    <w:spacing w:before="0" w:beforeAutospacing="0" w:after="0" w:afterAutospacing="0"/>
                    <w:ind w:left="-63" w:leftChars="-30" w:right="-63" w:rightChars="-3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24</w:t>
                  </w:r>
                  <w:r>
                    <w:rPr>
                      <w:rFonts w:hint="default" w:ascii="Times New Roman" w:hAnsi="Times New Roman" w:eastAsia="宋体" w:cs="Times New Roman"/>
                      <w:color w:val="auto"/>
                      <w:lang w:val="en-US" w:eastAsia="zh-CN"/>
                    </w:rPr>
                    <w:t>00</w:t>
                  </w:r>
                </w:p>
              </w:tc>
            </w:tr>
            <w:tr w14:paraId="71F4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230" w:type="pct"/>
                  <w:noWrap w:val="0"/>
                  <w:vAlign w:val="center"/>
                </w:tcPr>
                <w:p w14:paraId="4F05052C">
                  <w:pPr>
                    <w:keepNext w:val="0"/>
                    <w:keepLines w:val="0"/>
                    <w:suppressLineNumbers w:val="0"/>
                    <w:spacing w:before="0" w:beforeAutospacing="0" w:after="0" w:afterAutospacing="0"/>
                    <w:ind w:left="-105" w:leftChars="-50" w:right="-105" w:rightChars="-50"/>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w:t>
                  </w:r>
                </w:p>
              </w:tc>
              <w:tc>
                <w:tcPr>
                  <w:tcW w:w="810" w:type="pct"/>
                  <w:noWrap w:val="0"/>
                  <w:vAlign w:val="center"/>
                </w:tcPr>
                <w:p w14:paraId="366D208A">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DA00</w:t>
                  </w:r>
                  <w:r>
                    <w:rPr>
                      <w:rFonts w:hint="eastAsia" w:ascii="Times New Roman" w:hAnsi="Times New Roman" w:eastAsia="宋体" w:cs="Times New Roman"/>
                      <w:color w:val="auto"/>
                      <w:lang w:val="en-US" w:eastAsia="zh-CN"/>
                    </w:rPr>
                    <w:t>2</w:t>
                  </w:r>
                  <w:r>
                    <w:rPr>
                      <w:rFonts w:hint="default" w:ascii="Times New Roman" w:hAnsi="Times New Roman" w:eastAsia="宋体" w:cs="Times New Roman"/>
                      <w:color w:val="auto"/>
                    </w:rPr>
                    <w:t>风机</w:t>
                  </w:r>
                </w:p>
              </w:tc>
              <w:tc>
                <w:tcPr>
                  <w:tcW w:w="348" w:type="pct"/>
                  <w:noWrap w:val="0"/>
                  <w:vAlign w:val="center"/>
                </w:tcPr>
                <w:p w14:paraId="1261F846">
                  <w:pPr>
                    <w:keepNext w:val="0"/>
                    <w:keepLines w:val="0"/>
                    <w:suppressLineNumbers w:val="0"/>
                    <w:spacing w:before="0" w:beforeAutospacing="0" w:after="0" w:afterAutospacing="0"/>
                    <w:ind w:left="-105" w:leftChars="-50" w:right="-105" w:rightChars="-50"/>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w:t>
                  </w:r>
                </w:p>
              </w:tc>
              <w:tc>
                <w:tcPr>
                  <w:tcW w:w="287" w:type="pct"/>
                  <w:noWrap w:val="0"/>
                  <w:vAlign w:val="center"/>
                </w:tcPr>
                <w:p w14:paraId="0541BC8F">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15</w:t>
                  </w:r>
                </w:p>
              </w:tc>
              <w:tc>
                <w:tcPr>
                  <w:tcW w:w="333" w:type="pct"/>
                  <w:noWrap w:val="0"/>
                  <w:vAlign w:val="center"/>
                </w:tcPr>
                <w:p w14:paraId="7031DF0D">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51</w:t>
                  </w:r>
                </w:p>
              </w:tc>
              <w:tc>
                <w:tcPr>
                  <w:tcW w:w="313" w:type="pct"/>
                  <w:noWrap w:val="0"/>
                  <w:vAlign w:val="center"/>
                </w:tcPr>
                <w:p w14:paraId="34654AAA">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w:t>
                  </w:r>
                </w:p>
              </w:tc>
              <w:tc>
                <w:tcPr>
                  <w:tcW w:w="1041" w:type="pct"/>
                  <w:noWrap w:val="0"/>
                  <w:vAlign w:val="center"/>
                </w:tcPr>
                <w:p w14:paraId="7571E8D8">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70</w:t>
                  </w:r>
                </w:p>
              </w:tc>
              <w:tc>
                <w:tcPr>
                  <w:tcW w:w="1141" w:type="pct"/>
                  <w:vMerge w:val="continue"/>
                  <w:noWrap w:val="0"/>
                  <w:vAlign w:val="center"/>
                </w:tcPr>
                <w:p w14:paraId="229379F7">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kern w:val="0"/>
                    </w:rPr>
                  </w:pPr>
                </w:p>
              </w:tc>
              <w:tc>
                <w:tcPr>
                  <w:tcW w:w="495" w:type="pct"/>
                  <w:noWrap w:val="0"/>
                  <w:vAlign w:val="center"/>
                </w:tcPr>
                <w:p w14:paraId="0D28FF04">
                  <w:pPr>
                    <w:keepNext w:val="0"/>
                    <w:keepLines w:val="0"/>
                    <w:suppressLineNumbers w:val="0"/>
                    <w:spacing w:before="0" w:beforeAutospacing="0" w:after="0" w:afterAutospacing="0"/>
                    <w:ind w:left="-63" w:leftChars="-30" w:right="-63" w:rightChars="-30"/>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24</w:t>
                  </w:r>
                  <w:r>
                    <w:rPr>
                      <w:rFonts w:hint="default" w:ascii="Times New Roman" w:hAnsi="Times New Roman" w:eastAsia="宋体" w:cs="Times New Roman"/>
                      <w:color w:val="auto"/>
                      <w:lang w:val="en-US" w:eastAsia="zh-CN"/>
                    </w:rPr>
                    <w:t>00</w:t>
                  </w:r>
                </w:p>
              </w:tc>
            </w:tr>
            <w:tr w14:paraId="45B3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5000" w:type="pct"/>
                  <w:gridSpan w:val="9"/>
                  <w:noWrap w:val="0"/>
                  <w:vAlign w:val="center"/>
                </w:tcPr>
                <w:p w14:paraId="282898FD">
                  <w:pPr>
                    <w:keepNext w:val="0"/>
                    <w:keepLines w:val="0"/>
                    <w:suppressLineNumbers w:val="0"/>
                    <w:spacing w:before="0" w:beforeAutospacing="0" w:after="0" w:afterAutospacing="0"/>
                    <w:ind w:left="-63" w:leftChars="-30" w:right="-63" w:rightChars="-3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备注：以</w:t>
                  </w:r>
                  <w:r>
                    <w:rPr>
                      <w:rFonts w:hint="eastAsia" w:ascii="Times New Roman" w:hAnsi="Times New Roman" w:eastAsia="宋体" w:cs="Times New Roman"/>
                      <w:color w:val="auto"/>
                      <w:lang w:val="en-US" w:eastAsia="zh-CN"/>
                    </w:rPr>
                    <w:t>厂界</w:t>
                  </w:r>
                  <w:r>
                    <w:rPr>
                      <w:rFonts w:hint="default" w:ascii="Times New Roman" w:hAnsi="Times New Roman" w:eastAsia="宋体" w:cs="Times New Roman"/>
                      <w:color w:val="auto"/>
                      <w:lang w:val="en-US" w:eastAsia="zh-CN"/>
                    </w:rPr>
                    <w:t>西侧与南侧交点为原点（0</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0）</w:t>
                  </w:r>
                </w:p>
              </w:tc>
            </w:tr>
          </w:tbl>
          <w:p w14:paraId="73523552">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0000FF"/>
              </w:rPr>
            </w:pPr>
          </w:p>
        </w:tc>
      </w:tr>
    </w:tbl>
    <w:p w14:paraId="6C98C992">
      <w:pPr>
        <w:pStyle w:val="46"/>
        <w:spacing w:before="120" w:beforeLines="50" w:beforeAutospacing="0" w:after="0" w:afterAutospacing="0" w:line="360" w:lineRule="auto"/>
        <w:jc w:val="center"/>
        <w:outlineLvl w:val="0"/>
        <w:rPr>
          <w:rFonts w:hint="default" w:ascii="Times New Roman" w:hAnsi="Times New Roman" w:eastAsia="宋体" w:cs="Times New Roman"/>
          <w:snapToGrid w:val="0"/>
          <w:color w:val="0000FF"/>
          <w:sz w:val="30"/>
          <w:szCs w:val="30"/>
        </w:rPr>
        <w:sectPr>
          <w:pgSz w:w="11907" w:h="16840"/>
          <w:pgMar w:top="1440" w:right="1440" w:bottom="1389" w:left="1440" w:header="851" w:footer="851" w:gutter="0"/>
          <w:pgBorders>
            <w:top w:val="none" w:sz="0" w:space="0"/>
            <w:left w:val="none" w:sz="0" w:space="0"/>
            <w:bottom w:val="none" w:sz="0" w:space="0"/>
            <w:right w:val="none" w:sz="0" w:space="0"/>
          </w:pgBorders>
          <w:pgNumType w:fmt="numberInDash"/>
          <w:cols w:space="720" w:num="1"/>
          <w:docGrid w:linePitch="312" w:charSpace="0"/>
        </w:sectPr>
      </w:pPr>
    </w:p>
    <w:tbl>
      <w:tblPr>
        <w:tblStyle w:val="53"/>
        <w:tblW w:w="15100" w:type="dxa"/>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4380"/>
      </w:tblGrid>
      <w:tr w14:paraId="5643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9" w:hRule="atLeast"/>
        </w:trPr>
        <w:tc>
          <w:tcPr>
            <w:tcW w:w="720" w:type="dxa"/>
            <w:tcBorders>
              <w:top w:val="single" w:color="auto" w:sz="4" w:space="0"/>
              <w:left w:val="single" w:color="auto" w:sz="4" w:space="0"/>
              <w:bottom w:val="single" w:color="auto" w:sz="4" w:space="0"/>
              <w:right w:val="single" w:color="auto" w:sz="4" w:space="0"/>
            </w:tcBorders>
            <w:noWrap w:val="0"/>
            <w:vAlign w:val="top"/>
          </w:tcPr>
          <w:p w14:paraId="073739C9">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15C12697">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3A1A85BD">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329C902A">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0CD1B811">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1A5C4F04">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rPr>
            </w:pPr>
          </w:p>
          <w:p w14:paraId="767B2A34">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rPr>
            </w:pPr>
          </w:p>
          <w:p w14:paraId="3E1B114A">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rPr>
            </w:pPr>
          </w:p>
          <w:p w14:paraId="784FA4D7">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rPr>
            </w:pPr>
          </w:p>
          <w:p w14:paraId="10315F4F">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运营</w:t>
            </w:r>
          </w:p>
          <w:p w14:paraId="1855170F">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期环</w:t>
            </w:r>
          </w:p>
          <w:p w14:paraId="09DFFB99">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境影</w:t>
            </w:r>
          </w:p>
          <w:p w14:paraId="793E7DD7">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响和</w:t>
            </w:r>
          </w:p>
          <w:p w14:paraId="54A6B904">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保护</w:t>
            </w:r>
          </w:p>
          <w:p w14:paraId="73098EC2">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措施</w:t>
            </w:r>
          </w:p>
          <w:p w14:paraId="0637235F">
            <w:pPr>
              <w:keepNext w:val="0"/>
              <w:keepLines w:val="0"/>
              <w:suppressLineNumbers w:val="0"/>
              <w:adjustRightInd w:val="0"/>
              <w:snapToGrid w:val="0"/>
              <w:spacing w:before="0" w:beforeAutospacing="0" w:after="0" w:afterAutospacing="0" w:line="440" w:lineRule="exact"/>
              <w:ind w:left="0" w:right="0" w:firstLine="480"/>
              <w:jc w:val="center"/>
              <w:rPr>
                <w:rFonts w:hint="default" w:ascii="Times New Roman" w:hAnsi="Times New Roman" w:eastAsia="宋体" w:cs="Times New Roman"/>
                <w:bCs/>
                <w:color w:val="auto"/>
                <w:sz w:val="24"/>
              </w:rPr>
            </w:pPr>
          </w:p>
          <w:p w14:paraId="63BB4796">
            <w:pPr>
              <w:keepNext w:val="0"/>
              <w:keepLines w:val="0"/>
              <w:suppressLineNumbers w:val="0"/>
              <w:adjustRightInd w:val="0"/>
              <w:snapToGrid w:val="0"/>
              <w:spacing w:before="0" w:beforeAutospacing="0" w:after="0" w:afterAutospacing="0" w:line="440" w:lineRule="exact"/>
              <w:ind w:left="0" w:right="0" w:firstLine="480"/>
              <w:jc w:val="center"/>
              <w:rPr>
                <w:rFonts w:hint="default" w:ascii="Times New Roman" w:hAnsi="Times New Roman" w:eastAsia="宋体" w:cs="Times New Roman"/>
                <w:bCs/>
                <w:color w:val="auto"/>
                <w:sz w:val="24"/>
              </w:rPr>
            </w:pPr>
          </w:p>
          <w:p w14:paraId="4AB54479">
            <w:pPr>
              <w:keepNext w:val="0"/>
              <w:keepLines w:val="0"/>
              <w:suppressLineNumbers w:val="0"/>
              <w:adjustRightInd w:val="0"/>
              <w:snapToGrid w:val="0"/>
              <w:spacing w:before="0" w:beforeAutospacing="0" w:after="0" w:afterAutospacing="0" w:line="440" w:lineRule="exact"/>
              <w:ind w:left="0" w:right="0" w:firstLine="480"/>
              <w:jc w:val="center"/>
              <w:rPr>
                <w:rFonts w:hint="default" w:ascii="Times New Roman" w:hAnsi="Times New Roman" w:eastAsia="宋体" w:cs="Times New Roman"/>
                <w:bCs/>
                <w:color w:val="auto"/>
                <w:sz w:val="24"/>
              </w:rPr>
            </w:pPr>
          </w:p>
          <w:p w14:paraId="5DB88BB6">
            <w:pPr>
              <w:keepNext w:val="0"/>
              <w:keepLines w:val="0"/>
              <w:suppressLineNumbers w:val="0"/>
              <w:adjustRightInd w:val="0"/>
              <w:snapToGrid w:val="0"/>
              <w:spacing w:before="0" w:beforeAutospacing="0" w:after="0" w:afterAutospacing="0" w:line="440" w:lineRule="exact"/>
              <w:ind w:left="0" w:right="0" w:firstLine="480"/>
              <w:jc w:val="center"/>
              <w:rPr>
                <w:rFonts w:hint="default" w:ascii="Times New Roman" w:hAnsi="Times New Roman" w:eastAsia="宋体" w:cs="Times New Roman"/>
                <w:bCs/>
                <w:color w:val="auto"/>
                <w:sz w:val="24"/>
              </w:rPr>
            </w:pPr>
          </w:p>
          <w:p w14:paraId="34A5EDD9">
            <w:pPr>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bCs/>
                <w:color w:val="auto"/>
                <w:sz w:val="24"/>
              </w:rPr>
            </w:pPr>
          </w:p>
          <w:p w14:paraId="5D1F60BC">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3A656336">
            <w:pPr>
              <w:pStyle w:val="46"/>
              <w:keepNext w:val="0"/>
              <w:keepLines w:val="0"/>
              <w:suppressLineNumbers w:val="0"/>
              <w:spacing w:before="120" w:beforeLines="50" w:beforeAutospacing="0" w:after="0" w:afterAutospacing="0" w:line="360" w:lineRule="auto"/>
              <w:ind w:left="0" w:right="0" w:firstLine="600"/>
              <w:jc w:val="both"/>
              <w:outlineLvl w:val="0"/>
              <w:rPr>
                <w:rFonts w:hint="default" w:ascii="Times New Roman" w:hAnsi="Times New Roman" w:eastAsia="宋体" w:cs="Times New Roman"/>
                <w:color w:val="auto"/>
                <w:sz w:val="30"/>
                <w:szCs w:val="30"/>
              </w:rPr>
            </w:pPr>
          </w:p>
        </w:tc>
        <w:tc>
          <w:tcPr>
            <w:tcW w:w="14380" w:type="dxa"/>
            <w:tcBorders>
              <w:top w:val="single" w:color="auto" w:sz="4" w:space="0"/>
              <w:left w:val="single" w:color="auto" w:sz="4" w:space="0"/>
              <w:bottom w:val="single" w:color="auto" w:sz="4" w:space="0"/>
              <w:right w:val="single" w:color="auto" w:sz="4" w:space="0"/>
            </w:tcBorders>
            <w:noWrap w:val="0"/>
            <w:vAlign w:val="top"/>
          </w:tcPr>
          <w:p w14:paraId="3C99E034">
            <w:pPr>
              <w:keepNext w:val="0"/>
              <w:keepLines w:val="0"/>
              <w:suppressLineNumbers w:val="0"/>
              <w:spacing w:before="0" w:beforeAutospacing="0" w:after="0" w:afterAutospacing="0" w:line="44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表4-</w:t>
            </w:r>
            <w:r>
              <w:rPr>
                <w:rFonts w:hint="eastAsia" w:ascii="Times New Roman" w:hAnsi="Times New Roman" w:eastAsia="宋体" w:cs="Times New Roman"/>
                <w:b/>
                <w:color w:val="auto"/>
                <w:lang w:val="en-US" w:eastAsia="zh-CN"/>
              </w:rPr>
              <w:t>1</w:t>
            </w:r>
            <w:r>
              <w:rPr>
                <w:rFonts w:hint="eastAsia" w:ascii="Times New Roman" w:hAnsi="Times New Roman" w:cs="Times New Roman"/>
                <w:b/>
                <w:color w:val="auto"/>
                <w:lang w:val="en-US" w:eastAsia="zh-CN"/>
              </w:rPr>
              <w:t>6</w:t>
            </w:r>
            <w:r>
              <w:rPr>
                <w:rFonts w:hint="default" w:ascii="Times New Roman" w:hAnsi="Times New Roman" w:eastAsia="宋体" w:cs="Times New Roman"/>
                <w:b/>
                <w:color w:val="auto"/>
              </w:rPr>
              <w:t xml:space="preserve">  项目</w:t>
            </w:r>
            <w:r>
              <w:rPr>
                <w:rFonts w:hint="eastAsia" w:eastAsia="Times New Roman" w:cs="Times New Roman"/>
                <w:b/>
                <w:bCs/>
                <w:color w:val="auto"/>
                <w:lang w:val="en-US" w:eastAsia="zh-CN"/>
              </w:rPr>
              <w:t>主要</w:t>
            </w:r>
            <w:r>
              <w:rPr>
                <w:rFonts w:hint="default" w:ascii="Times New Roman" w:hAnsi="Times New Roman" w:eastAsia="宋体" w:cs="Times New Roman"/>
                <w:b/>
                <w:color w:val="auto"/>
              </w:rPr>
              <w:t>噪声污染源强调查清单（室内声源）</w:t>
            </w:r>
          </w:p>
          <w:tbl>
            <w:tblPr>
              <w:tblStyle w:val="52"/>
              <w:tblW w:w="4995"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2"/>
              <w:gridCol w:w="1590"/>
              <w:gridCol w:w="491"/>
              <w:gridCol w:w="909"/>
              <w:gridCol w:w="1146"/>
              <w:gridCol w:w="480"/>
              <w:gridCol w:w="571"/>
              <w:gridCol w:w="571"/>
              <w:gridCol w:w="571"/>
              <w:gridCol w:w="571"/>
              <w:gridCol w:w="571"/>
              <w:gridCol w:w="571"/>
              <w:gridCol w:w="571"/>
              <w:gridCol w:w="571"/>
              <w:gridCol w:w="571"/>
              <w:gridCol w:w="580"/>
              <w:gridCol w:w="599"/>
              <w:gridCol w:w="836"/>
              <w:gridCol w:w="619"/>
              <w:gridCol w:w="836"/>
              <w:gridCol w:w="455"/>
            </w:tblGrid>
            <w:tr w14:paraId="78125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163" w:type="pct"/>
                  <w:vMerge w:val="restart"/>
                  <w:tcBorders>
                    <w:top w:val="single" w:color="auto" w:sz="4" w:space="0"/>
                  </w:tcBorders>
                  <w:noWrap/>
                  <w:vAlign w:val="center"/>
                </w:tcPr>
                <w:p w14:paraId="2064B06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位置</w:t>
                  </w:r>
                </w:p>
              </w:tc>
              <w:tc>
                <w:tcPr>
                  <w:tcW w:w="562" w:type="pct"/>
                  <w:vMerge w:val="restart"/>
                  <w:tcBorders>
                    <w:top w:val="single" w:color="auto" w:sz="4" w:space="0"/>
                  </w:tcBorders>
                  <w:noWrap w:val="0"/>
                  <w:vAlign w:val="center"/>
                </w:tcPr>
                <w:p w14:paraId="26DCE5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声源名称</w:t>
                  </w:r>
                </w:p>
              </w:tc>
              <w:tc>
                <w:tcPr>
                  <w:tcW w:w="173" w:type="pct"/>
                  <w:vMerge w:val="restart"/>
                  <w:tcBorders>
                    <w:top w:val="single" w:color="auto" w:sz="4" w:space="0"/>
                  </w:tcBorders>
                  <w:noWrap w:val="0"/>
                  <w:vAlign w:val="center"/>
                </w:tcPr>
                <w:p w14:paraId="548C4B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型号</w:t>
                  </w:r>
                </w:p>
              </w:tc>
              <w:tc>
                <w:tcPr>
                  <w:tcW w:w="321" w:type="pct"/>
                  <w:tcBorders>
                    <w:top w:val="single" w:color="auto" w:sz="4" w:space="0"/>
                    <w:bottom w:val="single" w:color="auto" w:sz="4" w:space="0"/>
                  </w:tcBorders>
                  <w:noWrap w:val="0"/>
                  <w:vAlign w:val="center"/>
                </w:tcPr>
                <w:p w14:paraId="1925F7AB">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color w:val="auto"/>
                      <w:sz w:val="21"/>
                      <w:szCs w:val="21"/>
                    </w:rPr>
                    <w:t>声源源强</w:t>
                  </w:r>
                </w:p>
              </w:tc>
              <w:tc>
                <w:tcPr>
                  <w:tcW w:w="405" w:type="pct"/>
                  <w:vMerge w:val="restart"/>
                  <w:tcBorders>
                    <w:top w:val="single" w:color="auto" w:sz="4" w:space="0"/>
                  </w:tcBorders>
                  <w:noWrap w:val="0"/>
                  <w:vAlign w:val="center"/>
                </w:tcPr>
                <w:p w14:paraId="54EFEAE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color w:val="auto"/>
                      <w:sz w:val="21"/>
                      <w:szCs w:val="21"/>
                    </w:rPr>
                    <w:t>声源控制措施</w:t>
                  </w:r>
                </w:p>
              </w:tc>
              <w:tc>
                <w:tcPr>
                  <w:tcW w:w="573" w:type="pct"/>
                  <w:gridSpan w:val="3"/>
                  <w:tcBorders>
                    <w:top w:val="single" w:color="auto" w:sz="4" w:space="0"/>
                    <w:bottom w:val="single" w:color="auto" w:sz="4" w:space="0"/>
                  </w:tcBorders>
                  <w:noWrap w:val="0"/>
                  <w:vAlign w:val="center"/>
                </w:tcPr>
                <w:p w14:paraId="7CA2D9F7">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color w:val="auto"/>
                      <w:sz w:val="21"/>
                      <w:szCs w:val="21"/>
                    </w:rPr>
                    <w:t>空间相对位置/m</w:t>
                  </w:r>
                </w:p>
              </w:tc>
              <w:tc>
                <w:tcPr>
                  <w:tcW w:w="807" w:type="pct"/>
                  <w:gridSpan w:val="4"/>
                  <w:tcBorders>
                    <w:top w:val="single" w:color="auto" w:sz="4" w:space="0"/>
                    <w:bottom w:val="single" w:color="auto" w:sz="4" w:space="0"/>
                  </w:tcBorders>
                  <w:noWrap w:val="0"/>
                  <w:vAlign w:val="center"/>
                </w:tcPr>
                <w:p w14:paraId="15ACA025">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color w:val="auto"/>
                      <w:sz w:val="21"/>
                      <w:szCs w:val="21"/>
                    </w:rPr>
                    <w:t>距室内边界距离/m</w:t>
                  </w:r>
                </w:p>
              </w:tc>
              <w:tc>
                <w:tcPr>
                  <w:tcW w:w="810" w:type="pct"/>
                  <w:gridSpan w:val="4"/>
                  <w:tcBorders>
                    <w:top w:val="single" w:color="auto" w:sz="4" w:space="0"/>
                    <w:bottom w:val="single" w:color="auto" w:sz="4" w:space="0"/>
                  </w:tcBorders>
                  <w:noWrap w:val="0"/>
                  <w:vAlign w:val="center"/>
                </w:tcPr>
                <w:p w14:paraId="11D78B22">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color w:val="auto"/>
                      <w:sz w:val="21"/>
                      <w:szCs w:val="21"/>
                    </w:rPr>
                    <w:t>室内边界声级/dB（A）</w:t>
                  </w:r>
                </w:p>
              </w:tc>
              <w:tc>
                <w:tcPr>
                  <w:tcW w:w="211" w:type="pct"/>
                  <w:vMerge w:val="restart"/>
                  <w:tcBorders>
                    <w:top w:val="single" w:color="auto" w:sz="4" w:space="0"/>
                  </w:tcBorders>
                  <w:noWrap w:val="0"/>
                  <w:vAlign w:val="center"/>
                </w:tcPr>
                <w:p w14:paraId="188DE66D">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运行</w:t>
                  </w:r>
                </w:p>
                <w:p w14:paraId="1ECC32D6">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color w:val="auto"/>
                      <w:sz w:val="21"/>
                      <w:szCs w:val="21"/>
                    </w:rPr>
                    <w:t>时段(h/a0</w:t>
                  </w:r>
                </w:p>
              </w:tc>
              <w:tc>
                <w:tcPr>
                  <w:tcW w:w="295" w:type="pct"/>
                  <w:vMerge w:val="restart"/>
                  <w:tcBorders>
                    <w:top w:val="single" w:color="auto" w:sz="4" w:space="0"/>
                  </w:tcBorders>
                  <w:noWrap w:val="0"/>
                  <w:vAlign w:val="center"/>
                </w:tcPr>
                <w:p w14:paraId="37190357">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color w:val="auto"/>
                      <w:sz w:val="21"/>
                      <w:szCs w:val="21"/>
                    </w:rPr>
                    <w:t>室内噪声源叠加后声级dB（A）</w:t>
                  </w:r>
                </w:p>
              </w:tc>
              <w:tc>
                <w:tcPr>
                  <w:tcW w:w="218" w:type="pct"/>
                  <w:vMerge w:val="restart"/>
                  <w:tcBorders>
                    <w:top w:val="single" w:color="auto" w:sz="4" w:space="0"/>
                  </w:tcBorders>
                  <w:noWrap w:val="0"/>
                  <w:vAlign w:val="center"/>
                </w:tcPr>
                <w:p w14:paraId="1D0A7B14">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建筑物</w:t>
                  </w:r>
                </w:p>
                <w:p w14:paraId="0A7895F2">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color w:val="auto"/>
                      <w:sz w:val="21"/>
                      <w:szCs w:val="21"/>
                    </w:rPr>
                    <w:t>插入损失dB（A）</w:t>
                  </w:r>
                </w:p>
              </w:tc>
              <w:tc>
                <w:tcPr>
                  <w:tcW w:w="456" w:type="pct"/>
                  <w:gridSpan w:val="2"/>
                  <w:tcBorders>
                    <w:top w:val="single" w:color="auto" w:sz="4" w:space="0"/>
                    <w:bottom w:val="single" w:color="auto" w:sz="4" w:space="0"/>
                  </w:tcBorders>
                  <w:noWrap w:val="0"/>
                  <w:vAlign w:val="center"/>
                </w:tcPr>
                <w:p w14:paraId="5FA26CE3">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color w:val="auto"/>
                      <w:sz w:val="21"/>
                      <w:szCs w:val="21"/>
                    </w:rPr>
                    <w:t>建筑物外噪声</w:t>
                  </w:r>
                </w:p>
              </w:tc>
            </w:tr>
            <w:tr w14:paraId="75FEA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163" w:type="pct"/>
                  <w:vMerge w:val="continue"/>
                  <w:tcBorders>
                    <w:bottom w:val="single" w:color="auto" w:sz="4" w:space="0"/>
                  </w:tcBorders>
                  <w:noWrap/>
                  <w:vAlign w:val="center"/>
                </w:tcPr>
                <w:p w14:paraId="626C5C3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p>
              </w:tc>
              <w:tc>
                <w:tcPr>
                  <w:tcW w:w="562" w:type="pct"/>
                  <w:vMerge w:val="continue"/>
                  <w:tcBorders>
                    <w:bottom w:val="single" w:color="auto" w:sz="4" w:space="0"/>
                  </w:tcBorders>
                  <w:noWrap w:val="0"/>
                  <w:vAlign w:val="center"/>
                </w:tcPr>
                <w:p w14:paraId="567029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0"/>
                      <w:sz w:val="21"/>
                      <w:szCs w:val="21"/>
                      <w:lang w:bidi="ar"/>
                    </w:rPr>
                  </w:pPr>
                </w:p>
              </w:tc>
              <w:tc>
                <w:tcPr>
                  <w:tcW w:w="173" w:type="pct"/>
                  <w:vMerge w:val="continue"/>
                  <w:tcBorders>
                    <w:bottom w:val="single" w:color="auto" w:sz="4" w:space="0"/>
                  </w:tcBorders>
                  <w:noWrap w:val="0"/>
                  <w:vAlign w:val="center"/>
                </w:tcPr>
                <w:p w14:paraId="6CEBFD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0"/>
                      <w:sz w:val="21"/>
                      <w:szCs w:val="21"/>
                      <w:lang w:bidi="ar"/>
                    </w:rPr>
                  </w:pPr>
                </w:p>
              </w:tc>
              <w:tc>
                <w:tcPr>
                  <w:tcW w:w="321" w:type="pct"/>
                  <w:tcBorders>
                    <w:top w:val="single" w:color="auto" w:sz="4" w:space="0"/>
                    <w:bottom w:val="single" w:color="auto" w:sz="4" w:space="0"/>
                  </w:tcBorders>
                  <w:noWrap w:val="0"/>
                  <w:vAlign w:val="center"/>
                </w:tcPr>
                <w:p w14:paraId="127636FA">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color w:val="auto"/>
                      <w:sz w:val="21"/>
                      <w:szCs w:val="21"/>
                    </w:rPr>
                    <w:t>声压级/距声源距离（dB（A）/m）</w:t>
                  </w:r>
                </w:p>
              </w:tc>
              <w:tc>
                <w:tcPr>
                  <w:tcW w:w="405" w:type="pct"/>
                  <w:vMerge w:val="continue"/>
                  <w:tcBorders>
                    <w:bottom w:val="single" w:color="auto" w:sz="4" w:space="0"/>
                  </w:tcBorders>
                  <w:noWrap w:val="0"/>
                  <w:vAlign w:val="center"/>
                </w:tcPr>
                <w:p w14:paraId="16D4FD7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lang w:bidi="ar"/>
                    </w:rPr>
                  </w:pPr>
                </w:p>
              </w:tc>
              <w:tc>
                <w:tcPr>
                  <w:tcW w:w="169" w:type="pct"/>
                  <w:tcBorders>
                    <w:top w:val="single" w:color="auto" w:sz="4" w:space="0"/>
                    <w:bottom w:val="single" w:color="auto" w:sz="4" w:space="0"/>
                  </w:tcBorders>
                  <w:noWrap w:val="0"/>
                  <w:vAlign w:val="center"/>
                </w:tcPr>
                <w:p w14:paraId="3E1872C7">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color w:val="auto"/>
                      <w:sz w:val="21"/>
                      <w:szCs w:val="21"/>
                    </w:rPr>
                    <w:t>X</w:t>
                  </w:r>
                </w:p>
              </w:tc>
              <w:tc>
                <w:tcPr>
                  <w:tcW w:w="201" w:type="pct"/>
                  <w:tcBorders>
                    <w:top w:val="single" w:color="auto" w:sz="4" w:space="0"/>
                    <w:bottom w:val="single" w:color="auto" w:sz="4" w:space="0"/>
                  </w:tcBorders>
                  <w:noWrap w:val="0"/>
                  <w:vAlign w:val="center"/>
                </w:tcPr>
                <w:p w14:paraId="2D6CEB32">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color w:val="auto"/>
                      <w:sz w:val="21"/>
                      <w:szCs w:val="21"/>
                    </w:rPr>
                    <w:t>Y</w:t>
                  </w:r>
                </w:p>
              </w:tc>
              <w:tc>
                <w:tcPr>
                  <w:tcW w:w="201" w:type="pct"/>
                  <w:tcBorders>
                    <w:top w:val="single" w:color="auto" w:sz="4" w:space="0"/>
                    <w:bottom w:val="single" w:color="auto" w:sz="4" w:space="0"/>
                  </w:tcBorders>
                  <w:noWrap w:val="0"/>
                  <w:vAlign w:val="center"/>
                </w:tcPr>
                <w:p w14:paraId="39367B49">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color w:val="auto"/>
                      <w:sz w:val="21"/>
                      <w:szCs w:val="21"/>
                    </w:rPr>
                    <w:t>Z</w:t>
                  </w:r>
                </w:p>
              </w:tc>
              <w:tc>
                <w:tcPr>
                  <w:tcW w:w="201" w:type="pct"/>
                  <w:tcBorders>
                    <w:top w:val="single" w:color="auto" w:sz="4" w:space="0"/>
                    <w:bottom w:val="single" w:color="auto" w:sz="4" w:space="0"/>
                  </w:tcBorders>
                  <w:noWrap w:val="0"/>
                  <w:vAlign w:val="center"/>
                </w:tcPr>
                <w:p w14:paraId="314D5F47">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color w:val="auto"/>
                      <w:sz w:val="21"/>
                      <w:szCs w:val="21"/>
                    </w:rPr>
                    <w:t>E</w:t>
                  </w:r>
                </w:p>
              </w:tc>
              <w:tc>
                <w:tcPr>
                  <w:tcW w:w="201" w:type="pct"/>
                  <w:tcBorders>
                    <w:top w:val="single" w:color="auto" w:sz="4" w:space="0"/>
                    <w:bottom w:val="single" w:color="auto" w:sz="4" w:space="0"/>
                  </w:tcBorders>
                  <w:noWrap w:val="0"/>
                  <w:vAlign w:val="center"/>
                </w:tcPr>
                <w:p w14:paraId="07FE6F0F">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color w:val="auto"/>
                      <w:sz w:val="21"/>
                      <w:szCs w:val="21"/>
                    </w:rPr>
                    <w:t>S</w:t>
                  </w:r>
                </w:p>
              </w:tc>
              <w:tc>
                <w:tcPr>
                  <w:tcW w:w="201" w:type="pct"/>
                  <w:tcBorders>
                    <w:top w:val="single" w:color="auto" w:sz="4" w:space="0"/>
                    <w:bottom w:val="single" w:color="auto" w:sz="4" w:space="0"/>
                  </w:tcBorders>
                  <w:noWrap w:val="0"/>
                  <w:vAlign w:val="center"/>
                </w:tcPr>
                <w:p w14:paraId="3B05E6EA">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color w:val="auto"/>
                      <w:sz w:val="21"/>
                      <w:szCs w:val="21"/>
                    </w:rPr>
                    <w:t>W</w:t>
                  </w:r>
                </w:p>
              </w:tc>
              <w:tc>
                <w:tcPr>
                  <w:tcW w:w="201" w:type="pct"/>
                  <w:tcBorders>
                    <w:top w:val="single" w:color="auto" w:sz="4" w:space="0"/>
                    <w:bottom w:val="single" w:color="auto" w:sz="4" w:space="0"/>
                  </w:tcBorders>
                  <w:noWrap w:val="0"/>
                  <w:vAlign w:val="center"/>
                </w:tcPr>
                <w:p w14:paraId="10ED5002">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color w:val="auto"/>
                      <w:sz w:val="21"/>
                      <w:szCs w:val="21"/>
                    </w:rPr>
                    <w:t>N</w:t>
                  </w:r>
                </w:p>
              </w:tc>
              <w:tc>
                <w:tcPr>
                  <w:tcW w:w="201" w:type="pct"/>
                  <w:tcBorders>
                    <w:top w:val="single" w:color="auto" w:sz="4" w:space="0"/>
                    <w:bottom w:val="single" w:color="auto" w:sz="4" w:space="0"/>
                  </w:tcBorders>
                  <w:noWrap w:val="0"/>
                  <w:vAlign w:val="center"/>
                </w:tcPr>
                <w:p w14:paraId="71D8976C">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color w:val="auto"/>
                      <w:sz w:val="21"/>
                      <w:szCs w:val="21"/>
                    </w:rPr>
                    <w:t>E</w:t>
                  </w:r>
                </w:p>
              </w:tc>
              <w:tc>
                <w:tcPr>
                  <w:tcW w:w="201" w:type="pct"/>
                  <w:tcBorders>
                    <w:top w:val="single" w:color="auto" w:sz="4" w:space="0"/>
                    <w:bottom w:val="single" w:color="auto" w:sz="4" w:space="0"/>
                  </w:tcBorders>
                  <w:noWrap w:val="0"/>
                  <w:vAlign w:val="center"/>
                </w:tcPr>
                <w:p w14:paraId="322E14B3">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color w:val="auto"/>
                      <w:sz w:val="21"/>
                      <w:szCs w:val="21"/>
                    </w:rPr>
                    <w:t>S</w:t>
                  </w:r>
                </w:p>
              </w:tc>
              <w:tc>
                <w:tcPr>
                  <w:tcW w:w="201" w:type="pct"/>
                  <w:tcBorders>
                    <w:top w:val="single" w:color="auto" w:sz="4" w:space="0"/>
                    <w:bottom w:val="single" w:color="auto" w:sz="4" w:space="0"/>
                  </w:tcBorders>
                  <w:noWrap w:val="0"/>
                  <w:vAlign w:val="center"/>
                </w:tcPr>
                <w:p w14:paraId="50C9CB7E">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color w:val="auto"/>
                      <w:sz w:val="21"/>
                      <w:szCs w:val="21"/>
                    </w:rPr>
                    <w:t>W</w:t>
                  </w:r>
                </w:p>
              </w:tc>
              <w:tc>
                <w:tcPr>
                  <w:tcW w:w="205" w:type="pct"/>
                  <w:tcBorders>
                    <w:top w:val="single" w:color="auto" w:sz="4" w:space="0"/>
                    <w:bottom w:val="single" w:color="auto" w:sz="4" w:space="0"/>
                  </w:tcBorders>
                  <w:noWrap w:val="0"/>
                  <w:vAlign w:val="center"/>
                </w:tcPr>
                <w:p w14:paraId="393A6DC2">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color w:val="auto"/>
                      <w:sz w:val="21"/>
                      <w:szCs w:val="21"/>
                    </w:rPr>
                    <w:t>N</w:t>
                  </w:r>
                </w:p>
              </w:tc>
              <w:tc>
                <w:tcPr>
                  <w:tcW w:w="211" w:type="pct"/>
                  <w:vMerge w:val="continue"/>
                  <w:tcBorders>
                    <w:bottom w:val="single" w:color="auto" w:sz="4" w:space="0"/>
                  </w:tcBorders>
                  <w:noWrap w:val="0"/>
                  <w:vAlign w:val="center"/>
                </w:tcPr>
                <w:p w14:paraId="4B654CDE">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p>
              </w:tc>
              <w:tc>
                <w:tcPr>
                  <w:tcW w:w="295" w:type="pct"/>
                  <w:vMerge w:val="continue"/>
                  <w:tcBorders>
                    <w:bottom w:val="single" w:color="auto" w:sz="4" w:space="0"/>
                  </w:tcBorders>
                  <w:noWrap w:val="0"/>
                  <w:vAlign w:val="center"/>
                </w:tcPr>
                <w:p w14:paraId="67831B37">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p>
              </w:tc>
              <w:tc>
                <w:tcPr>
                  <w:tcW w:w="218" w:type="pct"/>
                  <w:vMerge w:val="continue"/>
                  <w:tcBorders>
                    <w:bottom w:val="single" w:color="auto" w:sz="4" w:space="0"/>
                  </w:tcBorders>
                  <w:noWrap w:val="0"/>
                  <w:vAlign w:val="center"/>
                </w:tcPr>
                <w:p w14:paraId="2DE09B6A">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p>
              </w:tc>
              <w:tc>
                <w:tcPr>
                  <w:tcW w:w="295" w:type="pct"/>
                  <w:tcBorders>
                    <w:top w:val="single" w:color="auto" w:sz="4" w:space="0"/>
                    <w:bottom w:val="single" w:color="auto" w:sz="4" w:space="0"/>
                  </w:tcBorders>
                  <w:noWrap w:val="0"/>
                  <w:vAlign w:val="center"/>
                </w:tcPr>
                <w:p w14:paraId="19D5DB99">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声压级</w:t>
                  </w:r>
                </w:p>
                <w:p w14:paraId="2E5F9F7E">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color w:val="auto"/>
                      <w:sz w:val="21"/>
                      <w:szCs w:val="21"/>
                    </w:rPr>
                    <w:t>dB（A）</w:t>
                  </w:r>
                </w:p>
              </w:tc>
              <w:tc>
                <w:tcPr>
                  <w:tcW w:w="160" w:type="pct"/>
                  <w:tcBorders>
                    <w:top w:val="single" w:color="auto" w:sz="4" w:space="0"/>
                    <w:bottom w:val="single" w:color="auto" w:sz="4" w:space="0"/>
                  </w:tcBorders>
                  <w:noWrap w:val="0"/>
                  <w:vAlign w:val="center"/>
                </w:tcPr>
                <w:p w14:paraId="29204C82">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建筑物外</w:t>
                  </w:r>
                </w:p>
                <w:p w14:paraId="0EB4D31E">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color w:val="auto"/>
                      <w:sz w:val="21"/>
                      <w:szCs w:val="21"/>
                    </w:rPr>
                    <w:t>距离/m</w:t>
                  </w:r>
                </w:p>
              </w:tc>
            </w:tr>
            <w:tr w14:paraId="132A3B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163" w:type="pct"/>
                  <w:vMerge w:val="restart"/>
                  <w:tcBorders>
                    <w:top w:val="single" w:color="auto" w:sz="4" w:space="0"/>
                  </w:tcBorders>
                  <w:noWrap/>
                  <w:vAlign w:val="center"/>
                </w:tcPr>
                <w:p w14:paraId="25C2E36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厂房内</w:t>
                  </w:r>
                </w:p>
              </w:tc>
              <w:tc>
                <w:tcPr>
                  <w:tcW w:w="562" w:type="pct"/>
                  <w:tcBorders>
                    <w:top w:val="single" w:color="auto" w:sz="4" w:space="0"/>
                    <w:bottom w:val="single" w:color="auto" w:sz="4" w:space="0"/>
                  </w:tcBorders>
                  <w:noWrap w:val="0"/>
                  <w:vAlign w:val="center"/>
                </w:tcPr>
                <w:p w14:paraId="258E2E31">
                  <w:pPr>
                    <w:keepNext w:val="0"/>
                    <w:keepLines w:val="0"/>
                    <w:suppressLineNumbers w:val="0"/>
                    <w:adjustRightInd w:val="0"/>
                    <w:snapToGrid w:val="0"/>
                    <w:spacing w:before="0" w:beforeAutospacing="0" w:after="0" w:afterAutospacing="0"/>
                    <w:ind w:left="0" w:right="0"/>
                    <w:jc w:val="center"/>
                    <w:rPr>
                      <w:rFonts w:hint="eastAsia"/>
                      <w:color w:val="auto"/>
                      <w:sz w:val="21"/>
                      <w:szCs w:val="21"/>
                      <w:lang w:val="en-US" w:eastAsia="zh-CN"/>
                    </w:rPr>
                  </w:pPr>
                  <w:r>
                    <w:rPr>
                      <w:rFonts w:hint="eastAsia"/>
                      <w:color w:val="auto"/>
                      <w:sz w:val="21"/>
                      <w:szCs w:val="21"/>
                      <w:lang w:val="en-US" w:eastAsia="zh-CN"/>
                    </w:rPr>
                    <w:t>密封箱式可控气氛多用炉</w:t>
                  </w:r>
                </w:p>
                <w:p w14:paraId="25357DFD">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lang w:val="en-US" w:bidi="ar"/>
                    </w:rPr>
                  </w:pPr>
                  <w:r>
                    <w:rPr>
                      <w:rFonts w:hint="eastAsia"/>
                      <w:color w:val="auto"/>
                      <w:sz w:val="21"/>
                      <w:szCs w:val="21"/>
                      <w:lang w:val="en-US" w:eastAsia="zh-CN"/>
                    </w:rPr>
                    <w:t>（电加热）</w:t>
                  </w:r>
                </w:p>
              </w:tc>
              <w:tc>
                <w:tcPr>
                  <w:tcW w:w="173" w:type="pct"/>
                  <w:tcBorders>
                    <w:top w:val="single" w:color="auto" w:sz="4" w:space="0"/>
                    <w:bottom w:val="single" w:color="auto" w:sz="4" w:space="0"/>
                  </w:tcBorders>
                  <w:noWrap w:val="0"/>
                  <w:vAlign w:val="center"/>
                </w:tcPr>
                <w:p w14:paraId="29D325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eastAsia" w:ascii="Times New Roman" w:hAnsi="Times New Roman" w:cs="Times New Roman"/>
                      <w:i w:val="0"/>
                      <w:iCs w:val="0"/>
                      <w:color w:val="auto"/>
                      <w:kern w:val="0"/>
                      <w:sz w:val="21"/>
                      <w:szCs w:val="21"/>
                      <w:u w:val="none"/>
                      <w:lang w:val="en-US" w:eastAsia="zh-CN" w:bidi="ar"/>
                    </w:rPr>
                    <w:t>/</w:t>
                  </w:r>
                </w:p>
              </w:tc>
              <w:tc>
                <w:tcPr>
                  <w:tcW w:w="321" w:type="pct"/>
                  <w:tcBorders>
                    <w:top w:val="single" w:color="auto" w:sz="4" w:space="0"/>
                    <w:bottom w:val="single" w:color="auto" w:sz="4" w:space="0"/>
                  </w:tcBorders>
                  <w:noWrap w:val="0"/>
                  <w:vAlign w:val="center"/>
                </w:tcPr>
                <w:p w14:paraId="152BA775">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eastAsia" w:ascii="Times New Roman" w:hAnsi="Times New Roman" w:cs="Times New Roman"/>
                      <w:color w:val="auto"/>
                      <w:sz w:val="21"/>
                      <w:szCs w:val="21"/>
                      <w:lang w:val="en-US" w:eastAsia="zh-CN"/>
                    </w:rPr>
                    <w:t>8</w:t>
                  </w:r>
                  <w:r>
                    <w:rPr>
                      <w:rFonts w:hint="default" w:ascii="Times New Roman" w:hAnsi="Times New Roman" w:eastAsia="宋体" w:cs="Times New Roman"/>
                      <w:color w:val="auto"/>
                      <w:sz w:val="21"/>
                      <w:szCs w:val="21"/>
                      <w:lang w:val="en-US" w:eastAsia="zh-CN"/>
                    </w:rPr>
                    <w:t>0</w:t>
                  </w:r>
                  <w:r>
                    <w:rPr>
                      <w:rFonts w:hint="default" w:ascii="Times New Roman" w:hAnsi="Times New Roman" w:eastAsia="宋体" w:cs="Times New Roman"/>
                      <w:color w:val="auto"/>
                      <w:sz w:val="21"/>
                      <w:szCs w:val="21"/>
                    </w:rPr>
                    <w:t>/1</w:t>
                  </w:r>
                </w:p>
              </w:tc>
              <w:tc>
                <w:tcPr>
                  <w:tcW w:w="405" w:type="pct"/>
                  <w:vMerge w:val="restart"/>
                  <w:tcBorders>
                    <w:top w:val="single" w:color="auto" w:sz="4" w:space="0"/>
                  </w:tcBorders>
                  <w:noWrap w:val="0"/>
                  <w:vAlign w:val="center"/>
                </w:tcPr>
                <w:p w14:paraId="73B31A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sz w:val="21"/>
                      <w:szCs w:val="21"/>
                    </w:rPr>
                    <w:t>选用低噪声设备、厂房隔声、基础减振、加强设备的保养</w:t>
                  </w:r>
                </w:p>
              </w:tc>
              <w:tc>
                <w:tcPr>
                  <w:tcW w:w="169" w:type="pct"/>
                  <w:tcBorders>
                    <w:top w:val="single" w:color="auto" w:sz="4" w:space="0"/>
                    <w:bottom w:val="single" w:color="auto" w:sz="4" w:space="0"/>
                  </w:tcBorders>
                  <w:noWrap w:val="0"/>
                  <w:vAlign w:val="center"/>
                </w:tcPr>
                <w:p w14:paraId="444E95CF">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w:t>
                  </w:r>
                </w:p>
              </w:tc>
              <w:tc>
                <w:tcPr>
                  <w:tcW w:w="201" w:type="pct"/>
                  <w:tcBorders>
                    <w:top w:val="single" w:color="auto" w:sz="4" w:space="0"/>
                    <w:bottom w:val="single" w:color="auto" w:sz="4" w:space="0"/>
                  </w:tcBorders>
                  <w:noWrap w:val="0"/>
                  <w:vAlign w:val="center"/>
                </w:tcPr>
                <w:p w14:paraId="72A1EF57">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w:t>
                  </w:r>
                </w:p>
              </w:tc>
              <w:tc>
                <w:tcPr>
                  <w:tcW w:w="201" w:type="pct"/>
                  <w:tcBorders>
                    <w:top w:val="single" w:color="auto" w:sz="4" w:space="0"/>
                    <w:bottom w:val="single" w:color="auto" w:sz="4" w:space="0"/>
                  </w:tcBorders>
                  <w:noWrap w:val="0"/>
                  <w:vAlign w:val="center"/>
                </w:tcPr>
                <w:p w14:paraId="54500EFF">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201" w:type="pct"/>
                  <w:tcBorders>
                    <w:top w:val="single" w:color="auto" w:sz="4" w:space="0"/>
                    <w:bottom w:val="single" w:color="auto" w:sz="4" w:space="0"/>
                  </w:tcBorders>
                  <w:noWrap w:val="0"/>
                  <w:vAlign w:val="center"/>
                </w:tcPr>
                <w:p w14:paraId="429CBC1C">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48</w:t>
                  </w:r>
                </w:p>
              </w:tc>
              <w:tc>
                <w:tcPr>
                  <w:tcW w:w="201" w:type="pct"/>
                  <w:tcBorders>
                    <w:top w:val="single" w:color="auto" w:sz="4" w:space="0"/>
                    <w:bottom w:val="single" w:color="auto" w:sz="4" w:space="0"/>
                  </w:tcBorders>
                  <w:noWrap w:val="0"/>
                  <w:vAlign w:val="center"/>
                </w:tcPr>
                <w:p w14:paraId="0B758BAB">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40</w:t>
                  </w:r>
                </w:p>
              </w:tc>
              <w:tc>
                <w:tcPr>
                  <w:tcW w:w="201" w:type="pct"/>
                  <w:tcBorders>
                    <w:top w:val="single" w:color="auto" w:sz="4" w:space="0"/>
                    <w:bottom w:val="single" w:color="auto" w:sz="4" w:space="0"/>
                  </w:tcBorders>
                  <w:noWrap w:val="0"/>
                  <w:vAlign w:val="center"/>
                </w:tcPr>
                <w:p w14:paraId="3E5AB1C8">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w:t>
                  </w:r>
                </w:p>
              </w:tc>
              <w:tc>
                <w:tcPr>
                  <w:tcW w:w="201" w:type="pct"/>
                  <w:tcBorders>
                    <w:top w:val="single" w:color="auto" w:sz="4" w:space="0"/>
                    <w:bottom w:val="single" w:color="auto" w:sz="4" w:space="0"/>
                  </w:tcBorders>
                  <w:noWrap w:val="0"/>
                  <w:vAlign w:val="center"/>
                </w:tcPr>
                <w:p w14:paraId="075AA77A">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w:t>
                  </w:r>
                </w:p>
              </w:tc>
              <w:tc>
                <w:tcPr>
                  <w:tcW w:w="201" w:type="pct"/>
                  <w:tcBorders>
                    <w:top w:val="single" w:color="auto" w:sz="4" w:space="0"/>
                    <w:bottom w:val="single" w:color="auto" w:sz="4" w:space="0"/>
                  </w:tcBorders>
                  <w:noWrap w:val="0"/>
                  <w:vAlign w:val="center"/>
                </w:tcPr>
                <w:p w14:paraId="659B3D54">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56.9 </w:t>
                  </w:r>
                </w:p>
              </w:tc>
              <w:tc>
                <w:tcPr>
                  <w:tcW w:w="201" w:type="pct"/>
                  <w:tcBorders>
                    <w:top w:val="single" w:color="auto" w:sz="4" w:space="0"/>
                    <w:bottom w:val="single" w:color="auto" w:sz="4" w:space="0"/>
                  </w:tcBorders>
                  <w:noWrap w:val="0"/>
                  <w:vAlign w:val="center"/>
                </w:tcPr>
                <w:p w14:paraId="5C90DAB7">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56.9 </w:t>
                  </w:r>
                </w:p>
              </w:tc>
              <w:tc>
                <w:tcPr>
                  <w:tcW w:w="201" w:type="pct"/>
                  <w:tcBorders>
                    <w:top w:val="single" w:color="auto" w:sz="4" w:space="0"/>
                    <w:bottom w:val="single" w:color="auto" w:sz="4" w:space="0"/>
                  </w:tcBorders>
                  <w:noWrap w:val="0"/>
                  <w:vAlign w:val="center"/>
                </w:tcPr>
                <w:p w14:paraId="423B0F0C">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59.1 </w:t>
                  </w:r>
                </w:p>
              </w:tc>
              <w:tc>
                <w:tcPr>
                  <w:tcW w:w="205" w:type="pct"/>
                  <w:tcBorders>
                    <w:top w:val="single" w:color="auto" w:sz="4" w:space="0"/>
                    <w:bottom w:val="single" w:color="auto" w:sz="4" w:space="0"/>
                  </w:tcBorders>
                  <w:noWrap w:val="0"/>
                  <w:vAlign w:val="center"/>
                </w:tcPr>
                <w:p w14:paraId="502B93D0">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58.1 </w:t>
                  </w:r>
                </w:p>
              </w:tc>
              <w:tc>
                <w:tcPr>
                  <w:tcW w:w="211" w:type="pct"/>
                  <w:tcBorders>
                    <w:top w:val="single" w:color="auto" w:sz="4" w:space="0"/>
                    <w:bottom w:val="single" w:color="auto" w:sz="4" w:space="0"/>
                  </w:tcBorders>
                  <w:noWrap w:val="0"/>
                  <w:vAlign w:val="center"/>
                </w:tcPr>
                <w:p w14:paraId="1407091D">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2400</w:t>
                  </w:r>
                </w:p>
              </w:tc>
              <w:tc>
                <w:tcPr>
                  <w:tcW w:w="295" w:type="pct"/>
                  <w:vMerge w:val="restart"/>
                  <w:tcBorders>
                    <w:top w:val="single" w:color="auto" w:sz="4" w:space="0"/>
                  </w:tcBorders>
                  <w:noWrap w:val="0"/>
                  <w:vAlign w:val="center"/>
                </w:tcPr>
                <w:p w14:paraId="1818B323">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E</w:t>
                  </w:r>
                  <w:r>
                    <w:rPr>
                      <w:rFonts w:hint="eastAsia" w:ascii="Times New Roman" w:hAnsi="Times New Roman" w:cs="Times New Roman"/>
                      <w:color w:val="auto"/>
                      <w:sz w:val="21"/>
                      <w:szCs w:val="21"/>
                      <w:lang w:val="en-US" w:eastAsia="zh-CN"/>
                    </w:rPr>
                    <w:t>64.7</w:t>
                  </w:r>
                  <w:r>
                    <w:rPr>
                      <w:rFonts w:hint="default" w:ascii="Times New Roman" w:hAnsi="Times New Roman" w:eastAsia="宋体" w:cs="Times New Roman"/>
                      <w:color w:val="auto"/>
                      <w:sz w:val="21"/>
                      <w:szCs w:val="21"/>
                      <w:lang w:eastAsia="zh-CN"/>
                    </w:rPr>
                    <w:t>；</w:t>
                  </w:r>
                </w:p>
                <w:p w14:paraId="7F5ED745">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S</w:t>
                  </w:r>
                  <w:r>
                    <w:rPr>
                      <w:rFonts w:hint="eastAsia" w:ascii="Times New Roman" w:hAnsi="Times New Roman" w:cs="Times New Roman"/>
                      <w:color w:val="auto"/>
                      <w:sz w:val="21"/>
                      <w:szCs w:val="21"/>
                      <w:lang w:val="en-US" w:eastAsia="zh-CN"/>
                    </w:rPr>
                    <w:t>65.0</w:t>
                  </w:r>
                  <w:r>
                    <w:rPr>
                      <w:rFonts w:hint="default" w:ascii="Times New Roman" w:hAnsi="Times New Roman" w:eastAsia="宋体" w:cs="Times New Roman"/>
                      <w:color w:val="auto"/>
                      <w:sz w:val="21"/>
                      <w:szCs w:val="21"/>
                      <w:lang w:eastAsia="zh-CN"/>
                    </w:rPr>
                    <w:t>；</w:t>
                  </w:r>
                </w:p>
                <w:p w14:paraId="44FFB688">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W</w:t>
                  </w:r>
                  <w:r>
                    <w:rPr>
                      <w:rFonts w:hint="eastAsia" w:ascii="Times New Roman" w:hAnsi="Times New Roman" w:cs="Times New Roman"/>
                      <w:color w:val="auto"/>
                      <w:sz w:val="21"/>
                      <w:szCs w:val="21"/>
                      <w:lang w:val="en-US" w:eastAsia="zh-CN"/>
                    </w:rPr>
                    <w:t>66.4</w:t>
                  </w:r>
                  <w:r>
                    <w:rPr>
                      <w:rFonts w:hint="default" w:ascii="Times New Roman" w:hAnsi="Times New Roman" w:eastAsia="宋体" w:cs="Times New Roman"/>
                      <w:color w:val="auto"/>
                      <w:sz w:val="21"/>
                      <w:szCs w:val="21"/>
                      <w:lang w:eastAsia="zh-CN"/>
                    </w:rPr>
                    <w:t>；</w:t>
                  </w:r>
                </w:p>
                <w:p w14:paraId="40FF5902">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N</w:t>
                  </w:r>
                  <w:r>
                    <w:rPr>
                      <w:rFonts w:hint="eastAsia" w:ascii="Times New Roman" w:hAnsi="Times New Roman" w:cs="Times New Roman"/>
                      <w:color w:val="auto"/>
                      <w:sz w:val="21"/>
                      <w:szCs w:val="21"/>
                      <w:lang w:val="en-US" w:eastAsia="zh-CN"/>
                    </w:rPr>
                    <w:t>65.2</w:t>
                  </w:r>
                </w:p>
              </w:tc>
              <w:tc>
                <w:tcPr>
                  <w:tcW w:w="218" w:type="pct"/>
                  <w:vMerge w:val="restart"/>
                  <w:tcBorders>
                    <w:top w:val="single" w:color="auto" w:sz="4" w:space="0"/>
                  </w:tcBorders>
                  <w:noWrap w:val="0"/>
                  <w:vAlign w:val="center"/>
                </w:tcPr>
                <w:p w14:paraId="4312D5AD">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15</w:t>
                  </w:r>
                </w:p>
              </w:tc>
              <w:tc>
                <w:tcPr>
                  <w:tcW w:w="295" w:type="pct"/>
                  <w:vMerge w:val="restart"/>
                  <w:tcBorders>
                    <w:top w:val="single" w:color="auto" w:sz="4" w:space="0"/>
                  </w:tcBorders>
                  <w:noWrap w:val="0"/>
                  <w:vAlign w:val="center"/>
                </w:tcPr>
                <w:p w14:paraId="06E5FECC">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E</w:t>
                  </w:r>
                  <w:r>
                    <w:rPr>
                      <w:rFonts w:hint="eastAsia" w:ascii="Times New Roman" w:hAnsi="Times New Roman" w:cs="Times New Roman"/>
                      <w:color w:val="auto"/>
                      <w:sz w:val="21"/>
                      <w:szCs w:val="21"/>
                      <w:lang w:val="en-US" w:eastAsia="zh-CN"/>
                    </w:rPr>
                    <w:t>49.7</w:t>
                  </w:r>
                  <w:r>
                    <w:rPr>
                      <w:rFonts w:hint="default" w:ascii="Times New Roman" w:hAnsi="Times New Roman" w:eastAsia="宋体" w:cs="Times New Roman"/>
                      <w:color w:val="auto"/>
                      <w:sz w:val="21"/>
                      <w:szCs w:val="21"/>
                      <w:lang w:eastAsia="zh-CN"/>
                    </w:rPr>
                    <w:t>；</w:t>
                  </w:r>
                </w:p>
                <w:p w14:paraId="7D9FB671">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S</w:t>
                  </w:r>
                  <w:r>
                    <w:rPr>
                      <w:rFonts w:hint="eastAsia" w:ascii="Times New Roman" w:hAnsi="Times New Roman" w:cs="Times New Roman"/>
                      <w:color w:val="auto"/>
                      <w:sz w:val="21"/>
                      <w:szCs w:val="21"/>
                      <w:lang w:val="en-US" w:eastAsia="zh-CN"/>
                    </w:rPr>
                    <w:t>50.0</w:t>
                  </w:r>
                  <w:r>
                    <w:rPr>
                      <w:rFonts w:hint="default" w:ascii="Times New Roman" w:hAnsi="Times New Roman" w:eastAsia="宋体" w:cs="Times New Roman"/>
                      <w:color w:val="auto"/>
                      <w:sz w:val="21"/>
                      <w:szCs w:val="21"/>
                      <w:lang w:eastAsia="zh-CN"/>
                    </w:rPr>
                    <w:t>；</w:t>
                  </w:r>
                </w:p>
                <w:p w14:paraId="1E1CF014">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W</w:t>
                  </w:r>
                  <w:r>
                    <w:rPr>
                      <w:rFonts w:hint="eastAsia" w:ascii="Times New Roman" w:hAnsi="Times New Roman" w:cs="Times New Roman"/>
                      <w:color w:val="auto"/>
                      <w:sz w:val="21"/>
                      <w:szCs w:val="21"/>
                      <w:lang w:val="en-US" w:eastAsia="zh-CN"/>
                    </w:rPr>
                    <w:t>51.4</w:t>
                  </w:r>
                  <w:r>
                    <w:rPr>
                      <w:rFonts w:hint="default" w:ascii="Times New Roman" w:hAnsi="Times New Roman" w:eastAsia="宋体" w:cs="Times New Roman"/>
                      <w:color w:val="auto"/>
                      <w:sz w:val="21"/>
                      <w:szCs w:val="21"/>
                      <w:lang w:eastAsia="zh-CN"/>
                    </w:rPr>
                    <w:t>；</w:t>
                  </w:r>
                </w:p>
                <w:p w14:paraId="6CFEE950">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N</w:t>
                  </w:r>
                  <w:r>
                    <w:rPr>
                      <w:rFonts w:hint="eastAsia" w:ascii="Times New Roman" w:hAnsi="Times New Roman" w:cs="Times New Roman"/>
                      <w:color w:val="auto"/>
                      <w:sz w:val="21"/>
                      <w:szCs w:val="21"/>
                      <w:lang w:val="en-US" w:eastAsia="zh-CN"/>
                    </w:rPr>
                    <w:t>50.2</w:t>
                  </w:r>
                </w:p>
              </w:tc>
              <w:tc>
                <w:tcPr>
                  <w:tcW w:w="160" w:type="pct"/>
                  <w:vMerge w:val="restart"/>
                  <w:tcBorders>
                    <w:top w:val="single" w:color="auto" w:sz="4" w:space="0"/>
                  </w:tcBorders>
                  <w:noWrap w:val="0"/>
                  <w:vAlign w:val="center"/>
                </w:tcPr>
                <w:p w14:paraId="4CFF693C">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r>
            <w:tr w14:paraId="17DDE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1" w:hRule="atLeast"/>
              </w:trPr>
              <w:tc>
                <w:tcPr>
                  <w:tcW w:w="163" w:type="pct"/>
                  <w:vMerge w:val="continue"/>
                  <w:noWrap/>
                  <w:vAlign w:val="center"/>
                </w:tcPr>
                <w:p w14:paraId="477A449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p>
              </w:tc>
              <w:tc>
                <w:tcPr>
                  <w:tcW w:w="562" w:type="pct"/>
                  <w:tcBorders>
                    <w:top w:val="single" w:color="auto" w:sz="4" w:space="0"/>
                    <w:bottom w:val="single" w:color="auto" w:sz="4" w:space="0"/>
                  </w:tcBorders>
                  <w:noWrap w:val="0"/>
                  <w:vAlign w:val="center"/>
                </w:tcPr>
                <w:p w14:paraId="2AF15DD5">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lang w:val="en-US" w:bidi="ar"/>
                    </w:rPr>
                  </w:pPr>
                  <w:r>
                    <w:rPr>
                      <w:rFonts w:hint="eastAsia"/>
                      <w:color w:val="auto"/>
                      <w:sz w:val="21"/>
                      <w:szCs w:val="21"/>
                      <w:lang w:val="en-US" w:eastAsia="zh-CN"/>
                    </w:rPr>
                    <w:t>燃气淬火炉</w:t>
                  </w:r>
                </w:p>
              </w:tc>
              <w:tc>
                <w:tcPr>
                  <w:tcW w:w="173" w:type="pct"/>
                  <w:tcBorders>
                    <w:top w:val="single" w:color="auto" w:sz="4" w:space="0"/>
                    <w:bottom w:val="single" w:color="auto" w:sz="4" w:space="0"/>
                  </w:tcBorders>
                  <w:noWrap w:val="0"/>
                  <w:vAlign w:val="center"/>
                </w:tcPr>
                <w:p w14:paraId="3453CC1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eastAsia" w:ascii="Times New Roman" w:hAnsi="Times New Roman" w:cs="Times New Roman"/>
                      <w:i w:val="0"/>
                      <w:iCs w:val="0"/>
                      <w:color w:val="auto"/>
                      <w:kern w:val="0"/>
                      <w:sz w:val="21"/>
                      <w:szCs w:val="21"/>
                      <w:u w:val="none"/>
                      <w:lang w:val="en-US" w:eastAsia="zh-CN" w:bidi="ar"/>
                    </w:rPr>
                    <w:t>/</w:t>
                  </w:r>
                </w:p>
              </w:tc>
              <w:tc>
                <w:tcPr>
                  <w:tcW w:w="321" w:type="pct"/>
                  <w:tcBorders>
                    <w:top w:val="single" w:color="auto" w:sz="4" w:space="0"/>
                    <w:bottom w:val="single" w:color="auto" w:sz="4" w:space="0"/>
                  </w:tcBorders>
                  <w:noWrap w:val="0"/>
                  <w:vAlign w:val="center"/>
                </w:tcPr>
                <w:p w14:paraId="2A049D52">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eastAsia" w:ascii="Times New Roman" w:hAnsi="Times New Roman" w:cs="Times New Roman"/>
                      <w:color w:val="auto"/>
                      <w:sz w:val="21"/>
                      <w:szCs w:val="21"/>
                      <w:lang w:val="en-US" w:eastAsia="zh-CN"/>
                    </w:rPr>
                    <w:t>8</w:t>
                  </w:r>
                  <w:r>
                    <w:rPr>
                      <w:rFonts w:hint="default" w:ascii="Times New Roman" w:hAnsi="Times New Roman" w:eastAsia="宋体" w:cs="Times New Roman"/>
                      <w:color w:val="auto"/>
                      <w:sz w:val="21"/>
                      <w:szCs w:val="21"/>
                      <w:lang w:val="en-US" w:eastAsia="zh-CN"/>
                    </w:rPr>
                    <w:t>0</w:t>
                  </w:r>
                  <w:r>
                    <w:rPr>
                      <w:rFonts w:hint="default" w:ascii="Times New Roman" w:hAnsi="Times New Roman" w:eastAsia="宋体" w:cs="Times New Roman"/>
                      <w:color w:val="auto"/>
                      <w:sz w:val="21"/>
                      <w:szCs w:val="21"/>
                    </w:rPr>
                    <w:t>/1</w:t>
                  </w:r>
                </w:p>
              </w:tc>
              <w:tc>
                <w:tcPr>
                  <w:tcW w:w="405" w:type="pct"/>
                  <w:vMerge w:val="continue"/>
                  <w:noWrap w:val="0"/>
                  <w:vAlign w:val="center"/>
                </w:tcPr>
                <w:p w14:paraId="7B71AC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0"/>
                      <w:sz w:val="21"/>
                      <w:szCs w:val="21"/>
                      <w:lang w:bidi="ar"/>
                    </w:rPr>
                  </w:pPr>
                </w:p>
              </w:tc>
              <w:tc>
                <w:tcPr>
                  <w:tcW w:w="169" w:type="pct"/>
                  <w:tcBorders>
                    <w:top w:val="single" w:color="auto" w:sz="4" w:space="0"/>
                    <w:bottom w:val="single" w:color="auto" w:sz="4" w:space="0"/>
                  </w:tcBorders>
                  <w:noWrap w:val="0"/>
                  <w:vAlign w:val="center"/>
                </w:tcPr>
                <w:p w14:paraId="1E997B67">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w:t>
                  </w:r>
                </w:p>
              </w:tc>
              <w:tc>
                <w:tcPr>
                  <w:tcW w:w="201" w:type="pct"/>
                  <w:tcBorders>
                    <w:top w:val="single" w:color="auto" w:sz="4" w:space="0"/>
                    <w:bottom w:val="single" w:color="auto" w:sz="4" w:space="0"/>
                  </w:tcBorders>
                  <w:noWrap w:val="0"/>
                  <w:vAlign w:val="center"/>
                </w:tcPr>
                <w:p w14:paraId="18ECE733">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w:t>
                  </w:r>
                </w:p>
              </w:tc>
              <w:tc>
                <w:tcPr>
                  <w:tcW w:w="201" w:type="pct"/>
                  <w:tcBorders>
                    <w:top w:val="single" w:color="auto" w:sz="4" w:space="0"/>
                    <w:bottom w:val="single" w:color="auto" w:sz="4" w:space="0"/>
                  </w:tcBorders>
                  <w:noWrap w:val="0"/>
                  <w:vAlign w:val="center"/>
                </w:tcPr>
                <w:p w14:paraId="2686AB57">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201" w:type="pct"/>
                  <w:tcBorders>
                    <w:top w:val="single" w:color="auto" w:sz="4" w:space="0"/>
                    <w:bottom w:val="single" w:color="auto" w:sz="4" w:space="0"/>
                  </w:tcBorders>
                  <w:noWrap w:val="0"/>
                  <w:vAlign w:val="center"/>
                </w:tcPr>
                <w:p w14:paraId="2DD7A020">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48</w:t>
                  </w:r>
                </w:p>
              </w:tc>
              <w:tc>
                <w:tcPr>
                  <w:tcW w:w="201" w:type="pct"/>
                  <w:tcBorders>
                    <w:top w:val="single" w:color="auto" w:sz="4" w:space="0"/>
                    <w:bottom w:val="single" w:color="auto" w:sz="4" w:space="0"/>
                  </w:tcBorders>
                  <w:noWrap w:val="0"/>
                  <w:vAlign w:val="center"/>
                </w:tcPr>
                <w:p w14:paraId="33826DE5">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12</w:t>
                  </w:r>
                </w:p>
              </w:tc>
              <w:tc>
                <w:tcPr>
                  <w:tcW w:w="201" w:type="pct"/>
                  <w:tcBorders>
                    <w:top w:val="single" w:color="auto" w:sz="4" w:space="0"/>
                    <w:bottom w:val="single" w:color="auto" w:sz="4" w:space="0"/>
                  </w:tcBorders>
                  <w:noWrap w:val="0"/>
                  <w:vAlign w:val="center"/>
                </w:tcPr>
                <w:p w14:paraId="6CB1B770">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w:t>
                  </w:r>
                </w:p>
              </w:tc>
              <w:tc>
                <w:tcPr>
                  <w:tcW w:w="201" w:type="pct"/>
                  <w:tcBorders>
                    <w:top w:val="single" w:color="auto" w:sz="4" w:space="0"/>
                    <w:bottom w:val="single" w:color="auto" w:sz="4" w:space="0"/>
                  </w:tcBorders>
                  <w:noWrap w:val="0"/>
                  <w:vAlign w:val="center"/>
                </w:tcPr>
                <w:p w14:paraId="4021E4B9">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38</w:t>
                  </w:r>
                </w:p>
              </w:tc>
              <w:tc>
                <w:tcPr>
                  <w:tcW w:w="201" w:type="pct"/>
                  <w:tcBorders>
                    <w:top w:val="single" w:color="auto" w:sz="4" w:space="0"/>
                    <w:bottom w:val="single" w:color="auto" w:sz="4" w:space="0"/>
                  </w:tcBorders>
                  <w:noWrap w:val="0"/>
                  <w:vAlign w:val="center"/>
                </w:tcPr>
                <w:p w14:paraId="16B6F347">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56.9 </w:t>
                  </w:r>
                </w:p>
              </w:tc>
              <w:tc>
                <w:tcPr>
                  <w:tcW w:w="201" w:type="pct"/>
                  <w:tcBorders>
                    <w:top w:val="single" w:color="auto" w:sz="4" w:space="0"/>
                    <w:bottom w:val="single" w:color="auto" w:sz="4" w:space="0"/>
                  </w:tcBorders>
                  <w:noWrap w:val="0"/>
                  <w:vAlign w:val="center"/>
                </w:tcPr>
                <w:p w14:paraId="152411F1">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57.7 </w:t>
                  </w:r>
                </w:p>
              </w:tc>
              <w:tc>
                <w:tcPr>
                  <w:tcW w:w="201" w:type="pct"/>
                  <w:tcBorders>
                    <w:top w:val="single" w:color="auto" w:sz="4" w:space="0"/>
                    <w:bottom w:val="single" w:color="auto" w:sz="4" w:space="0"/>
                  </w:tcBorders>
                  <w:noWrap w:val="0"/>
                  <w:vAlign w:val="center"/>
                </w:tcPr>
                <w:p w14:paraId="2A34F5AB">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59.1 </w:t>
                  </w:r>
                </w:p>
              </w:tc>
              <w:tc>
                <w:tcPr>
                  <w:tcW w:w="205" w:type="pct"/>
                  <w:tcBorders>
                    <w:top w:val="single" w:color="auto" w:sz="4" w:space="0"/>
                    <w:bottom w:val="single" w:color="auto" w:sz="4" w:space="0"/>
                  </w:tcBorders>
                  <w:noWrap w:val="0"/>
                  <w:vAlign w:val="center"/>
                </w:tcPr>
                <w:p w14:paraId="76194D12">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56.9 </w:t>
                  </w:r>
                </w:p>
              </w:tc>
              <w:tc>
                <w:tcPr>
                  <w:tcW w:w="211" w:type="pct"/>
                  <w:tcBorders>
                    <w:top w:val="single" w:color="auto" w:sz="4" w:space="0"/>
                    <w:bottom w:val="single" w:color="auto" w:sz="4" w:space="0"/>
                  </w:tcBorders>
                  <w:noWrap w:val="0"/>
                  <w:vAlign w:val="center"/>
                </w:tcPr>
                <w:p w14:paraId="205084D6">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2400</w:t>
                  </w:r>
                </w:p>
              </w:tc>
              <w:tc>
                <w:tcPr>
                  <w:tcW w:w="295" w:type="pct"/>
                  <w:vMerge w:val="continue"/>
                  <w:noWrap w:val="0"/>
                  <w:vAlign w:val="center"/>
                </w:tcPr>
                <w:p w14:paraId="75531BAE">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p>
              </w:tc>
              <w:tc>
                <w:tcPr>
                  <w:tcW w:w="218" w:type="pct"/>
                  <w:vMerge w:val="continue"/>
                  <w:noWrap w:val="0"/>
                  <w:vAlign w:val="center"/>
                </w:tcPr>
                <w:p w14:paraId="15FF7158">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p>
              </w:tc>
              <w:tc>
                <w:tcPr>
                  <w:tcW w:w="295" w:type="pct"/>
                  <w:vMerge w:val="continue"/>
                  <w:noWrap w:val="0"/>
                  <w:vAlign w:val="center"/>
                </w:tcPr>
                <w:p w14:paraId="5D23A089">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p>
              </w:tc>
              <w:tc>
                <w:tcPr>
                  <w:tcW w:w="160" w:type="pct"/>
                  <w:vMerge w:val="continue"/>
                  <w:noWrap w:val="0"/>
                  <w:vAlign w:val="center"/>
                </w:tcPr>
                <w:p w14:paraId="79A746D4">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p>
              </w:tc>
            </w:tr>
            <w:tr w14:paraId="55492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 w:hRule="atLeast"/>
              </w:trPr>
              <w:tc>
                <w:tcPr>
                  <w:tcW w:w="163" w:type="pct"/>
                  <w:vMerge w:val="continue"/>
                  <w:noWrap/>
                  <w:vAlign w:val="center"/>
                </w:tcPr>
                <w:p w14:paraId="33BB29B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p>
              </w:tc>
              <w:tc>
                <w:tcPr>
                  <w:tcW w:w="562" w:type="pct"/>
                  <w:tcBorders>
                    <w:top w:val="single" w:color="auto" w:sz="4" w:space="0"/>
                    <w:bottom w:val="single" w:color="auto" w:sz="4" w:space="0"/>
                  </w:tcBorders>
                  <w:noWrap w:val="0"/>
                  <w:vAlign w:val="center"/>
                </w:tcPr>
                <w:p w14:paraId="5E6C3B3A">
                  <w:pPr>
                    <w:keepNext w:val="0"/>
                    <w:keepLines w:val="0"/>
                    <w:suppressLineNumbers w:val="0"/>
                    <w:adjustRightInd w:val="0"/>
                    <w:snapToGrid w:val="0"/>
                    <w:spacing w:before="0" w:beforeAutospacing="0" w:after="0" w:afterAutospacing="0"/>
                    <w:ind w:left="0" w:leftChars="0" w:right="0" w:rightChars="0"/>
                    <w:jc w:val="center"/>
                    <w:rPr>
                      <w:rFonts w:hint="default" w:ascii="宋体" w:hAnsi="宋体" w:eastAsia="宋体" w:cs="宋体"/>
                      <w:i w:val="0"/>
                      <w:iCs w:val="0"/>
                      <w:color w:val="auto"/>
                      <w:kern w:val="0"/>
                      <w:sz w:val="21"/>
                      <w:szCs w:val="21"/>
                      <w:u w:val="none"/>
                      <w:lang w:val="en-US" w:eastAsia="zh-CN" w:bidi="ar"/>
                    </w:rPr>
                  </w:pPr>
                  <w:r>
                    <w:rPr>
                      <w:rFonts w:hint="eastAsia"/>
                      <w:color w:val="auto"/>
                      <w:sz w:val="21"/>
                      <w:szCs w:val="21"/>
                      <w:lang w:val="en-US" w:eastAsia="zh-CN"/>
                    </w:rPr>
                    <w:t>电加热回火炉</w:t>
                  </w:r>
                </w:p>
              </w:tc>
              <w:tc>
                <w:tcPr>
                  <w:tcW w:w="173" w:type="pct"/>
                  <w:tcBorders>
                    <w:top w:val="single" w:color="auto" w:sz="4" w:space="0"/>
                    <w:bottom w:val="single" w:color="auto" w:sz="4" w:space="0"/>
                  </w:tcBorders>
                  <w:noWrap w:val="0"/>
                  <w:vAlign w:val="center"/>
                </w:tcPr>
                <w:p w14:paraId="4A12575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w:t>
                  </w:r>
                </w:p>
              </w:tc>
              <w:tc>
                <w:tcPr>
                  <w:tcW w:w="321" w:type="pct"/>
                  <w:tcBorders>
                    <w:top w:val="single" w:color="auto" w:sz="4" w:space="0"/>
                    <w:bottom w:val="single" w:color="auto" w:sz="4" w:space="0"/>
                  </w:tcBorders>
                  <w:noWrap w:val="0"/>
                  <w:vAlign w:val="center"/>
                </w:tcPr>
                <w:p w14:paraId="044E739F">
                  <w:pPr>
                    <w:keepNext w:val="0"/>
                    <w:keepLines w:val="0"/>
                    <w:suppressLineNumbers w:val="0"/>
                    <w:spacing w:before="0" w:beforeAutospacing="0" w:after="0" w:afterAutospacing="0" w:line="240" w:lineRule="auto"/>
                    <w:ind w:left="-105" w:leftChars="-50" w:right="-105" w:rightChars="-50"/>
                    <w:jc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8</w:t>
                  </w:r>
                  <w:r>
                    <w:rPr>
                      <w:rFonts w:hint="default" w:ascii="Times New Roman" w:hAnsi="Times New Roman" w:eastAsia="宋体" w:cs="Times New Roman"/>
                      <w:color w:val="auto"/>
                      <w:sz w:val="21"/>
                      <w:szCs w:val="21"/>
                      <w:lang w:val="en-US" w:eastAsia="zh-CN"/>
                    </w:rPr>
                    <w:t>0</w:t>
                  </w:r>
                  <w:r>
                    <w:rPr>
                      <w:rFonts w:hint="default" w:ascii="Times New Roman" w:hAnsi="Times New Roman" w:eastAsia="宋体" w:cs="Times New Roman"/>
                      <w:color w:val="auto"/>
                      <w:sz w:val="21"/>
                      <w:szCs w:val="21"/>
                    </w:rPr>
                    <w:t>/1</w:t>
                  </w:r>
                </w:p>
              </w:tc>
              <w:tc>
                <w:tcPr>
                  <w:tcW w:w="405" w:type="pct"/>
                  <w:vMerge w:val="continue"/>
                  <w:noWrap w:val="0"/>
                  <w:vAlign w:val="center"/>
                </w:tcPr>
                <w:p w14:paraId="5D870C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0"/>
                      <w:sz w:val="21"/>
                      <w:szCs w:val="21"/>
                      <w:lang w:bidi="ar"/>
                    </w:rPr>
                  </w:pPr>
                </w:p>
              </w:tc>
              <w:tc>
                <w:tcPr>
                  <w:tcW w:w="169" w:type="pct"/>
                  <w:tcBorders>
                    <w:top w:val="single" w:color="auto" w:sz="4" w:space="0"/>
                    <w:bottom w:val="single" w:color="auto" w:sz="4" w:space="0"/>
                  </w:tcBorders>
                  <w:noWrap w:val="0"/>
                  <w:vAlign w:val="center"/>
                </w:tcPr>
                <w:p w14:paraId="23D52697">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w:t>
                  </w:r>
                </w:p>
              </w:tc>
              <w:tc>
                <w:tcPr>
                  <w:tcW w:w="201" w:type="pct"/>
                  <w:tcBorders>
                    <w:top w:val="single" w:color="auto" w:sz="4" w:space="0"/>
                    <w:bottom w:val="single" w:color="auto" w:sz="4" w:space="0"/>
                  </w:tcBorders>
                  <w:noWrap w:val="0"/>
                  <w:vAlign w:val="center"/>
                </w:tcPr>
                <w:p w14:paraId="611C8133">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w:t>
                  </w:r>
                </w:p>
              </w:tc>
              <w:tc>
                <w:tcPr>
                  <w:tcW w:w="201" w:type="pct"/>
                  <w:tcBorders>
                    <w:top w:val="single" w:color="auto" w:sz="4" w:space="0"/>
                    <w:bottom w:val="single" w:color="auto" w:sz="4" w:space="0"/>
                  </w:tcBorders>
                  <w:noWrap w:val="0"/>
                  <w:vAlign w:val="center"/>
                </w:tcPr>
                <w:p w14:paraId="7688B044">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201" w:type="pct"/>
                  <w:tcBorders>
                    <w:top w:val="single" w:color="auto" w:sz="4" w:space="0"/>
                    <w:bottom w:val="single" w:color="auto" w:sz="4" w:space="0"/>
                  </w:tcBorders>
                  <w:noWrap w:val="0"/>
                  <w:vAlign w:val="center"/>
                </w:tcPr>
                <w:p w14:paraId="46419092">
                  <w:pPr>
                    <w:keepNext w:val="0"/>
                    <w:keepLines w:val="0"/>
                    <w:suppressLineNumbers w:val="0"/>
                    <w:spacing w:before="0" w:beforeAutospacing="0" w:after="0" w:afterAutospacing="0" w:line="240" w:lineRule="auto"/>
                    <w:ind w:left="-105" w:leftChars="-50" w:right="-105" w:rightChars="-5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42</w:t>
                  </w:r>
                </w:p>
              </w:tc>
              <w:tc>
                <w:tcPr>
                  <w:tcW w:w="201" w:type="pct"/>
                  <w:tcBorders>
                    <w:top w:val="single" w:color="auto" w:sz="4" w:space="0"/>
                    <w:bottom w:val="single" w:color="auto" w:sz="4" w:space="0"/>
                  </w:tcBorders>
                  <w:noWrap w:val="0"/>
                  <w:vAlign w:val="center"/>
                </w:tcPr>
                <w:p w14:paraId="12A2A2E0">
                  <w:pPr>
                    <w:keepNext w:val="0"/>
                    <w:keepLines w:val="0"/>
                    <w:suppressLineNumbers w:val="0"/>
                    <w:spacing w:before="0" w:beforeAutospacing="0" w:after="0" w:afterAutospacing="0" w:line="240" w:lineRule="auto"/>
                    <w:ind w:left="-105" w:leftChars="-50" w:right="-105" w:rightChars="-5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40</w:t>
                  </w:r>
                </w:p>
              </w:tc>
              <w:tc>
                <w:tcPr>
                  <w:tcW w:w="201" w:type="pct"/>
                  <w:tcBorders>
                    <w:top w:val="single" w:color="auto" w:sz="4" w:space="0"/>
                    <w:bottom w:val="single" w:color="auto" w:sz="4" w:space="0"/>
                  </w:tcBorders>
                  <w:noWrap w:val="0"/>
                  <w:vAlign w:val="center"/>
                </w:tcPr>
                <w:p w14:paraId="5F9A9427">
                  <w:pPr>
                    <w:keepNext w:val="0"/>
                    <w:keepLines w:val="0"/>
                    <w:suppressLineNumbers w:val="0"/>
                    <w:spacing w:before="0" w:beforeAutospacing="0" w:after="0" w:afterAutospacing="0" w:line="240" w:lineRule="auto"/>
                    <w:ind w:left="-105" w:leftChars="-50" w:right="-105" w:rightChars="-5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13</w:t>
                  </w:r>
                </w:p>
              </w:tc>
              <w:tc>
                <w:tcPr>
                  <w:tcW w:w="201" w:type="pct"/>
                  <w:tcBorders>
                    <w:top w:val="single" w:color="auto" w:sz="4" w:space="0"/>
                    <w:bottom w:val="single" w:color="auto" w:sz="4" w:space="0"/>
                  </w:tcBorders>
                  <w:noWrap w:val="0"/>
                  <w:vAlign w:val="center"/>
                </w:tcPr>
                <w:p w14:paraId="27F45915">
                  <w:pPr>
                    <w:keepNext w:val="0"/>
                    <w:keepLines w:val="0"/>
                    <w:suppressLineNumbers w:val="0"/>
                    <w:spacing w:before="0" w:beforeAutospacing="0" w:after="0" w:afterAutospacing="0" w:line="240" w:lineRule="auto"/>
                    <w:ind w:left="-105" w:leftChars="-50" w:right="-105" w:rightChars="-5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w:t>
                  </w:r>
                </w:p>
              </w:tc>
              <w:tc>
                <w:tcPr>
                  <w:tcW w:w="201" w:type="pct"/>
                  <w:tcBorders>
                    <w:top w:val="single" w:color="auto" w:sz="4" w:space="0"/>
                    <w:bottom w:val="single" w:color="auto" w:sz="4" w:space="0"/>
                  </w:tcBorders>
                  <w:noWrap w:val="0"/>
                  <w:vAlign w:val="center"/>
                </w:tcPr>
                <w:p w14:paraId="761298A6">
                  <w:pPr>
                    <w:keepNext w:val="0"/>
                    <w:keepLines w:val="0"/>
                    <w:suppressLineNumbers w:val="0"/>
                    <w:spacing w:before="0" w:beforeAutospacing="0" w:after="0" w:afterAutospacing="0" w:line="240" w:lineRule="auto"/>
                    <w:ind w:left="-105" w:leftChars="-50" w:right="-105" w:rightChars="-5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56.9 </w:t>
                  </w:r>
                </w:p>
              </w:tc>
              <w:tc>
                <w:tcPr>
                  <w:tcW w:w="201" w:type="pct"/>
                  <w:tcBorders>
                    <w:top w:val="single" w:color="auto" w:sz="4" w:space="0"/>
                    <w:bottom w:val="single" w:color="auto" w:sz="4" w:space="0"/>
                  </w:tcBorders>
                  <w:noWrap w:val="0"/>
                  <w:vAlign w:val="center"/>
                </w:tcPr>
                <w:p w14:paraId="3E6C3989">
                  <w:pPr>
                    <w:keepNext w:val="0"/>
                    <w:keepLines w:val="0"/>
                    <w:suppressLineNumbers w:val="0"/>
                    <w:spacing w:before="0" w:beforeAutospacing="0" w:after="0" w:afterAutospacing="0" w:line="240" w:lineRule="auto"/>
                    <w:ind w:left="-105" w:leftChars="-50" w:right="-105" w:rightChars="-5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56.9 </w:t>
                  </w:r>
                </w:p>
              </w:tc>
              <w:tc>
                <w:tcPr>
                  <w:tcW w:w="201" w:type="pct"/>
                  <w:tcBorders>
                    <w:top w:val="single" w:color="auto" w:sz="4" w:space="0"/>
                    <w:bottom w:val="single" w:color="auto" w:sz="4" w:space="0"/>
                  </w:tcBorders>
                  <w:noWrap w:val="0"/>
                  <w:vAlign w:val="center"/>
                </w:tcPr>
                <w:p w14:paraId="2E61B415">
                  <w:pPr>
                    <w:keepNext w:val="0"/>
                    <w:keepLines w:val="0"/>
                    <w:suppressLineNumbers w:val="0"/>
                    <w:spacing w:before="0" w:beforeAutospacing="0" w:after="0" w:afterAutospacing="0" w:line="240" w:lineRule="auto"/>
                    <w:ind w:left="-105" w:leftChars="-50" w:right="-105" w:rightChars="-5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57.6 </w:t>
                  </w:r>
                </w:p>
              </w:tc>
              <w:tc>
                <w:tcPr>
                  <w:tcW w:w="205" w:type="pct"/>
                  <w:tcBorders>
                    <w:top w:val="single" w:color="auto" w:sz="4" w:space="0"/>
                    <w:bottom w:val="single" w:color="auto" w:sz="4" w:space="0"/>
                  </w:tcBorders>
                  <w:noWrap w:val="0"/>
                  <w:vAlign w:val="center"/>
                </w:tcPr>
                <w:p w14:paraId="6B1D17D3">
                  <w:pPr>
                    <w:keepNext w:val="0"/>
                    <w:keepLines w:val="0"/>
                    <w:suppressLineNumbers w:val="0"/>
                    <w:spacing w:before="0" w:beforeAutospacing="0" w:after="0" w:afterAutospacing="0" w:line="240" w:lineRule="auto"/>
                    <w:ind w:left="-105" w:leftChars="-50" w:right="-105" w:rightChars="-5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58.1 </w:t>
                  </w:r>
                </w:p>
              </w:tc>
              <w:tc>
                <w:tcPr>
                  <w:tcW w:w="211" w:type="pct"/>
                  <w:tcBorders>
                    <w:top w:val="single" w:color="auto" w:sz="4" w:space="0"/>
                    <w:bottom w:val="single" w:color="auto" w:sz="4" w:space="0"/>
                  </w:tcBorders>
                  <w:noWrap w:val="0"/>
                  <w:vAlign w:val="center"/>
                </w:tcPr>
                <w:p w14:paraId="69CCC48F">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2400</w:t>
                  </w:r>
                </w:p>
              </w:tc>
              <w:tc>
                <w:tcPr>
                  <w:tcW w:w="295" w:type="pct"/>
                  <w:vMerge w:val="continue"/>
                  <w:noWrap w:val="0"/>
                  <w:vAlign w:val="center"/>
                </w:tcPr>
                <w:p w14:paraId="4AC58210">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p>
              </w:tc>
              <w:tc>
                <w:tcPr>
                  <w:tcW w:w="218" w:type="pct"/>
                  <w:vMerge w:val="continue"/>
                  <w:noWrap w:val="0"/>
                  <w:vAlign w:val="center"/>
                </w:tcPr>
                <w:p w14:paraId="50C61D68">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p>
              </w:tc>
              <w:tc>
                <w:tcPr>
                  <w:tcW w:w="295" w:type="pct"/>
                  <w:vMerge w:val="continue"/>
                  <w:noWrap w:val="0"/>
                  <w:vAlign w:val="center"/>
                </w:tcPr>
                <w:p w14:paraId="503AF66F">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p>
              </w:tc>
              <w:tc>
                <w:tcPr>
                  <w:tcW w:w="160" w:type="pct"/>
                  <w:vMerge w:val="continue"/>
                  <w:noWrap w:val="0"/>
                  <w:vAlign w:val="center"/>
                </w:tcPr>
                <w:p w14:paraId="116559E5">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p>
              </w:tc>
            </w:tr>
            <w:tr w14:paraId="144F1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163" w:type="pct"/>
                  <w:vMerge w:val="continue"/>
                  <w:noWrap/>
                  <w:vAlign w:val="center"/>
                </w:tcPr>
                <w:p w14:paraId="598BA7D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p>
              </w:tc>
              <w:tc>
                <w:tcPr>
                  <w:tcW w:w="562" w:type="pct"/>
                  <w:tcBorders>
                    <w:top w:val="single" w:color="auto" w:sz="4" w:space="0"/>
                    <w:bottom w:val="single" w:color="auto" w:sz="4" w:space="0"/>
                  </w:tcBorders>
                  <w:noWrap w:val="0"/>
                  <w:vAlign w:val="center"/>
                </w:tcPr>
                <w:p w14:paraId="3448E28D">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lang w:val="en-US" w:bidi="ar"/>
                    </w:rPr>
                  </w:pPr>
                  <w:r>
                    <w:rPr>
                      <w:rFonts w:hint="eastAsia"/>
                      <w:color w:val="auto"/>
                      <w:sz w:val="21"/>
                      <w:szCs w:val="21"/>
                      <w:lang w:val="en-US" w:eastAsia="zh-CN"/>
                    </w:rPr>
                    <w:t>燃气回火炉</w:t>
                  </w:r>
                </w:p>
              </w:tc>
              <w:tc>
                <w:tcPr>
                  <w:tcW w:w="173" w:type="pct"/>
                  <w:tcBorders>
                    <w:top w:val="single" w:color="auto" w:sz="4" w:space="0"/>
                    <w:bottom w:val="single" w:color="auto" w:sz="4" w:space="0"/>
                  </w:tcBorders>
                  <w:noWrap w:val="0"/>
                  <w:vAlign w:val="center"/>
                </w:tcPr>
                <w:p w14:paraId="7A8E4A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eastAsia" w:ascii="Times New Roman" w:hAnsi="Times New Roman" w:cs="Times New Roman"/>
                      <w:i w:val="0"/>
                      <w:iCs w:val="0"/>
                      <w:color w:val="auto"/>
                      <w:kern w:val="0"/>
                      <w:sz w:val="21"/>
                      <w:szCs w:val="21"/>
                      <w:u w:val="none"/>
                      <w:lang w:val="en-US" w:eastAsia="zh-CN" w:bidi="ar"/>
                    </w:rPr>
                    <w:t>/</w:t>
                  </w:r>
                </w:p>
              </w:tc>
              <w:tc>
                <w:tcPr>
                  <w:tcW w:w="321" w:type="pct"/>
                  <w:tcBorders>
                    <w:top w:val="single" w:color="auto" w:sz="4" w:space="0"/>
                    <w:bottom w:val="single" w:color="auto" w:sz="4" w:space="0"/>
                  </w:tcBorders>
                  <w:noWrap w:val="0"/>
                  <w:vAlign w:val="center"/>
                </w:tcPr>
                <w:p w14:paraId="09AE6759">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eastAsia" w:ascii="Times New Roman" w:hAnsi="Times New Roman" w:cs="Times New Roman"/>
                      <w:color w:val="auto"/>
                      <w:sz w:val="21"/>
                      <w:szCs w:val="21"/>
                      <w:lang w:val="en-US" w:eastAsia="zh-CN"/>
                    </w:rPr>
                    <w:t>8</w:t>
                  </w:r>
                  <w:r>
                    <w:rPr>
                      <w:rFonts w:hint="default" w:ascii="Times New Roman" w:hAnsi="Times New Roman" w:eastAsia="宋体" w:cs="Times New Roman"/>
                      <w:color w:val="auto"/>
                      <w:sz w:val="21"/>
                      <w:szCs w:val="21"/>
                      <w:lang w:val="en-US" w:eastAsia="zh-CN"/>
                    </w:rPr>
                    <w:t>0</w:t>
                  </w:r>
                  <w:r>
                    <w:rPr>
                      <w:rFonts w:hint="default" w:ascii="Times New Roman" w:hAnsi="Times New Roman" w:eastAsia="宋体" w:cs="Times New Roman"/>
                      <w:color w:val="auto"/>
                      <w:sz w:val="21"/>
                      <w:szCs w:val="21"/>
                    </w:rPr>
                    <w:t>/1</w:t>
                  </w:r>
                </w:p>
              </w:tc>
              <w:tc>
                <w:tcPr>
                  <w:tcW w:w="405" w:type="pct"/>
                  <w:vMerge w:val="continue"/>
                  <w:noWrap w:val="0"/>
                  <w:vAlign w:val="center"/>
                </w:tcPr>
                <w:p w14:paraId="7ED1D5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0"/>
                      <w:sz w:val="21"/>
                      <w:szCs w:val="21"/>
                      <w:lang w:bidi="ar"/>
                    </w:rPr>
                  </w:pPr>
                </w:p>
              </w:tc>
              <w:tc>
                <w:tcPr>
                  <w:tcW w:w="169" w:type="pct"/>
                  <w:tcBorders>
                    <w:top w:val="single" w:color="auto" w:sz="4" w:space="0"/>
                    <w:bottom w:val="single" w:color="auto" w:sz="4" w:space="0"/>
                  </w:tcBorders>
                  <w:noWrap w:val="0"/>
                  <w:vAlign w:val="center"/>
                </w:tcPr>
                <w:p w14:paraId="2B752604">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w:t>
                  </w:r>
                </w:p>
              </w:tc>
              <w:tc>
                <w:tcPr>
                  <w:tcW w:w="201" w:type="pct"/>
                  <w:tcBorders>
                    <w:top w:val="single" w:color="auto" w:sz="4" w:space="0"/>
                    <w:bottom w:val="single" w:color="auto" w:sz="4" w:space="0"/>
                  </w:tcBorders>
                  <w:noWrap w:val="0"/>
                  <w:vAlign w:val="center"/>
                </w:tcPr>
                <w:p w14:paraId="0FD733B6">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w:t>
                  </w:r>
                </w:p>
              </w:tc>
              <w:tc>
                <w:tcPr>
                  <w:tcW w:w="201" w:type="pct"/>
                  <w:tcBorders>
                    <w:top w:val="single" w:color="auto" w:sz="4" w:space="0"/>
                    <w:bottom w:val="single" w:color="auto" w:sz="4" w:space="0"/>
                  </w:tcBorders>
                  <w:noWrap w:val="0"/>
                  <w:vAlign w:val="center"/>
                </w:tcPr>
                <w:p w14:paraId="7C851B25">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201" w:type="pct"/>
                  <w:tcBorders>
                    <w:top w:val="single" w:color="auto" w:sz="4" w:space="0"/>
                    <w:bottom w:val="single" w:color="auto" w:sz="4" w:space="0"/>
                  </w:tcBorders>
                  <w:noWrap w:val="0"/>
                  <w:vAlign w:val="center"/>
                </w:tcPr>
                <w:p w14:paraId="121FBC2A">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42</w:t>
                  </w:r>
                </w:p>
              </w:tc>
              <w:tc>
                <w:tcPr>
                  <w:tcW w:w="201" w:type="pct"/>
                  <w:tcBorders>
                    <w:top w:val="single" w:color="auto" w:sz="4" w:space="0"/>
                    <w:bottom w:val="single" w:color="auto" w:sz="4" w:space="0"/>
                  </w:tcBorders>
                  <w:noWrap w:val="0"/>
                  <w:vAlign w:val="center"/>
                </w:tcPr>
                <w:p w14:paraId="7A8FACEB">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12</w:t>
                  </w:r>
                </w:p>
              </w:tc>
              <w:tc>
                <w:tcPr>
                  <w:tcW w:w="201" w:type="pct"/>
                  <w:tcBorders>
                    <w:top w:val="single" w:color="auto" w:sz="4" w:space="0"/>
                    <w:bottom w:val="single" w:color="auto" w:sz="4" w:space="0"/>
                  </w:tcBorders>
                  <w:noWrap w:val="0"/>
                  <w:vAlign w:val="center"/>
                </w:tcPr>
                <w:p w14:paraId="60ABB856">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13</w:t>
                  </w:r>
                </w:p>
              </w:tc>
              <w:tc>
                <w:tcPr>
                  <w:tcW w:w="201" w:type="pct"/>
                  <w:tcBorders>
                    <w:top w:val="single" w:color="auto" w:sz="4" w:space="0"/>
                    <w:bottom w:val="single" w:color="auto" w:sz="4" w:space="0"/>
                  </w:tcBorders>
                  <w:noWrap w:val="0"/>
                  <w:vAlign w:val="center"/>
                </w:tcPr>
                <w:p w14:paraId="468F5062">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38</w:t>
                  </w:r>
                </w:p>
              </w:tc>
              <w:tc>
                <w:tcPr>
                  <w:tcW w:w="201" w:type="pct"/>
                  <w:tcBorders>
                    <w:top w:val="single" w:color="auto" w:sz="4" w:space="0"/>
                    <w:bottom w:val="single" w:color="auto" w:sz="4" w:space="0"/>
                  </w:tcBorders>
                  <w:noWrap w:val="0"/>
                  <w:vAlign w:val="center"/>
                </w:tcPr>
                <w:p w14:paraId="41A1A266">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56.9 </w:t>
                  </w:r>
                </w:p>
              </w:tc>
              <w:tc>
                <w:tcPr>
                  <w:tcW w:w="201" w:type="pct"/>
                  <w:tcBorders>
                    <w:top w:val="single" w:color="auto" w:sz="4" w:space="0"/>
                    <w:bottom w:val="single" w:color="auto" w:sz="4" w:space="0"/>
                  </w:tcBorders>
                  <w:noWrap w:val="0"/>
                  <w:vAlign w:val="center"/>
                </w:tcPr>
                <w:p w14:paraId="2F215284">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57.7 </w:t>
                  </w:r>
                </w:p>
              </w:tc>
              <w:tc>
                <w:tcPr>
                  <w:tcW w:w="201" w:type="pct"/>
                  <w:tcBorders>
                    <w:top w:val="single" w:color="auto" w:sz="4" w:space="0"/>
                    <w:bottom w:val="single" w:color="auto" w:sz="4" w:space="0"/>
                  </w:tcBorders>
                  <w:noWrap w:val="0"/>
                  <w:vAlign w:val="center"/>
                </w:tcPr>
                <w:p w14:paraId="64FA1B1F">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57.6 </w:t>
                  </w:r>
                </w:p>
              </w:tc>
              <w:tc>
                <w:tcPr>
                  <w:tcW w:w="205" w:type="pct"/>
                  <w:tcBorders>
                    <w:top w:val="single" w:color="auto" w:sz="4" w:space="0"/>
                    <w:bottom w:val="single" w:color="auto" w:sz="4" w:space="0"/>
                  </w:tcBorders>
                  <w:noWrap w:val="0"/>
                  <w:vAlign w:val="center"/>
                </w:tcPr>
                <w:p w14:paraId="2737EBA1">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56.9 </w:t>
                  </w:r>
                </w:p>
              </w:tc>
              <w:tc>
                <w:tcPr>
                  <w:tcW w:w="211" w:type="pct"/>
                  <w:tcBorders>
                    <w:top w:val="single" w:color="auto" w:sz="4" w:space="0"/>
                    <w:bottom w:val="single" w:color="auto" w:sz="4" w:space="0"/>
                  </w:tcBorders>
                  <w:noWrap w:val="0"/>
                  <w:vAlign w:val="center"/>
                </w:tcPr>
                <w:p w14:paraId="0C825D2B">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2400</w:t>
                  </w:r>
                </w:p>
              </w:tc>
              <w:tc>
                <w:tcPr>
                  <w:tcW w:w="295" w:type="pct"/>
                  <w:vMerge w:val="continue"/>
                  <w:noWrap w:val="0"/>
                  <w:vAlign w:val="center"/>
                </w:tcPr>
                <w:p w14:paraId="1D8E1C92">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p>
              </w:tc>
              <w:tc>
                <w:tcPr>
                  <w:tcW w:w="218" w:type="pct"/>
                  <w:vMerge w:val="continue"/>
                  <w:noWrap w:val="0"/>
                  <w:vAlign w:val="center"/>
                </w:tcPr>
                <w:p w14:paraId="577AC134">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p>
              </w:tc>
              <w:tc>
                <w:tcPr>
                  <w:tcW w:w="295" w:type="pct"/>
                  <w:vMerge w:val="continue"/>
                  <w:noWrap w:val="0"/>
                  <w:vAlign w:val="center"/>
                </w:tcPr>
                <w:p w14:paraId="3B50CBDA">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p>
              </w:tc>
              <w:tc>
                <w:tcPr>
                  <w:tcW w:w="160" w:type="pct"/>
                  <w:vMerge w:val="continue"/>
                  <w:noWrap w:val="0"/>
                  <w:vAlign w:val="center"/>
                </w:tcPr>
                <w:p w14:paraId="4A0D49B2">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p>
              </w:tc>
            </w:tr>
            <w:tr w14:paraId="33195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163" w:type="pct"/>
                  <w:vMerge w:val="continue"/>
                  <w:noWrap/>
                  <w:vAlign w:val="center"/>
                </w:tcPr>
                <w:p w14:paraId="004F0C2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p>
              </w:tc>
              <w:tc>
                <w:tcPr>
                  <w:tcW w:w="562" w:type="pct"/>
                  <w:tcBorders>
                    <w:top w:val="single" w:color="auto" w:sz="4" w:space="0"/>
                    <w:bottom w:val="single" w:color="auto" w:sz="4" w:space="0"/>
                  </w:tcBorders>
                  <w:noWrap w:val="0"/>
                  <w:vAlign w:val="center"/>
                </w:tcPr>
                <w:p w14:paraId="6B79FB45">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lang w:val="en-US" w:bidi="ar"/>
                    </w:rPr>
                  </w:pPr>
                  <w:r>
                    <w:rPr>
                      <w:rFonts w:hint="eastAsia"/>
                      <w:color w:val="auto"/>
                      <w:sz w:val="21"/>
                      <w:szCs w:val="21"/>
                      <w:lang w:val="en-US" w:eastAsia="zh-CN"/>
                    </w:rPr>
                    <w:t>燃气正火炉</w:t>
                  </w:r>
                </w:p>
              </w:tc>
              <w:tc>
                <w:tcPr>
                  <w:tcW w:w="173" w:type="pct"/>
                  <w:tcBorders>
                    <w:top w:val="single" w:color="auto" w:sz="4" w:space="0"/>
                    <w:bottom w:val="single" w:color="auto" w:sz="4" w:space="0"/>
                  </w:tcBorders>
                  <w:noWrap w:val="0"/>
                  <w:vAlign w:val="center"/>
                </w:tcPr>
                <w:p w14:paraId="644D166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eastAsia" w:ascii="Times New Roman" w:hAnsi="Times New Roman" w:cs="Times New Roman"/>
                      <w:i w:val="0"/>
                      <w:iCs w:val="0"/>
                      <w:color w:val="auto"/>
                      <w:kern w:val="0"/>
                      <w:sz w:val="21"/>
                      <w:szCs w:val="21"/>
                      <w:u w:val="none"/>
                      <w:lang w:val="en-US" w:eastAsia="zh-CN" w:bidi="ar"/>
                    </w:rPr>
                    <w:t>/</w:t>
                  </w:r>
                </w:p>
              </w:tc>
              <w:tc>
                <w:tcPr>
                  <w:tcW w:w="321" w:type="pct"/>
                  <w:tcBorders>
                    <w:top w:val="single" w:color="auto" w:sz="4" w:space="0"/>
                    <w:bottom w:val="single" w:color="auto" w:sz="4" w:space="0"/>
                  </w:tcBorders>
                  <w:noWrap w:val="0"/>
                  <w:vAlign w:val="center"/>
                </w:tcPr>
                <w:p w14:paraId="232CD130">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eastAsia" w:ascii="Times New Roman" w:hAnsi="Times New Roman" w:cs="Times New Roman"/>
                      <w:color w:val="auto"/>
                      <w:sz w:val="21"/>
                      <w:szCs w:val="21"/>
                      <w:lang w:val="en-US" w:eastAsia="zh-CN"/>
                    </w:rPr>
                    <w:t>8</w:t>
                  </w:r>
                  <w:r>
                    <w:rPr>
                      <w:rFonts w:hint="default" w:ascii="Times New Roman" w:hAnsi="Times New Roman" w:eastAsia="宋体" w:cs="Times New Roman"/>
                      <w:color w:val="auto"/>
                      <w:sz w:val="21"/>
                      <w:szCs w:val="21"/>
                      <w:lang w:val="en-US" w:eastAsia="zh-CN"/>
                    </w:rPr>
                    <w:t>0</w:t>
                  </w:r>
                  <w:r>
                    <w:rPr>
                      <w:rFonts w:hint="default" w:ascii="Times New Roman" w:hAnsi="Times New Roman" w:eastAsia="宋体" w:cs="Times New Roman"/>
                      <w:color w:val="auto"/>
                      <w:sz w:val="21"/>
                      <w:szCs w:val="21"/>
                    </w:rPr>
                    <w:t>/1</w:t>
                  </w:r>
                </w:p>
              </w:tc>
              <w:tc>
                <w:tcPr>
                  <w:tcW w:w="405" w:type="pct"/>
                  <w:vMerge w:val="continue"/>
                  <w:noWrap w:val="0"/>
                  <w:vAlign w:val="center"/>
                </w:tcPr>
                <w:p w14:paraId="4B8A27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0"/>
                      <w:sz w:val="21"/>
                      <w:szCs w:val="21"/>
                      <w:lang w:bidi="ar"/>
                    </w:rPr>
                  </w:pPr>
                </w:p>
              </w:tc>
              <w:tc>
                <w:tcPr>
                  <w:tcW w:w="169" w:type="pct"/>
                  <w:tcBorders>
                    <w:top w:val="single" w:color="auto" w:sz="4" w:space="0"/>
                    <w:bottom w:val="single" w:color="auto" w:sz="4" w:space="0"/>
                  </w:tcBorders>
                  <w:noWrap w:val="0"/>
                  <w:vAlign w:val="center"/>
                </w:tcPr>
                <w:p w14:paraId="703E1DD6">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w:t>
                  </w:r>
                </w:p>
              </w:tc>
              <w:tc>
                <w:tcPr>
                  <w:tcW w:w="201" w:type="pct"/>
                  <w:tcBorders>
                    <w:top w:val="single" w:color="auto" w:sz="4" w:space="0"/>
                    <w:bottom w:val="single" w:color="auto" w:sz="4" w:space="0"/>
                  </w:tcBorders>
                  <w:noWrap w:val="0"/>
                  <w:vAlign w:val="center"/>
                </w:tcPr>
                <w:p w14:paraId="77FBE051">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33</w:t>
                  </w:r>
                </w:p>
              </w:tc>
              <w:tc>
                <w:tcPr>
                  <w:tcW w:w="201" w:type="pct"/>
                  <w:tcBorders>
                    <w:top w:val="single" w:color="auto" w:sz="4" w:space="0"/>
                    <w:bottom w:val="single" w:color="auto" w:sz="4" w:space="0"/>
                  </w:tcBorders>
                  <w:noWrap w:val="0"/>
                  <w:vAlign w:val="center"/>
                </w:tcPr>
                <w:p w14:paraId="6DA0AB2C">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201" w:type="pct"/>
                  <w:tcBorders>
                    <w:top w:val="single" w:color="auto" w:sz="4" w:space="0"/>
                    <w:bottom w:val="single" w:color="auto" w:sz="4" w:space="0"/>
                  </w:tcBorders>
                  <w:noWrap w:val="0"/>
                  <w:vAlign w:val="center"/>
                </w:tcPr>
                <w:p w14:paraId="53092DFD">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48</w:t>
                  </w:r>
                </w:p>
              </w:tc>
              <w:tc>
                <w:tcPr>
                  <w:tcW w:w="201" w:type="pct"/>
                  <w:tcBorders>
                    <w:top w:val="single" w:color="auto" w:sz="4" w:space="0"/>
                    <w:bottom w:val="single" w:color="auto" w:sz="4" w:space="0"/>
                  </w:tcBorders>
                  <w:noWrap w:val="0"/>
                  <w:vAlign w:val="center"/>
                </w:tcPr>
                <w:p w14:paraId="24139755">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33</w:t>
                  </w:r>
                </w:p>
              </w:tc>
              <w:tc>
                <w:tcPr>
                  <w:tcW w:w="201" w:type="pct"/>
                  <w:tcBorders>
                    <w:top w:val="single" w:color="auto" w:sz="4" w:space="0"/>
                    <w:bottom w:val="single" w:color="auto" w:sz="4" w:space="0"/>
                  </w:tcBorders>
                  <w:noWrap w:val="0"/>
                  <w:vAlign w:val="center"/>
                </w:tcPr>
                <w:p w14:paraId="744FA195">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w:t>
                  </w:r>
                </w:p>
              </w:tc>
              <w:tc>
                <w:tcPr>
                  <w:tcW w:w="201" w:type="pct"/>
                  <w:tcBorders>
                    <w:top w:val="single" w:color="auto" w:sz="4" w:space="0"/>
                    <w:bottom w:val="single" w:color="auto" w:sz="4" w:space="0"/>
                  </w:tcBorders>
                  <w:noWrap w:val="0"/>
                  <w:vAlign w:val="center"/>
                </w:tcPr>
                <w:p w14:paraId="41F3ADC5">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17</w:t>
                  </w:r>
                </w:p>
              </w:tc>
              <w:tc>
                <w:tcPr>
                  <w:tcW w:w="201" w:type="pct"/>
                  <w:tcBorders>
                    <w:top w:val="single" w:color="auto" w:sz="4" w:space="0"/>
                    <w:bottom w:val="single" w:color="auto" w:sz="4" w:space="0"/>
                  </w:tcBorders>
                  <w:noWrap w:val="0"/>
                  <w:vAlign w:val="center"/>
                </w:tcPr>
                <w:p w14:paraId="0254B31E">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56.9 </w:t>
                  </w:r>
                </w:p>
              </w:tc>
              <w:tc>
                <w:tcPr>
                  <w:tcW w:w="201" w:type="pct"/>
                  <w:tcBorders>
                    <w:top w:val="single" w:color="auto" w:sz="4" w:space="0"/>
                    <w:bottom w:val="single" w:color="auto" w:sz="4" w:space="0"/>
                  </w:tcBorders>
                  <w:noWrap w:val="0"/>
                  <w:vAlign w:val="center"/>
                </w:tcPr>
                <w:p w14:paraId="71DBF9D6">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57.0 </w:t>
                  </w:r>
                </w:p>
              </w:tc>
              <w:tc>
                <w:tcPr>
                  <w:tcW w:w="201" w:type="pct"/>
                  <w:tcBorders>
                    <w:top w:val="single" w:color="auto" w:sz="4" w:space="0"/>
                    <w:bottom w:val="single" w:color="auto" w:sz="4" w:space="0"/>
                  </w:tcBorders>
                  <w:noWrap w:val="0"/>
                  <w:vAlign w:val="center"/>
                </w:tcPr>
                <w:p w14:paraId="0CE8801E">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59.1 </w:t>
                  </w:r>
                </w:p>
              </w:tc>
              <w:tc>
                <w:tcPr>
                  <w:tcW w:w="205" w:type="pct"/>
                  <w:tcBorders>
                    <w:top w:val="single" w:color="auto" w:sz="4" w:space="0"/>
                    <w:bottom w:val="single" w:color="auto" w:sz="4" w:space="0"/>
                  </w:tcBorders>
                  <w:noWrap w:val="0"/>
                  <w:vAlign w:val="center"/>
                </w:tcPr>
                <w:p w14:paraId="65B62A9E">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57.3 </w:t>
                  </w:r>
                </w:p>
              </w:tc>
              <w:tc>
                <w:tcPr>
                  <w:tcW w:w="211" w:type="pct"/>
                  <w:tcBorders>
                    <w:top w:val="single" w:color="auto" w:sz="4" w:space="0"/>
                    <w:bottom w:val="single" w:color="auto" w:sz="4" w:space="0"/>
                  </w:tcBorders>
                  <w:noWrap w:val="0"/>
                  <w:vAlign w:val="center"/>
                </w:tcPr>
                <w:p w14:paraId="49988E96">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2400</w:t>
                  </w:r>
                </w:p>
              </w:tc>
              <w:tc>
                <w:tcPr>
                  <w:tcW w:w="295" w:type="pct"/>
                  <w:vMerge w:val="continue"/>
                  <w:noWrap w:val="0"/>
                  <w:vAlign w:val="center"/>
                </w:tcPr>
                <w:p w14:paraId="344C85FB">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p>
              </w:tc>
              <w:tc>
                <w:tcPr>
                  <w:tcW w:w="218" w:type="pct"/>
                  <w:vMerge w:val="continue"/>
                  <w:noWrap w:val="0"/>
                  <w:vAlign w:val="center"/>
                </w:tcPr>
                <w:p w14:paraId="6851A2E2">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p>
              </w:tc>
              <w:tc>
                <w:tcPr>
                  <w:tcW w:w="295" w:type="pct"/>
                  <w:vMerge w:val="continue"/>
                  <w:noWrap w:val="0"/>
                  <w:vAlign w:val="center"/>
                </w:tcPr>
                <w:p w14:paraId="26CE3EA7">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p>
              </w:tc>
              <w:tc>
                <w:tcPr>
                  <w:tcW w:w="160" w:type="pct"/>
                  <w:vMerge w:val="continue"/>
                  <w:noWrap w:val="0"/>
                  <w:vAlign w:val="center"/>
                </w:tcPr>
                <w:p w14:paraId="4A00EA9C">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p>
              </w:tc>
            </w:tr>
            <w:tr w14:paraId="7BC47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 w:hRule="atLeast"/>
              </w:trPr>
              <w:tc>
                <w:tcPr>
                  <w:tcW w:w="163" w:type="pct"/>
                  <w:vMerge w:val="continue"/>
                  <w:noWrap/>
                  <w:vAlign w:val="center"/>
                </w:tcPr>
                <w:p w14:paraId="5B65AE4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p>
              </w:tc>
              <w:tc>
                <w:tcPr>
                  <w:tcW w:w="562" w:type="pct"/>
                  <w:tcBorders>
                    <w:top w:val="single" w:color="auto" w:sz="4" w:space="0"/>
                    <w:bottom w:val="single" w:color="auto" w:sz="4" w:space="0"/>
                  </w:tcBorders>
                  <w:noWrap w:val="0"/>
                  <w:vAlign w:val="center"/>
                </w:tcPr>
                <w:p w14:paraId="2088B74D">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lang w:val="en-US" w:bidi="ar"/>
                    </w:rPr>
                  </w:pPr>
                  <w:r>
                    <w:rPr>
                      <w:rFonts w:hint="eastAsia"/>
                      <w:color w:val="auto"/>
                      <w:sz w:val="21"/>
                      <w:szCs w:val="21"/>
                      <w:lang w:val="en-US" w:eastAsia="zh-CN"/>
                    </w:rPr>
                    <w:t>燃气退火炉</w:t>
                  </w:r>
                </w:p>
              </w:tc>
              <w:tc>
                <w:tcPr>
                  <w:tcW w:w="173" w:type="pct"/>
                  <w:tcBorders>
                    <w:top w:val="single" w:color="auto" w:sz="4" w:space="0"/>
                    <w:bottom w:val="single" w:color="auto" w:sz="4" w:space="0"/>
                  </w:tcBorders>
                  <w:noWrap w:val="0"/>
                  <w:vAlign w:val="center"/>
                </w:tcPr>
                <w:p w14:paraId="28A5FB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eastAsia" w:ascii="Times New Roman" w:hAnsi="Times New Roman" w:cs="Times New Roman"/>
                      <w:i w:val="0"/>
                      <w:iCs w:val="0"/>
                      <w:color w:val="auto"/>
                      <w:kern w:val="0"/>
                      <w:sz w:val="21"/>
                      <w:szCs w:val="21"/>
                      <w:u w:val="none"/>
                      <w:lang w:val="en-US" w:eastAsia="zh-CN" w:bidi="ar"/>
                    </w:rPr>
                    <w:t>/</w:t>
                  </w:r>
                </w:p>
              </w:tc>
              <w:tc>
                <w:tcPr>
                  <w:tcW w:w="321" w:type="pct"/>
                  <w:tcBorders>
                    <w:top w:val="single" w:color="auto" w:sz="4" w:space="0"/>
                    <w:bottom w:val="single" w:color="auto" w:sz="4" w:space="0"/>
                  </w:tcBorders>
                  <w:noWrap w:val="0"/>
                  <w:vAlign w:val="center"/>
                </w:tcPr>
                <w:p w14:paraId="2B43AD80">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lang w:bidi="ar"/>
                    </w:rPr>
                  </w:pPr>
                  <w:r>
                    <w:rPr>
                      <w:rFonts w:hint="eastAsia" w:ascii="Times New Roman" w:hAnsi="Times New Roman" w:cs="Times New Roman"/>
                      <w:color w:val="auto"/>
                      <w:sz w:val="21"/>
                      <w:szCs w:val="21"/>
                      <w:lang w:val="en-US" w:eastAsia="zh-CN"/>
                    </w:rPr>
                    <w:t>8</w:t>
                  </w:r>
                  <w:r>
                    <w:rPr>
                      <w:rFonts w:hint="default" w:ascii="Times New Roman" w:hAnsi="Times New Roman" w:eastAsia="宋体" w:cs="Times New Roman"/>
                      <w:color w:val="auto"/>
                      <w:sz w:val="21"/>
                      <w:szCs w:val="21"/>
                      <w:lang w:val="en-US" w:eastAsia="zh-CN"/>
                    </w:rPr>
                    <w:t>0</w:t>
                  </w:r>
                  <w:r>
                    <w:rPr>
                      <w:rFonts w:hint="default" w:ascii="Times New Roman" w:hAnsi="Times New Roman" w:eastAsia="宋体" w:cs="Times New Roman"/>
                      <w:color w:val="auto"/>
                      <w:sz w:val="21"/>
                      <w:szCs w:val="21"/>
                    </w:rPr>
                    <w:t>/1</w:t>
                  </w:r>
                </w:p>
              </w:tc>
              <w:tc>
                <w:tcPr>
                  <w:tcW w:w="405" w:type="pct"/>
                  <w:vMerge w:val="continue"/>
                  <w:noWrap w:val="0"/>
                  <w:vAlign w:val="center"/>
                </w:tcPr>
                <w:p w14:paraId="67257B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0"/>
                      <w:sz w:val="21"/>
                      <w:szCs w:val="21"/>
                      <w:lang w:bidi="ar"/>
                    </w:rPr>
                  </w:pPr>
                </w:p>
              </w:tc>
              <w:tc>
                <w:tcPr>
                  <w:tcW w:w="169" w:type="pct"/>
                  <w:tcBorders>
                    <w:top w:val="single" w:color="auto" w:sz="4" w:space="0"/>
                    <w:bottom w:val="single" w:color="auto" w:sz="4" w:space="0"/>
                  </w:tcBorders>
                  <w:noWrap w:val="0"/>
                  <w:vAlign w:val="center"/>
                </w:tcPr>
                <w:p w14:paraId="61C48F7F">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w:t>
                  </w:r>
                </w:p>
              </w:tc>
              <w:tc>
                <w:tcPr>
                  <w:tcW w:w="201" w:type="pct"/>
                  <w:tcBorders>
                    <w:top w:val="single" w:color="auto" w:sz="4" w:space="0"/>
                    <w:bottom w:val="single" w:color="auto" w:sz="4" w:space="0"/>
                  </w:tcBorders>
                  <w:noWrap w:val="0"/>
                  <w:vAlign w:val="center"/>
                </w:tcPr>
                <w:p w14:paraId="7C2E7883">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w:t>
                  </w:r>
                </w:p>
              </w:tc>
              <w:tc>
                <w:tcPr>
                  <w:tcW w:w="201" w:type="pct"/>
                  <w:tcBorders>
                    <w:top w:val="single" w:color="auto" w:sz="4" w:space="0"/>
                    <w:bottom w:val="single" w:color="auto" w:sz="4" w:space="0"/>
                  </w:tcBorders>
                  <w:noWrap w:val="0"/>
                  <w:vAlign w:val="center"/>
                </w:tcPr>
                <w:p w14:paraId="56148AE2">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201" w:type="pct"/>
                  <w:tcBorders>
                    <w:top w:val="single" w:color="auto" w:sz="4" w:space="0"/>
                    <w:bottom w:val="single" w:color="auto" w:sz="4" w:space="0"/>
                  </w:tcBorders>
                  <w:noWrap w:val="0"/>
                  <w:vAlign w:val="center"/>
                </w:tcPr>
                <w:p w14:paraId="38133678">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48</w:t>
                  </w:r>
                </w:p>
              </w:tc>
              <w:tc>
                <w:tcPr>
                  <w:tcW w:w="201" w:type="pct"/>
                  <w:tcBorders>
                    <w:top w:val="single" w:color="auto" w:sz="4" w:space="0"/>
                    <w:bottom w:val="single" w:color="auto" w:sz="4" w:space="0"/>
                  </w:tcBorders>
                  <w:noWrap w:val="0"/>
                  <w:vAlign w:val="center"/>
                </w:tcPr>
                <w:p w14:paraId="3EC39291">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25</w:t>
                  </w:r>
                </w:p>
              </w:tc>
              <w:tc>
                <w:tcPr>
                  <w:tcW w:w="201" w:type="pct"/>
                  <w:tcBorders>
                    <w:top w:val="single" w:color="auto" w:sz="4" w:space="0"/>
                    <w:bottom w:val="single" w:color="auto" w:sz="4" w:space="0"/>
                  </w:tcBorders>
                  <w:noWrap w:val="0"/>
                  <w:vAlign w:val="center"/>
                </w:tcPr>
                <w:p w14:paraId="4F8F254F">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w:t>
                  </w:r>
                </w:p>
              </w:tc>
              <w:tc>
                <w:tcPr>
                  <w:tcW w:w="201" w:type="pct"/>
                  <w:tcBorders>
                    <w:top w:val="single" w:color="auto" w:sz="4" w:space="0"/>
                    <w:bottom w:val="single" w:color="auto" w:sz="4" w:space="0"/>
                  </w:tcBorders>
                  <w:noWrap w:val="0"/>
                  <w:vAlign w:val="center"/>
                </w:tcPr>
                <w:p w14:paraId="3F21526A">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25</w:t>
                  </w:r>
                </w:p>
              </w:tc>
              <w:tc>
                <w:tcPr>
                  <w:tcW w:w="201" w:type="pct"/>
                  <w:tcBorders>
                    <w:top w:val="single" w:color="auto" w:sz="4" w:space="0"/>
                    <w:bottom w:val="single" w:color="auto" w:sz="4" w:space="0"/>
                  </w:tcBorders>
                  <w:noWrap w:val="0"/>
                  <w:vAlign w:val="center"/>
                </w:tcPr>
                <w:p w14:paraId="5A22B761">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56.9 </w:t>
                  </w:r>
                </w:p>
              </w:tc>
              <w:tc>
                <w:tcPr>
                  <w:tcW w:w="201" w:type="pct"/>
                  <w:tcBorders>
                    <w:top w:val="single" w:color="auto" w:sz="4" w:space="0"/>
                    <w:bottom w:val="single" w:color="auto" w:sz="4" w:space="0"/>
                  </w:tcBorders>
                  <w:noWrap w:val="0"/>
                  <w:vAlign w:val="center"/>
                </w:tcPr>
                <w:p w14:paraId="37DB5C57">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57.1 </w:t>
                  </w:r>
                </w:p>
              </w:tc>
              <w:tc>
                <w:tcPr>
                  <w:tcW w:w="201" w:type="pct"/>
                  <w:tcBorders>
                    <w:top w:val="single" w:color="auto" w:sz="4" w:space="0"/>
                    <w:bottom w:val="single" w:color="auto" w:sz="4" w:space="0"/>
                  </w:tcBorders>
                  <w:noWrap w:val="0"/>
                  <w:vAlign w:val="center"/>
                </w:tcPr>
                <w:p w14:paraId="20082B5D">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59.1 </w:t>
                  </w:r>
                </w:p>
              </w:tc>
              <w:tc>
                <w:tcPr>
                  <w:tcW w:w="205" w:type="pct"/>
                  <w:tcBorders>
                    <w:top w:val="single" w:color="auto" w:sz="4" w:space="0"/>
                    <w:bottom w:val="single" w:color="auto" w:sz="4" w:space="0"/>
                  </w:tcBorders>
                  <w:noWrap w:val="0"/>
                  <w:vAlign w:val="center"/>
                </w:tcPr>
                <w:p w14:paraId="60AD73B0">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57.1 </w:t>
                  </w:r>
                </w:p>
              </w:tc>
              <w:tc>
                <w:tcPr>
                  <w:tcW w:w="211" w:type="pct"/>
                  <w:tcBorders>
                    <w:top w:val="single" w:color="auto" w:sz="4" w:space="0"/>
                    <w:bottom w:val="single" w:color="auto" w:sz="4" w:space="0"/>
                  </w:tcBorders>
                  <w:noWrap w:val="0"/>
                  <w:vAlign w:val="center"/>
                </w:tcPr>
                <w:p w14:paraId="4B9DE003">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2400</w:t>
                  </w:r>
                </w:p>
              </w:tc>
              <w:tc>
                <w:tcPr>
                  <w:tcW w:w="295" w:type="pct"/>
                  <w:vMerge w:val="continue"/>
                  <w:noWrap w:val="0"/>
                  <w:vAlign w:val="center"/>
                </w:tcPr>
                <w:p w14:paraId="090C11F3">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p>
              </w:tc>
              <w:tc>
                <w:tcPr>
                  <w:tcW w:w="218" w:type="pct"/>
                  <w:vMerge w:val="continue"/>
                  <w:noWrap w:val="0"/>
                  <w:vAlign w:val="center"/>
                </w:tcPr>
                <w:p w14:paraId="1A4AFCF0">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p>
              </w:tc>
              <w:tc>
                <w:tcPr>
                  <w:tcW w:w="295" w:type="pct"/>
                  <w:vMerge w:val="continue"/>
                  <w:noWrap w:val="0"/>
                  <w:vAlign w:val="center"/>
                </w:tcPr>
                <w:p w14:paraId="7C7FF96C">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p>
              </w:tc>
              <w:tc>
                <w:tcPr>
                  <w:tcW w:w="160" w:type="pct"/>
                  <w:vMerge w:val="continue"/>
                  <w:noWrap w:val="0"/>
                  <w:vAlign w:val="center"/>
                </w:tcPr>
                <w:p w14:paraId="679651D9">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p>
              </w:tc>
            </w:tr>
            <w:tr w14:paraId="1A614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6" w:hRule="atLeast"/>
              </w:trPr>
              <w:tc>
                <w:tcPr>
                  <w:tcW w:w="5000" w:type="pct"/>
                  <w:gridSpan w:val="21"/>
                  <w:noWrap/>
                  <w:vAlign w:val="center"/>
                </w:tcPr>
                <w:p w14:paraId="517E2E6D">
                  <w:pPr>
                    <w:keepNext w:val="0"/>
                    <w:keepLines w:val="0"/>
                    <w:suppressLineNumbers w:val="0"/>
                    <w:spacing w:before="0" w:beforeAutospacing="0" w:after="0" w:afterAutospacing="0" w:line="240" w:lineRule="auto"/>
                    <w:ind w:left="-105" w:leftChars="-50" w:right="-105" w:rightChars="-50"/>
                    <w:jc w:val="both"/>
                    <w:rPr>
                      <w:rFonts w:hint="default" w:ascii="Times New Roman" w:hAnsi="Times New Roman" w:eastAsia="宋体" w:cs="Times New Roman"/>
                      <w:color w:val="auto"/>
                      <w:sz w:val="21"/>
                      <w:szCs w:val="21"/>
                    </w:rPr>
                  </w:pPr>
                  <w:bookmarkStart w:id="11" w:name="_Toc111678358"/>
                  <w:bookmarkStart w:id="12" w:name="_Toc112361635"/>
                  <w:r>
                    <w:rPr>
                      <w:rFonts w:hint="default" w:ascii="Times New Roman" w:hAnsi="Times New Roman" w:eastAsia="宋体" w:cs="Times New Roman"/>
                      <w:color w:val="auto"/>
                      <w:sz w:val="21"/>
                      <w:szCs w:val="21"/>
                      <w:lang w:val="en-US" w:eastAsia="zh-CN"/>
                    </w:rPr>
                    <w:t>备注：以厂房西侧与南侧交点为原点（0，0）</w:t>
                  </w:r>
                </w:p>
              </w:tc>
            </w:tr>
            <w:bookmarkEnd w:id="11"/>
            <w:bookmarkEnd w:id="12"/>
          </w:tbl>
          <w:p w14:paraId="603726D7">
            <w:pPr>
              <w:keepNext w:val="0"/>
              <w:keepLines w:val="0"/>
              <w:suppressLineNumbers w:val="0"/>
              <w:spacing w:before="0" w:beforeAutospacing="0" w:after="0" w:afterAutospacing="0"/>
              <w:ind w:left="0" w:right="0"/>
              <w:rPr>
                <w:rFonts w:hint="default" w:ascii="Times New Roman" w:hAnsi="Times New Roman" w:eastAsia="宋体" w:cs="Times New Roman"/>
                <w:color w:val="0000FF"/>
                <w:sz w:val="30"/>
                <w:szCs w:val="30"/>
              </w:rPr>
            </w:pPr>
          </w:p>
        </w:tc>
      </w:tr>
    </w:tbl>
    <w:p w14:paraId="52D5E1C1">
      <w:pPr>
        <w:pStyle w:val="46"/>
        <w:spacing w:before="120" w:beforeLines="50" w:beforeAutospacing="0" w:after="0" w:afterAutospacing="0" w:line="360" w:lineRule="auto"/>
        <w:jc w:val="center"/>
        <w:outlineLvl w:val="0"/>
        <w:rPr>
          <w:rFonts w:hint="default" w:ascii="Times New Roman" w:hAnsi="Times New Roman" w:eastAsia="宋体" w:cs="Times New Roman"/>
          <w:snapToGrid w:val="0"/>
          <w:color w:val="0000FF"/>
          <w:sz w:val="30"/>
          <w:szCs w:val="30"/>
        </w:rPr>
        <w:sectPr>
          <w:pgSz w:w="16840" w:h="11907" w:orient="landscape"/>
          <w:pgMar w:top="1440" w:right="1440" w:bottom="1440" w:left="1389" w:header="851" w:footer="851" w:gutter="0"/>
          <w:pgBorders>
            <w:top w:val="none" w:sz="0" w:space="0"/>
            <w:left w:val="none" w:sz="0" w:space="0"/>
            <w:bottom w:val="none" w:sz="0" w:space="0"/>
            <w:right w:val="none" w:sz="0" w:space="0"/>
          </w:pgBorders>
          <w:pgNumType w:fmt="numberInDash"/>
          <w:cols w:space="720" w:num="1"/>
          <w:docGrid w:linePitch="312" w:charSpace="0"/>
        </w:sectPr>
      </w:pPr>
    </w:p>
    <w:tbl>
      <w:tblPr>
        <w:tblStyle w:val="52"/>
        <w:tblW w:w="95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24"/>
        <w:gridCol w:w="8813"/>
      </w:tblGrid>
      <w:tr w14:paraId="0F037E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993" w:hRule="atLeast"/>
          <w:jc w:val="center"/>
        </w:trPr>
        <w:tc>
          <w:tcPr>
            <w:tcW w:w="724" w:type="dxa"/>
            <w:noWrap w:val="0"/>
            <w:tcMar>
              <w:left w:w="28" w:type="dxa"/>
              <w:right w:w="28" w:type="dxa"/>
            </w:tcMar>
            <w:vAlign w:val="center"/>
          </w:tcPr>
          <w:p w14:paraId="7CE4C59C">
            <w:pPr>
              <w:pStyle w:val="227"/>
              <w:keepNext w:val="0"/>
              <w:keepLines w:val="0"/>
              <w:suppressLineNumbers w:val="0"/>
              <w:autoSpaceDN w:val="0"/>
              <w:spacing w:before="0" w:beforeAutospacing="0" w:after="0" w:afterAutospacing="0"/>
              <w:ind w:left="0" w:right="0" w:firstLine="480"/>
              <w:rPr>
                <w:rFonts w:hint="default" w:ascii="Times New Roman" w:hAnsi="Times New Roman" w:eastAsia="宋体" w:cs="Times New Roman"/>
                <w:color w:val="auto"/>
              </w:rPr>
            </w:pPr>
          </w:p>
          <w:p w14:paraId="0DE5A7A4">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2C0DD0FF">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F405A0D">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48433F47">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4A286B57">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1F41376A">
            <w:pPr>
              <w:pStyle w:val="6"/>
              <w:suppressLineNumbers w:val="0"/>
              <w:spacing w:beforeAutospacing="0" w:afterAutospacing="0"/>
              <w:ind w:left="0" w:right="0"/>
              <w:outlineLvl w:val="3"/>
              <w:rPr>
                <w:rFonts w:hint="default" w:ascii="Times New Roman" w:hAnsi="Times New Roman" w:eastAsia="宋体" w:cs="Times New Roman"/>
                <w:color w:val="auto"/>
              </w:rPr>
            </w:pPr>
          </w:p>
          <w:p w14:paraId="6CBD7C14">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6D739D0B">
            <w:pPr>
              <w:pStyle w:val="6"/>
              <w:suppressLineNumbers w:val="0"/>
              <w:spacing w:beforeAutospacing="0" w:afterAutospacing="0"/>
              <w:ind w:left="0" w:right="0"/>
              <w:outlineLvl w:val="3"/>
              <w:rPr>
                <w:rFonts w:hint="default" w:ascii="Times New Roman" w:hAnsi="Times New Roman" w:eastAsia="宋体" w:cs="Times New Roman"/>
                <w:color w:val="auto"/>
              </w:rPr>
            </w:pPr>
          </w:p>
          <w:p w14:paraId="4E3A036D">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1535205E">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4C40ADD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68933D7C">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3CF3140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21AD05ED">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措施</w:t>
            </w:r>
          </w:p>
          <w:p w14:paraId="63478C5E">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330E9E1F">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EE14F97">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2455764A">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48379F3">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58F8E27">
            <w:pPr>
              <w:pStyle w:val="6"/>
              <w:suppressLineNumbers w:val="0"/>
              <w:spacing w:beforeAutospacing="0" w:afterAutospacing="0"/>
              <w:ind w:left="0" w:right="0"/>
              <w:outlineLvl w:val="3"/>
              <w:rPr>
                <w:rFonts w:hint="default" w:ascii="Times New Roman" w:hAnsi="Times New Roman" w:eastAsia="宋体" w:cs="Times New Roman"/>
                <w:color w:val="auto"/>
              </w:rPr>
            </w:pPr>
          </w:p>
          <w:p w14:paraId="274CAEBE">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470B2C23">
            <w:pPr>
              <w:pStyle w:val="6"/>
              <w:suppressLineNumbers w:val="0"/>
              <w:spacing w:beforeAutospacing="0" w:afterAutospacing="0"/>
              <w:ind w:left="0" w:right="0"/>
              <w:outlineLvl w:val="3"/>
              <w:rPr>
                <w:rFonts w:hint="default" w:ascii="Times New Roman" w:hAnsi="Times New Roman" w:eastAsia="宋体" w:cs="Times New Roman"/>
                <w:color w:val="auto"/>
              </w:rPr>
            </w:pPr>
          </w:p>
          <w:p w14:paraId="1738FC2A">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06F3D7AD">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30A6C8D7">
            <w:pPr>
              <w:keepNext w:val="0"/>
              <w:keepLines w:val="0"/>
              <w:suppressLineNumbers w:val="0"/>
              <w:adjustRightInd w:val="0"/>
              <w:snapToGrid w:val="0"/>
              <w:spacing w:before="0" w:beforeAutospacing="0" w:after="0" w:afterAutospacing="0" w:line="440" w:lineRule="exact"/>
              <w:ind w:left="0" w:right="0"/>
              <w:rPr>
                <w:rFonts w:hint="default" w:ascii="Times New Roman" w:hAnsi="Times New Roman" w:eastAsia="宋体" w:cs="Times New Roman"/>
                <w:color w:val="auto"/>
              </w:rPr>
            </w:pPr>
          </w:p>
          <w:p w14:paraId="70CB56D6">
            <w:pPr>
              <w:pStyle w:val="227"/>
              <w:keepNext w:val="0"/>
              <w:keepLines w:val="0"/>
              <w:suppressLineNumbers w:val="0"/>
              <w:autoSpaceDN w:val="0"/>
              <w:spacing w:before="0" w:beforeAutospacing="0" w:after="0" w:afterAutospacing="0"/>
              <w:ind w:left="0" w:right="0" w:firstLine="480"/>
              <w:rPr>
                <w:rFonts w:hint="default" w:ascii="Times New Roman" w:hAnsi="Times New Roman" w:eastAsia="宋体" w:cs="Times New Roman"/>
                <w:color w:val="auto"/>
              </w:rPr>
            </w:pPr>
          </w:p>
          <w:p w14:paraId="5A351F97">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11EDCF94">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1EB68621">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46C5E71C">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4E58E74D">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62F4963B">
            <w:pPr>
              <w:pStyle w:val="6"/>
              <w:suppressLineNumbers w:val="0"/>
              <w:spacing w:beforeAutospacing="0" w:afterAutospacing="0"/>
              <w:ind w:left="0" w:right="0"/>
              <w:outlineLvl w:val="3"/>
              <w:rPr>
                <w:rFonts w:hint="default" w:ascii="Times New Roman" w:hAnsi="Times New Roman" w:eastAsia="宋体" w:cs="Times New Roman"/>
                <w:color w:val="auto"/>
              </w:rPr>
            </w:pPr>
          </w:p>
          <w:p w14:paraId="6378B4FA">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4FE890E1">
            <w:pPr>
              <w:pStyle w:val="6"/>
              <w:suppressLineNumbers w:val="0"/>
              <w:spacing w:beforeAutospacing="0" w:afterAutospacing="0"/>
              <w:ind w:left="0" w:right="0"/>
              <w:outlineLvl w:val="3"/>
              <w:rPr>
                <w:rFonts w:hint="default" w:ascii="Times New Roman" w:hAnsi="Times New Roman" w:eastAsia="宋体" w:cs="Times New Roman"/>
                <w:color w:val="auto"/>
              </w:rPr>
            </w:pPr>
          </w:p>
          <w:p w14:paraId="18B4971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FE9582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51EBDA3F">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4E02760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73889E99">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7AEE7F66">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06D477EF">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措施</w:t>
            </w:r>
          </w:p>
          <w:p w14:paraId="34A6B92C">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1B7C8A5C">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12C947F1">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2C03A32D">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C81E2D1">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471788D5">
            <w:pPr>
              <w:pStyle w:val="6"/>
              <w:suppressLineNumbers w:val="0"/>
              <w:spacing w:beforeAutospacing="0" w:afterAutospacing="0"/>
              <w:ind w:left="0" w:right="0"/>
              <w:outlineLvl w:val="3"/>
              <w:rPr>
                <w:rFonts w:hint="default" w:ascii="Times New Roman" w:hAnsi="Times New Roman" w:eastAsia="宋体" w:cs="Times New Roman"/>
                <w:color w:val="auto"/>
              </w:rPr>
            </w:pPr>
          </w:p>
          <w:p w14:paraId="22CBAD89">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466028E4">
            <w:pPr>
              <w:pStyle w:val="6"/>
              <w:suppressLineNumbers w:val="0"/>
              <w:spacing w:beforeAutospacing="0" w:afterAutospacing="0"/>
              <w:ind w:left="0" w:right="0"/>
              <w:outlineLvl w:val="3"/>
              <w:rPr>
                <w:rFonts w:hint="default" w:ascii="Times New Roman" w:hAnsi="Times New Roman" w:eastAsia="宋体" w:cs="Times New Roman"/>
                <w:color w:val="auto"/>
              </w:rPr>
            </w:pPr>
          </w:p>
          <w:p w14:paraId="69D31DFB">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183C42FF">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6284C372">
            <w:pPr>
              <w:keepNext w:val="0"/>
              <w:keepLines w:val="0"/>
              <w:suppressLineNumbers w:val="0"/>
              <w:adjustRightInd w:val="0"/>
              <w:snapToGrid w:val="0"/>
              <w:spacing w:before="0" w:beforeAutospacing="0" w:after="0" w:afterAutospacing="0" w:line="440" w:lineRule="exact"/>
              <w:ind w:left="0" w:right="0"/>
              <w:rPr>
                <w:rFonts w:hint="default" w:ascii="Times New Roman" w:hAnsi="Times New Roman" w:eastAsia="宋体" w:cs="Times New Roman"/>
                <w:color w:val="auto"/>
              </w:rPr>
            </w:pPr>
          </w:p>
          <w:p w14:paraId="626227D3">
            <w:pPr>
              <w:pStyle w:val="227"/>
              <w:keepNext w:val="0"/>
              <w:keepLines w:val="0"/>
              <w:suppressLineNumbers w:val="0"/>
              <w:autoSpaceDN w:val="0"/>
              <w:spacing w:before="0" w:beforeAutospacing="0" w:after="0" w:afterAutospacing="0"/>
              <w:ind w:left="0" w:right="0" w:firstLine="480"/>
              <w:rPr>
                <w:rFonts w:hint="default" w:ascii="Times New Roman" w:hAnsi="Times New Roman" w:eastAsia="宋体" w:cs="Times New Roman"/>
                <w:color w:val="auto"/>
              </w:rPr>
            </w:pPr>
          </w:p>
          <w:p w14:paraId="1210C90D">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59ECEE8">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221C1F16">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6DB58E51">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4A614E90">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5B6BF703">
            <w:pPr>
              <w:pStyle w:val="6"/>
              <w:suppressLineNumbers w:val="0"/>
              <w:spacing w:beforeAutospacing="0" w:afterAutospacing="0"/>
              <w:ind w:left="0" w:right="0"/>
              <w:outlineLvl w:val="3"/>
              <w:rPr>
                <w:rFonts w:hint="default" w:ascii="Times New Roman" w:hAnsi="Times New Roman" w:eastAsia="宋体" w:cs="Times New Roman"/>
                <w:color w:val="auto"/>
              </w:rPr>
            </w:pPr>
          </w:p>
          <w:p w14:paraId="77E54BB2">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631B1DEC">
            <w:pPr>
              <w:pStyle w:val="6"/>
              <w:suppressLineNumbers w:val="0"/>
              <w:spacing w:beforeAutospacing="0" w:afterAutospacing="0"/>
              <w:ind w:left="0" w:right="0"/>
              <w:outlineLvl w:val="3"/>
              <w:rPr>
                <w:rFonts w:hint="default" w:ascii="Times New Roman" w:hAnsi="Times New Roman" w:eastAsia="宋体" w:cs="Times New Roman"/>
                <w:color w:val="auto"/>
              </w:rPr>
            </w:pPr>
          </w:p>
          <w:p w14:paraId="191905C0">
            <w:pPr>
              <w:keepNext w:val="0"/>
              <w:keepLines w:val="0"/>
              <w:suppressLineNumbers w:val="0"/>
              <w:adjustRightInd w:val="0"/>
              <w:snapToGrid w:val="0"/>
              <w:spacing w:before="0" w:beforeAutospacing="0" w:after="0" w:afterAutospacing="0" w:line="440" w:lineRule="exact"/>
              <w:ind w:left="0" w:right="0"/>
              <w:rPr>
                <w:rFonts w:hint="default" w:ascii="Times New Roman" w:hAnsi="Times New Roman" w:eastAsia="宋体" w:cs="Times New Roman"/>
                <w:bCs/>
                <w:color w:val="auto"/>
                <w:sz w:val="24"/>
              </w:rPr>
            </w:pPr>
          </w:p>
          <w:p w14:paraId="62D4363C">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E19E37C">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122D4888">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2FED9C3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59F7572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271A8376">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47D2381E">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措施</w:t>
            </w:r>
          </w:p>
          <w:p w14:paraId="19D76B69">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28E44BC7">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4EE53AF">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17A1D007">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57614E60">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2885D619">
            <w:pPr>
              <w:pStyle w:val="6"/>
              <w:suppressLineNumbers w:val="0"/>
              <w:spacing w:beforeAutospacing="0" w:afterAutospacing="0"/>
              <w:ind w:left="0" w:right="0"/>
              <w:outlineLvl w:val="3"/>
              <w:rPr>
                <w:rFonts w:hint="default" w:ascii="Times New Roman" w:hAnsi="Times New Roman" w:eastAsia="宋体" w:cs="Times New Roman"/>
                <w:color w:val="auto"/>
              </w:rPr>
            </w:pPr>
          </w:p>
          <w:p w14:paraId="00173695">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0662717C">
            <w:pPr>
              <w:pStyle w:val="6"/>
              <w:suppressLineNumbers w:val="0"/>
              <w:spacing w:beforeAutospacing="0" w:afterAutospacing="0"/>
              <w:ind w:left="0" w:right="0"/>
              <w:outlineLvl w:val="3"/>
              <w:rPr>
                <w:rFonts w:hint="default" w:ascii="Times New Roman" w:hAnsi="Times New Roman" w:eastAsia="宋体" w:cs="Times New Roman"/>
                <w:color w:val="auto"/>
              </w:rPr>
            </w:pPr>
          </w:p>
          <w:p w14:paraId="02D10E61">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673B74A0">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E0B5265">
            <w:pPr>
              <w:keepNext w:val="0"/>
              <w:keepLines w:val="0"/>
              <w:suppressLineNumbers w:val="0"/>
              <w:adjustRightInd w:val="0"/>
              <w:snapToGrid w:val="0"/>
              <w:spacing w:before="0" w:beforeAutospacing="0" w:after="0" w:afterAutospacing="0" w:line="440" w:lineRule="exact"/>
              <w:ind w:left="0" w:right="0"/>
              <w:rPr>
                <w:rFonts w:hint="default" w:ascii="Times New Roman" w:hAnsi="Times New Roman" w:eastAsia="宋体" w:cs="Times New Roman"/>
                <w:color w:val="auto"/>
              </w:rPr>
            </w:pPr>
          </w:p>
          <w:p w14:paraId="1CE85CA4">
            <w:pPr>
              <w:pStyle w:val="227"/>
              <w:keepNext w:val="0"/>
              <w:keepLines w:val="0"/>
              <w:suppressLineNumbers w:val="0"/>
              <w:autoSpaceDN w:val="0"/>
              <w:spacing w:before="0" w:beforeAutospacing="0" w:after="0" w:afterAutospacing="0"/>
              <w:ind w:left="0" w:right="0" w:firstLine="480"/>
              <w:rPr>
                <w:rFonts w:hint="default" w:ascii="Times New Roman" w:hAnsi="Times New Roman" w:eastAsia="宋体" w:cs="Times New Roman"/>
                <w:color w:val="auto"/>
              </w:rPr>
            </w:pPr>
          </w:p>
          <w:p w14:paraId="604C5329">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4E5A60E0">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291F9E30">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5712AADD">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543F7CF3">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4E1A9777">
            <w:pPr>
              <w:pStyle w:val="6"/>
              <w:suppressLineNumbers w:val="0"/>
              <w:spacing w:beforeAutospacing="0" w:afterAutospacing="0"/>
              <w:ind w:left="0" w:right="0"/>
              <w:outlineLvl w:val="3"/>
              <w:rPr>
                <w:rFonts w:hint="default" w:ascii="Times New Roman" w:hAnsi="Times New Roman" w:eastAsia="宋体" w:cs="Times New Roman"/>
                <w:color w:val="auto"/>
              </w:rPr>
            </w:pPr>
          </w:p>
          <w:p w14:paraId="23785D67">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2F5E2119">
            <w:pPr>
              <w:keepNext w:val="0"/>
              <w:keepLines w:val="0"/>
              <w:suppressLineNumbers w:val="0"/>
              <w:adjustRightInd w:val="0"/>
              <w:snapToGrid w:val="0"/>
              <w:spacing w:before="0" w:beforeAutospacing="0" w:after="0" w:afterAutospacing="0" w:line="440" w:lineRule="exact"/>
              <w:ind w:left="0" w:right="0"/>
              <w:rPr>
                <w:rFonts w:hint="default" w:ascii="Times New Roman" w:hAnsi="Times New Roman" w:eastAsia="宋体" w:cs="Times New Roman"/>
                <w:bCs/>
                <w:color w:val="auto"/>
                <w:sz w:val="24"/>
              </w:rPr>
            </w:pPr>
          </w:p>
          <w:p w14:paraId="53E3EEDF">
            <w:pPr>
              <w:pStyle w:val="6"/>
              <w:suppressLineNumbers w:val="0"/>
              <w:spacing w:beforeAutospacing="0" w:afterAutospacing="0"/>
              <w:ind w:left="0" w:right="0"/>
              <w:outlineLvl w:val="3"/>
              <w:rPr>
                <w:rFonts w:hint="default" w:ascii="Times New Roman" w:hAnsi="Times New Roman" w:eastAsia="宋体" w:cs="Times New Roman"/>
                <w:color w:val="auto"/>
              </w:rPr>
            </w:pPr>
          </w:p>
          <w:p w14:paraId="25D6192F">
            <w:pPr>
              <w:keepNext w:val="0"/>
              <w:keepLines w:val="0"/>
              <w:suppressLineNumbers w:val="0"/>
              <w:adjustRightInd w:val="0"/>
              <w:snapToGrid w:val="0"/>
              <w:spacing w:before="0" w:beforeAutospacing="0" w:after="0" w:afterAutospacing="0" w:line="440" w:lineRule="exact"/>
              <w:ind w:left="0" w:right="0"/>
              <w:rPr>
                <w:rFonts w:hint="default" w:ascii="Times New Roman" w:hAnsi="Times New Roman" w:eastAsia="宋体" w:cs="Times New Roman"/>
                <w:bCs/>
                <w:color w:val="auto"/>
                <w:sz w:val="24"/>
              </w:rPr>
            </w:pPr>
          </w:p>
          <w:p w14:paraId="73AAB069">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0E413F13">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3F6C1F01">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57C7194E">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29EC631E">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28EA01B6">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措施</w:t>
            </w:r>
          </w:p>
          <w:p w14:paraId="5A0FE669">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3ADBBF66">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396FD44F">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43511538">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161ED1A6">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7332887">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4EE50864">
            <w:pPr>
              <w:pStyle w:val="6"/>
              <w:suppressLineNumbers w:val="0"/>
              <w:spacing w:beforeAutospacing="0" w:afterAutospacing="0"/>
              <w:ind w:left="0" w:right="0"/>
              <w:outlineLvl w:val="3"/>
              <w:rPr>
                <w:rFonts w:hint="default" w:ascii="Times New Roman" w:hAnsi="Times New Roman" w:eastAsia="宋体" w:cs="Times New Roman"/>
                <w:color w:val="auto"/>
              </w:rPr>
            </w:pPr>
          </w:p>
          <w:p w14:paraId="1F2B93B0">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431A2A67">
            <w:pPr>
              <w:pStyle w:val="6"/>
              <w:suppressLineNumbers w:val="0"/>
              <w:spacing w:beforeAutospacing="0" w:afterAutospacing="0"/>
              <w:ind w:left="0" w:right="0"/>
              <w:outlineLvl w:val="3"/>
              <w:rPr>
                <w:rFonts w:hint="default" w:ascii="Times New Roman" w:hAnsi="Times New Roman" w:eastAsia="宋体" w:cs="Times New Roman"/>
                <w:color w:val="auto"/>
              </w:rPr>
            </w:pPr>
          </w:p>
          <w:p w14:paraId="660C6376">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379F3611">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43C1EE4">
            <w:pPr>
              <w:keepNext w:val="0"/>
              <w:keepLines w:val="0"/>
              <w:suppressLineNumbers w:val="0"/>
              <w:adjustRightInd w:val="0"/>
              <w:snapToGrid w:val="0"/>
              <w:spacing w:before="0" w:beforeAutospacing="0" w:after="0" w:afterAutospacing="0" w:line="440" w:lineRule="exact"/>
              <w:ind w:left="0" w:right="0"/>
              <w:rPr>
                <w:rFonts w:hint="default" w:ascii="Times New Roman" w:hAnsi="Times New Roman" w:eastAsia="宋体" w:cs="Times New Roman"/>
                <w:color w:val="auto"/>
              </w:rPr>
            </w:pPr>
          </w:p>
          <w:p w14:paraId="6EDB0573">
            <w:pPr>
              <w:pStyle w:val="227"/>
              <w:keepNext w:val="0"/>
              <w:keepLines w:val="0"/>
              <w:suppressLineNumbers w:val="0"/>
              <w:autoSpaceDN w:val="0"/>
              <w:spacing w:before="0" w:beforeAutospacing="0" w:after="0" w:afterAutospacing="0"/>
              <w:ind w:left="0" w:right="0" w:firstLine="480"/>
              <w:rPr>
                <w:rFonts w:hint="default" w:ascii="Times New Roman" w:hAnsi="Times New Roman" w:eastAsia="宋体" w:cs="Times New Roman"/>
                <w:color w:val="auto"/>
              </w:rPr>
            </w:pPr>
          </w:p>
          <w:p w14:paraId="17B12F79">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6370A17B">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2BE61B74">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37943CB2">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16DB870B">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116037D4">
            <w:pPr>
              <w:pStyle w:val="6"/>
              <w:suppressLineNumbers w:val="0"/>
              <w:spacing w:beforeAutospacing="0" w:afterAutospacing="0"/>
              <w:ind w:left="0" w:right="0"/>
              <w:outlineLvl w:val="3"/>
              <w:rPr>
                <w:rFonts w:hint="default" w:ascii="Times New Roman" w:hAnsi="Times New Roman" w:eastAsia="宋体" w:cs="Times New Roman"/>
                <w:color w:val="auto"/>
              </w:rPr>
            </w:pPr>
          </w:p>
          <w:p w14:paraId="0956A5F3">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146B243D">
            <w:pPr>
              <w:pStyle w:val="6"/>
              <w:suppressLineNumbers w:val="0"/>
              <w:spacing w:beforeAutospacing="0" w:afterAutospacing="0"/>
              <w:ind w:left="0" w:right="0"/>
              <w:outlineLvl w:val="3"/>
              <w:rPr>
                <w:rFonts w:hint="default" w:ascii="Times New Roman" w:hAnsi="Times New Roman" w:eastAsia="宋体" w:cs="Times New Roman"/>
                <w:color w:val="auto"/>
              </w:rPr>
            </w:pPr>
          </w:p>
          <w:p w14:paraId="7395E8F9">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42787EB1">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09ECE586">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56F163E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1F9DEA4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47E6E3EF">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措施</w:t>
            </w:r>
          </w:p>
          <w:p w14:paraId="0F9E4806">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32E900C">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03F57BD">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59266FF0">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49F57841">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23B7473">
            <w:pPr>
              <w:pStyle w:val="6"/>
              <w:suppressLineNumbers w:val="0"/>
              <w:spacing w:beforeAutospacing="0" w:afterAutospacing="0"/>
              <w:ind w:left="0" w:right="0"/>
              <w:outlineLvl w:val="3"/>
              <w:rPr>
                <w:rFonts w:hint="default" w:ascii="Times New Roman" w:hAnsi="Times New Roman" w:eastAsia="宋体" w:cs="Times New Roman"/>
                <w:color w:val="auto"/>
              </w:rPr>
            </w:pPr>
          </w:p>
          <w:p w14:paraId="5884DAD0">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50F13C81">
            <w:pPr>
              <w:pStyle w:val="6"/>
              <w:suppressLineNumbers w:val="0"/>
              <w:spacing w:beforeAutospacing="0" w:afterAutospacing="0"/>
              <w:ind w:left="0" w:right="0"/>
              <w:outlineLvl w:val="3"/>
              <w:rPr>
                <w:rFonts w:hint="default" w:ascii="Times New Roman" w:hAnsi="Times New Roman" w:eastAsia="宋体" w:cs="Times New Roman"/>
                <w:color w:val="auto"/>
              </w:rPr>
            </w:pPr>
          </w:p>
          <w:p w14:paraId="5296415C">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7CB4EC98">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2518DD0B">
            <w:pPr>
              <w:keepNext w:val="0"/>
              <w:keepLines w:val="0"/>
              <w:suppressLineNumbers w:val="0"/>
              <w:adjustRightInd w:val="0"/>
              <w:snapToGrid w:val="0"/>
              <w:spacing w:before="0" w:beforeAutospacing="0" w:after="0" w:afterAutospacing="0" w:line="440" w:lineRule="exact"/>
              <w:ind w:left="0" w:right="0"/>
              <w:rPr>
                <w:rFonts w:hint="default" w:ascii="Times New Roman" w:hAnsi="Times New Roman" w:eastAsia="宋体" w:cs="Times New Roman"/>
                <w:color w:val="auto"/>
              </w:rPr>
            </w:pPr>
          </w:p>
          <w:p w14:paraId="2E21F8B7">
            <w:pPr>
              <w:pStyle w:val="227"/>
              <w:keepNext w:val="0"/>
              <w:keepLines w:val="0"/>
              <w:suppressLineNumbers w:val="0"/>
              <w:autoSpaceDN w:val="0"/>
              <w:spacing w:before="0" w:beforeAutospacing="0" w:after="0" w:afterAutospacing="0"/>
              <w:ind w:left="0" w:right="0" w:firstLine="480"/>
              <w:rPr>
                <w:rFonts w:hint="default" w:ascii="Times New Roman" w:hAnsi="Times New Roman" w:eastAsia="宋体" w:cs="Times New Roman"/>
                <w:color w:val="auto"/>
              </w:rPr>
            </w:pPr>
          </w:p>
          <w:p w14:paraId="444A3FBB">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204F94C3">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4BD2C5AB">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354C65C">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91E8C1C">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F78EEFF">
            <w:pPr>
              <w:pStyle w:val="6"/>
              <w:suppressLineNumbers w:val="0"/>
              <w:spacing w:beforeAutospacing="0" w:afterAutospacing="0"/>
              <w:ind w:left="0" w:right="0"/>
              <w:outlineLvl w:val="3"/>
              <w:rPr>
                <w:rFonts w:hint="default" w:ascii="Times New Roman" w:hAnsi="Times New Roman" w:eastAsia="宋体" w:cs="Times New Roman"/>
                <w:color w:val="auto"/>
              </w:rPr>
            </w:pPr>
          </w:p>
          <w:p w14:paraId="1351A2C3">
            <w:pPr>
              <w:pStyle w:val="6"/>
              <w:suppressLineNumbers w:val="0"/>
              <w:spacing w:beforeAutospacing="0" w:afterAutospacing="0"/>
              <w:ind w:left="0" w:right="0"/>
              <w:outlineLvl w:val="3"/>
              <w:rPr>
                <w:rFonts w:hint="default" w:ascii="Times New Roman" w:hAnsi="Times New Roman" w:eastAsia="宋体" w:cs="Times New Roman"/>
                <w:color w:val="auto"/>
              </w:rPr>
            </w:pPr>
          </w:p>
          <w:p w14:paraId="50D57064">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09B4369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29A52D1E">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43751B02">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55C96005">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4560FF58">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6F2563B8">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措施</w:t>
            </w:r>
          </w:p>
          <w:p w14:paraId="2AA0FB95">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4D1DABDF">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207037BB">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6B73E84">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D983E86">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0A9C0E7">
            <w:pPr>
              <w:pStyle w:val="6"/>
              <w:suppressLineNumbers w:val="0"/>
              <w:spacing w:beforeAutospacing="0" w:afterAutospacing="0"/>
              <w:ind w:left="0" w:right="0"/>
              <w:outlineLvl w:val="3"/>
              <w:rPr>
                <w:rFonts w:hint="default" w:ascii="Times New Roman" w:hAnsi="Times New Roman" w:eastAsia="宋体" w:cs="Times New Roman"/>
                <w:color w:val="auto"/>
              </w:rPr>
            </w:pPr>
          </w:p>
          <w:p w14:paraId="124350F8">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7EFC9870">
            <w:pPr>
              <w:pStyle w:val="6"/>
              <w:suppressLineNumbers w:val="0"/>
              <w:spacing w:beforeAutospacing="0" w:afterAutospacing="0"/>
              <w:ind w:left="0" w:right="0"/>
              <w:outlineLvl w:val="3"/>
              <w:rPr>
                <w:rFonts w:hint="default" w:ascii="Times New Roman" w:hAnsi="Times New Roman" w:eastAsia="宋体" w:cs="Times New Roman"/>
                <w:color w:val="auto"/>
              </w:rPr>
            </w:pPr>
          </w:p>
          <w:p w14:paraId="1C15F5F9">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48465E5B">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33F1B33">
            <w:pPr>
              <w:keepNext w:val="0"/>
              <w:keepLines w:val="0"/>
              <w:suppressLineNumbers w:val="0"/>
              <w:adjustRightInd w:val="0"/>
              <w:snapToGrid w:val="0"/>
              <w:spacing w:before="0" w:beforeAutospacing="0" w:after="0" w:afterAutospacing="0" w:line="440" w:lineRule="exact"/>
              <w:ind w:left="0" w:right="0"/>
              <w:rPr>
                <w:rFonts w:hint="default" w:ascii="Times New Roman" w:hAnsi="Times New Roman" w:eastAsia="宋体" w:cs="Times New Roman"/>
                <w:color w:val="auto"/>
              </w:rPr>
            </w:pPr>
          </w:p>
          <w:p w14:paraId="49857C5E">
            <w:pPr>
              <w:pStyle w:val="227"/>
              <w:keepNext w:val="0"/>
              <w:keepLines w:val="0"/>
              <w:suppressLineNumbers w:val="0"/>
              <w:autoSpaceDN w:val="0"/>
              <w:spacing w:before="0" w:beforeAutospacing="0" w:after="0" w:afterAutospacing="0"/>
              <w:ind w:left="0" w:right="0" w:firstLine="480"/>
              <w:rPr>
                <w:rFonts w:hint="default" w:ascii="Times New Roman" w:hAnsi="Times New Roman" w:eastAsia="宋体" w:cs="Times New Roman"/>
                <w:color w:val="auto"/>
              </w:rPr>
            </w:pPr>
          </w:p>
          <w:p w14:paraId="3556901E">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63A35B98">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6FEB4EA">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5805D57D">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42710DEE">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D71CE48">
            <w:pPr>
              <w:pStyle w:val="6"/>
              <w:suppressLineNumbers w:val="0"/>
              <w:spacing w:beforeAutospacing="0" w:afterAutospacing="0"/>
              <w:ind w:left="0" w:right="0"/>
              <w:outlineLvl w:val="3"/>
              <w:rPr>
                <w:rFonts w:hint="default" w:ascii="Times New Roman" w:hAnsi="Times New Roman" w:eastAsia="宋体" w:cs="Times New Roman"/>
                <w:color w:val="auto"/>
              </w:rPr>
            </w:pPr>
          </w:p>
          <w:p w14:paraId="32D400EA">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0236C875">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75ABB42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9730CEC">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45DAFDE6">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7218A941">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0A62D28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707D833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7B65B7AD">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225B636D">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77B57A38">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措施</w:t>
            </w:r>
          </w:p>
          <w:p w14:paraId="06C56E28">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401B7532">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F365805">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12676CA4">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20533EE">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348FDB0A">
            <w:pPr>
              <w:pStyle w:val="6"/>
              <w:suppressLineNumbers w:val="0"/>
              <w:spacing w:beforeAutospacing="0" w:afterAutospacing="0"/>
              <w:ind w:left="0" w:right="0"/>
              <w:outlineLvl w:val="3"/>
              <w:rPr>
                <w:rFonts w:hint="default" w:ascii="Times New Roman" w:hAnsi="Times New Roman" w:eastAsia="宋体" w:cs="Times New Roman"/>
                <w:color w:val="auto"/>
              </w:rPr>
            </w:pPr>
          </w:p>
          <w:p w14:paraId="42DF02E5">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2B7631AA">
            <w:pPr>
              <w:pStyle w:val="6"/>
              <w:suppressLineNumbers w:val="0"/>
              <w:spacing w:beforeAutospacing="0" w:afterAutospacing="0"/>
              <w:ind w:left="0" w:right="0"/>
              <w:outlineLvl w:val="3"/>
              <w:rPr>
                <w:rFonts w:hint="default" w:ascii="Times New Roman" w:hAnsi="Times New Roman" w:eastAsia="宋体" w:cs="Times New Roman"/>
                <w:color w:val="auto"/>
              </w:rPr>
            </w:pPr>
          </w:p>
          <w:p w14:paraId="6E6D4776">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328542DB">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BCC27FB">
            <w:pPr>
              <w:keepNext w:val="0"/>
              <w:keepLines w:val="0"/>
              <w:suppressLineNumbers w:val="0"/>
              <w:adjustRightInd w:val="0"/>
              <w:snapToGrid w:val="0"/>
              <w:spacing w:before="0" w:beforeAutospacing="0" w:after="0" w:afterAutospacing="0" w:line="440" w:lineRule="exact"/>
              <w:ind w:left="0" w:right="0"/>
              <w:rPr>
                <w:rFonts w:hint="default" w:ascii="Times New Roman" w:hAnsi="Times New Roman" w:eastAsia="宋体" w:cs="Times New Roman"/>
                <w:color w:val="auto"/>
              </w:rPr>
            </w:pPr>
          </w:p>
          <w:p w14:paraId="7B749188">
            <w:pPr>
              <w:pStyle w:val="227"/>
              <w:keepNext w:val="0"/>
              <w:keepLines w:val="0"/>
              <w:suppressLineNumbers w:val="0"/>
              <w:autoSpaceDN w:val="0"/>
              <w:spacing w:before="0" w:beforeAutospacing="0" w:after="0" w:afterAutospacing="0"/>
              <w:ind w:left="0" w:right="0" w:firstLine="480"/>
              <w:rPr>
                <w:rFonts w:hint="default" w:ascii="Times New Roman" w:hAnsi="Times New Roman" w:eastAsia="宋体" w:cs="Times New Roman"/>
                <w:color w:val="auto"/>
              </w:rPr>
            </w:pPr>
          </w:p>
          <w:p w14:paraId="17427841">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F17B1E8">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2B0A16F2">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6CF3661A">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54B4E99B">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6A65A53A">
            <w:pPr>
              <w:pStyle w:val="6"/>
              <w:suppressLineNumbers w:val="0"/>
              <w:spacing w:beforeAutospacing="0" w:afterAutospacing="0"/>
              <w:ind w:left="0" w:right="0"/>
              <w:outlineLvl w:val="3"/>
              <w:rPr>
                <w:rFonts w:hint="default" w:ascii="Times New Roman" w:hAnsi="Times New Roman" w:eastAsia="宋体" w:cs="Times New Roman"/>
                <w:color w:val="auto"/>
              </w:rPr>
            </w:pPr>
          </w:p>
          <w:p w14:paraId="39C69BBD">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04D34E00">
            <w:pPr>
              <w:pStyle w:val="6"/>
              <w:suppressLineNumbers w:val="0"/>
              <w:spacing w:beforeAutospacing="0" w:afterAutospacing="0"/>
              <w:ind w:left="0" w:right="0"/>
              <w:outlineLvl w:val="3"/>
              <w:rPr>
                <w:rFonts w:hint="default" w:ascii="Times New Roman" w:hAnsi="Times New Roman" w:eastAsia="宋体" w:cs="Times New Roman"/>
                <w:color w:val="auto"/>
              </w:rPr>
            </w:pPr>
          </w:p>
          <w:p w14:paraId="5A191A9B">
            <w:pPr>
              <w:keepNext w:val="0"/>
              <w:keepLines w:val="0"/>
              <w:suppressLineNumbers w:val="0"/>
              <w:adjustRightInd w:val="0"/>
              <w:snapToGrid w:val="0"/>
              <w:spacing w:before="0" w:beforeAutospacing="0" w:after="0" w:afterAutospacing="0" w:line="440" w:lineRule="exact"/>
              <w:ind w:left="0" w:right="0"/>
              <w:rPr>
                <w:rFonts w:hint="default" w:ascii="Times New Roman" w:hAnsi="Times New Roman" w:eastAsia="宋体" w:cs="Times New Roman"/>
                <w:bCs/>
                <w:color w:val="auto"/>
                <w:sz w:val="24"/>
              </w:rPr>
            </w:pPr>
          </w:p>
          <w:p w14:paraId="6051FB46">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1F54B2AC">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7EA5CA22">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3C14529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175DDFB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027DE52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措施</w:t>
            </w:r>
          </w:p>
          <w:p w14:paraId="2E6B787A">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5A2FAFC">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2CE96250">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3F51586D">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2DBF4201">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4B2B1583">
            <w:pPr>
              <w:pStyle w:val="6"/>
              <w:suppressLineNumbers w:val="0"/>
              <w:spacing w:beforeAutospacing="0" w:afterAutospacing="0"/>
              <w:ind w:left="0" w:right="0"/>
              <w:outlineLvl w:val="3"/>
              <w:rPr>
                <w:rFonts w:hint="default" w:ascii="Times New Roman" w:hAnsi="Times New Roman" w:eastAsia="宋体" w:cs="Times New Roman"/>
                <w:color w:val="auto"/>
              </w:rPr>
            </w:pPr>
          </w:p>
          <w:p w14:paraId="20EA3B09">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679B8346">
            <w:pPr>
              <w:pStyle w:val="6"/>
              <w:suppressLineNumbers w:val="0"/>
              <w:spacing w:beforeAutospacing="0" w:afterAutospacing="0"/>
              <w:ind w:left="0" w:right="0"/>
              <w:outlineLvl w:val="3"/>
              <w:rPr>
                <w:rFonts w:hint="default" w:ascii="Times New Roman" w:hAnsi="Times New Roman" w:eastAsia="宋体" w:cs="Times New Roman"/>
                <w:color w:val="auto"/>
              </w:rPr>
            </w:pPr>
          </w:p>
          <w:p w14:paraId="2DD9EF70">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3DE8E32F">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44618137">
            <w:pPr>
              <w:keepNext w:val="0"/>
              <w:keepLines w:val="0"/>
              <w:suppressLineNumbers w:val="0"/>
              <w:adjustRightInd w:val="0"/>
              <w:snapToGrid w:val="0"/>
              <w:spacing w:before="0" w:beforeAutospacing="0" w:after="0" w:afterAutospacing="0" w:line="440" w:lineRule="exact"/>
              <w:ind w:left="0" w:right="0"/>
              <w:rPr>
                <w:rFonts w:hint="default" w:ascii="Times New Roman" w:hAnsi="Times New Roman" w:eastAsia="宋体" w:cs="Times New Roman"/>
                <w:color w:val="auto"/>
              </w:rPr>
            </w:pPr>
          </w:p>
          <w:p w14:paraId="6646711A">
            <w:pPr>
              <w:pStyle w:val="227"/>
              <w:keepNext w:val="0"/>
              <w:keepLines w:val="0"/>
              <w:suppressLineNumbers w:val="0"/>
              <w:autoSpaceDN w:val="0"/>
              <w:spacing w:before="0" w:beforeAutospacing="0" w:after="0" w:afterAutospacing="0"/>
              <w:ind w:left="0" w:right="0" w:firstLine="480"/>
              <w:rPr>
                <w:rFonts w:hint="default" w:ascii="Times New Roman" w:hAnsi="Times New Roman" w:eastAsia="宋体" w:cs="Times New Roman"/>
                <w:color w:val="auto"/>
              </w:rPr>
            </w:pPr>
          </w:p>
          <w:p w14:paraId="6C5EBA97">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42E57E6">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EEA1F37">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5679C942">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7AC256D">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1699F20B">
            <w:pPr>
              <w:pStyle w:val="6"/>
              <w:suppressLineNumbers w:val="0"/>
              <w:spacing w:beforeAutospacing="0" w:afterAutospacing="0"/>
              <w:ind w:left="0" w:right="0"/>
              <w:outlineLvl w:val="3"/>
              <w:rPr>
                <w:rFonts w:hint="default" w:ascii="Times New Roman" w:hAnsi="Times New Roman" w:eastAsia="宋体" w:cs="Times New Roman"/>
                <w:color w:val="auto"/>
              </w:rPr>
            </w:pPr>
          </w:p>
          <w:p w14:paraId="46D76050">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02C583EA">
            <w:pPr>
              <w:pStyle w:val="6"/>
              <w:suppressLineNumbers w:val="0"/>
              <w:spacing w:beforeAutospacing="0" w:afterAutospacing="0"/>
              <w:ind w:left="0" w:right="0"/>
              <w:outlineLvl w:val="3"/>
              <w:rPr>
                <w:rFonts w:hint="default" w:ascii="Times New Roman" w:hAnsi="Times New Roman" w:eastAsia="宋体" w:cs="Times New Roman"/>
                <w:color w:val="auto"/>
              </w:rPr>
            </w:pPr>
          </w:p>
          <w:p w14:paraId="06BAA0F9">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C9E40AE">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2B43436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20A9B6C3">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4230061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0A7F028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2C94CDA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78C6A279">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措施</w:t>
            </w:r>
          </w:p>
          <w:p w14:paraId="6347C024">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5B57A3FB">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475ADED7">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64F85A04">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67F09CF7">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A848DDE">
            <w:pPr>
              <w:pStyle w:val="6"/>
              <w:suppressLineNumbers w:val="0"/>
              <w:spacing w:beforeAutospacing="0" w:afterAutospacing="0"/>
              <w:ind w:left="0" w:right="0"/>
              <w:outlineLvl w:val="3"/>
              <w:rPr>
                <w:rFonts w:hint="default" w:ascii="Times New Roman" w:hAnsi="Times New Roman" w:eastAsia="宋体" w:cs="Times New Roman"/>
                <w:color w:val="auto"/>
              </w:rPr>
            </w:pPr>
          </w:p>
          <w:p w14:paraId="62BF6BC7">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2DAE4E6F">
            <w:pPr>
              <w:pStyle w:val="6"/>
              <w:suppressLineNumbers w:val="0"/>
              <w:spacing w:beforeAutospacing="0" w:afterAutospacing="0"/>
              <w:ind w:left="0" w:right="0"/>
              <w:outlineLvl w:val="3"/>
              <w:rPr>
                <w:rFonts w:hint="default" w:ascii="Times New Roman" w:hAnsi="Times New Roman" w:eastAsia="宋体" w:cs="Times New Roman"/>
                <w:color w:val="auto"/>
              </w:rPr>
            </w:pPr>
          </w:p>
          <w:p w14:paraId="0BAFF79D">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1ED22937">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25963E65">
            <w:pPr>
              <w:keepNext w:val="0"/>
              <w:keepLines w:val="0"/>
              <w:suppressLineNumbers w:val="0"/>
              <w:adjustRightInd w:val="0"/>
              <w:snapToGrid w:val="0"/>
              <w:spacing w:before="0" w:beforeAutospacing="0" w:after="0" w:afterAutospacing="0" w:line="440" w:lineRule="exact"/>
              <w:ind w:left="0" w:right="0"/>
              <w:rPr>
                <w:rFonts w:hint="default" w:ascii="Times New Roman" w:hAnsi="Times New Roman" w:eastAsia="宋体" w:cs="Times New Roman"/>
                <w:color w:val="auto"/>
              </w:rPr>
            </w:pPr>
          </w:p>
          <w:p w14:paraId="1645FCE8">
            <w:pPr>
              <w:pStyle w:val="227"/>
              <w:keepNext w:val="0"/>
              <w:keepLines w:val="0"/>
              <w:suppressLineNumbers w:val="0"/>
              <w:autoSpaceDN w:val="0"/>
              <w:spacing w:before="0" w:beforeAutospacing="0" w:after="0" w:afterAutospacing="0"/>
              <w:ind w:left="0" w:right="0" w:firstLine="480"/>
              <w:rPr>
                <w:rFonts w:hint="default" w:ascii="Times New Roman" w:hAnsi="Times New Roman" w:eastAsia="宋体" w:cs="Times New Roman"/>
                <w:color w:val="auto"/>
              </w:rPr>
            </w:pPr>
          </w:p>
          <w:p w14:paraId="52152305">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1A1BA842">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17362700">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6081AD46">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5FD5CC71">
            <w:pPr>
              <w:pStyle w:val="6"/>
              <w:suppressLineNumbers w:val="0"/>
              <w:spacing w:beforeAutospacing="0" w:afterAutospacing="0"/>
              <w:ind w:left="0" w:right="0"/>
              <w:outlineLvl w:val="3"/>
              <w:rPr>
                <w:rFonts w:hint="default" w:ascii="Times New Roman" w:hAnsi="Times New Roman" w:eastAsia="宋体" w:cs="Times New Roman"/>
                <w:color w:val="auto"/>
              </w:rPr>
            </w:pPr>
          </w:p>
          <w:p w14:paraId="77326F29">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3C9FCAF8">
            <w:pPr>
              <w:pStyle w:val="6"/>
              <w:suppressLineNumbers w:val="0"/>
              <w:spacing w:beforeAutospacing="0" w:afterAutospacing="0"/>
              <w:ind w:left="0" w:right="0"/>
              <w:outlineLvl w:val="3"/>
              <w:rPr>
                <w:rFonts w:hint="default" w:ascii="Times New Roman" w:hAnsi="Times New Roman" w:eastAsia="宋体" w:cs="Times New Roman"/>
                <w:color w:val="auto"/>
              </w:rPr>
            </w:pPr>
          </w:p>
          <w:p w14:paraId="7FDDE8EF">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0A2CCE0F">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22AE123">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5830B9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07554CD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5AFF69F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2F2560A5">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442579D2">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182894DF">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措施</w:t>
            </w:r>
          </w:p>
          <w:p w14:paraId="5E5D4F31">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33E54FAC">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00BACC4">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17E7C885">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5C488B6C">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36CBFF7">
            <w:pPr>
              <w:pStyle w:val="6"/>
              <w:suppressLineNumbers w:val="0"/>
              <w:spacing w:beforeAutospacing="0" w:afterAutospacing="0"/>
              <w:ind w:left="0" w:right="0"/>
              <w:outlineLvl w:val="3"/>
              <w:rPr>
                <w:rFonts w:hint="default" w:ascii="Times New Roman" w:hAnsi="Times New Roman" w:eastAsia="宋体" w:cs="Times New Roman"/>
                <w:color w:val="auto"/>
              </w:rPr>
            </w:pPr>
          </w:p>
          <w:p w14:paraId="7B4DBF73">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473B83DE">
            <w:pPr>
              <w:pStyle w:val="6"/>
              <w:suppressLineNumbers w:val="0"/>
              <w:spacing w:beforeAutospacing="0" w:afterAutospacing="0"/>
              <w:ind w:left="0" w:right="0"/>
              <w:outlineLvl w:val="3"/>
              <w:rPr>
                <w:rFonts w:hint="default" w:ascii="Times New Roman" w:hAnsi="Times New Roman" w:eastAsia="宋体" w:cs="Times New Roman"/>
                <w:color w:val="auto"/>
              </w:rPr>
            </w:pPr>
          </w:p>
          <w:p w14:paraId="61766A4F">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6B504CC5">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E1D1922">
            <w:pPr>
              <w:keepNext w:val="0"/>
              <w:keepLines w:val="0"/>
              <w:suppressLineNumbers w:val="0"/>
              <w:adjustRightInd w:val="0"/>
              <w:snapToGrid w:val="0"/>
              <w:spacing w:before="0" w:beforeAutospacing="0" w:after="0" w:afterAutospacing="0" w:line="440" w:lineRule="exact"/>
              <w:ind w:left="0" w:right="0"/>
              <w:rPr>
                <w:rFonts w:hint="default" w:ascii="Times New Roman" w:hAnsi="Times New Roman" w:eastAsia="宋体" w:cs="Times New Roman"/>
                <w:color w:val="auto"/>
              </w:rPr>
            </w:pPr>
          </w:p>
          <w:p w14:paraId="7002E800">
            <w:pPr>
              <w:pStyle w:val="227"/>
              <w:keepNext w:val="0"/>
              <w:keepLines w:val="0"/>
              <w:suppressLineNumbers w:val="0"/>
              <w:autoSpaceDN w:val="0"/>
              <w:spacing w:before="0" w:beforeAutospacing="0" w:after="0" w:afterAutospacing="0"/>
              <w:ind w:left="0" w:right="0" w:firstLine="480"/>
              <w:rPr>
                <w:rFonts w:hint="default" w:ascii="Times New Roman" w:hAnsi="Times New Roman" w:eastAsia="宋体" w:cs="Times New Roman"/>
                <w:color w:val="auto"/>
              </w:rPr>
            </w:pPr>
          </w:p>
          <w:p w14:paraId="39F57584">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51E5196F">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26BE3D02">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89C02EB">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2529CC7E">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65E09ED4">
            <w:pPr>
              <w:pStyle w:val="6"/>
              <w:suppressLineNumbers w:val="0"/>
              <w:spacing w:beforeAutospacing="0" w:afterAutospacing="0"/>
              <w:ind w:left="0" w:right="0"/>
              <w:outlineLvl w:val="3"/>
              <w:rPr>
                <w:rFonts w:hint="default" w:ascii="Times New Roman" w:hAnsi="Times New Roman" w:eastAsia="宋体" w:cs="Times New Roman"/>
                <w:color w:val="auto"/>
              </w:rPr>
            </w:pPr>
          </w:p>
          <w:p w14:paraId="1297CA88">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4613591B">
            <w:pPr>
              <w:pStyle w:val="6"/>
              <w:suppressLineNumbers w:val="0"/>
              <w:spacing w:beforeAutospacing="0" w:afterAutospacing="0"/>
              <w:ind w:left="0" w:right="0"/>
              <w:outlineLvl w:val="3"/>
              <w:rPr>
                <w:rFonts w:hint="default" w:ascii="Times New Roman" w:hAnsi="Times New Roman" w:eastAsia="宋体" w:cs="Times New Roman"/>
                <w:color w:val="auto"/>
              </w:rPr>
            </w:pPr>
          </w:p>
          <w:p w14:paraId="122ED12A">
            <w:pPr>
              <w:keepNext w:val="0"/>
              <w:keepLines w:val="0"/>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bCs/>
                <w:color w:val="auto"/>
                <w:sz w:val="24"/>
              </w:rPr>
            </w:pPr>
          </w:p>
          <w:p w14:paraId="25E87A3A">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541954CD">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735C1D6B">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6FD4A937">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0593EF4C">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0E97D58F">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措施</w:t>
            </w:r>
          </w:p>
          <w:p w14:paraId="63F7B9EB">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431A87AC">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275F71DA">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B8B5B45">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857E0B5">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418058D4">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6E20AA87">
            <w:pPr>
              <w:pStyle w:val="6"/>
              <w:suppressLineNumbers w:val="0"/>
              <w:spacing w:beforeAutospacing="0" w:afterAutospacing="0"/>
              <w:ind w:left="0" w:right="0"/>
              <w:outlineLvl w:val="3"/>
              <w:rPr>
                <w:rFonts w:hint="default" w:ascii="Times New Roman" w:hAnsi="Times New Roman" w:eastAsia="宋体" w:cs="Times New Roman"/>
                <w:color w:val="auto"/>
              </w:rPr>
            </w:pPr>
          </w:p>
          <w:p w14:paraId="626FE647">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4E44F74C">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0B645E60">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BD0C2C9">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876ECDD">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 xml:space="preserve"> </w:t>
            </w:r>
          </w:p>
          <w:p w14:paraId="372D6E5E">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37ECB530">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1836F656">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1EE35BDF">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1F6E30D1">
            <w:pPr>
              <w:pStyle w:val="6"/>
              <w:suppressLineNumbers w:val="0"/>
              <w:spacing w:beforeAutospacing="0" w:afterAutospacing="0"/>
              <w:ind w:left="0" w:right="0"/>
              <w:outlineLvl w:val="3"/>
              <w:rPr>
                <w:rFonts w:hint="default" w:ascii="Times New Roman" w:hAnsi="Times New Roman" w:eastAsia="宋体" w:cs="Times New Roman"/>
                <w:color w:val="auto"/>
              </w:rPr>
            </w:pPr>
          </w:p>
          <w:p w14:paraId="722EC896">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1A198101">
            <w:pPr>
              <w:pStyle w:val="6"/>
              <w:suppressLineNumbers w:val="0"/>
              <w:spacing w:beforeAutospacing="0" w:afterAutospacing="0"/>
              <w:ind w:left="0" w:right="0"/>
              <w:outlineLvl w:val="3"/>
              <w:rPr>
                <w:rFonts w:hint="default" w:ascii="Times New Roman" w:hAnsi="Times New Roman" w:eastAsia="宋体" w:cs="Times New Roman"/>
                <w:color w:val="auto"/>
              </w:rPr>
            </w:pPr>
          </w:p>
          <w:p w14:paraId="43275B71">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0F41D73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07911F0">
            <w:pPr>
              <w:keepNext w:val="0"/>
              <w:keepLines w:val="0"/>
              <w:suppressLineNumbers w:val="0"/>
              <w:adjustRightInd w:val="0"/>
              <w:snapToGrid w:val="0"/>
              <w:spacing w:before="0" w:beforeAutospacing="0" w:after="0" w:afterAutospacing="0" w:line="440" w:lineRule="exact"/>
              <w:ind w:left="0" w:right="0"/>
              <w:rPr>
                <w:rFonts w:hint="default" w:ascii="Times New Roman" w:hAnsi="Times New Roman" w:eastAsia="宋体" w:cs="Times New Roman"/>
                <w:bCs/>
                <w:color w:val="auto"/>
                <w:sz w:val="24"/>
              </w:rPr>
            </w:pPr>
          </w:p>
          <w:p w14:paraId="3B1659DE">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10B76FBF">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7BFA88E2">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201CC206">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00530253">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3ACE1711">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措施</w:t>
            </w:r>
          </w:p>
          <w:p w14:paraId="1ADF6A21">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67CE57E3">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18B266E5">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669986F3">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61B445F3">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566D4184">
            <w:pPr>
              <w:pStyle w:val="6"/>
              <w:suppressLineNumbers w:val="0"/>
              <w:spacing w:beforeAutospacing="0" w:afterAutospacing="0"/>
              <w:ind w:left="0" w:right="0"/>
              <w:outlineLvl w:val="3"/>
              <w:rPr>
                <w:rFonts w:hint="default" w:ascii="Times New Roman" w:hAnsi="Times New Roman" w:eastAsia="宋体" w:cs="Times New Roman"/>
                <w:color w:val="auto"/>
              </w:rPr>
            </w:pPr>
          </w:p>
          <w:p w14:paraId="6A758419">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3CF5C54F">
            <w:pPr>
              <w:pStyle w:val="6"/>
              <w:suppressLineNumbers w:val="0"/>
              <w:spacing w:beforeAutospacing="0" w:afterAutospacing="0"/>
              <w:ind w:left="0" w:right="0"/>
              <w:outlineLvl w:val="3"/>
              <w:rPr>
                <w:rFonts w:hint="default" w:ascii="Times New Roman" w:hAnsi="Times New Roman" w:eastAsia="宋体" w:cs="Times New Roman"/>
                <w:color w:val="auto"/>
              </w:rPr>
            </w:pPr>
          </w:p>
          <w:p w14:paraId="6A2FF93B">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2C45FC77">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6C3B57EE">
            <w:pPr>
              <w:keepNext w:val="0"/>
              <w:keepLines w:val="0"/>
              <w:suppressLineNumbers w:val="0"/>
              <w:adjustRightInd w:val="0"/>
              <w:snapToGrid w:val="0"/>
              <w:spacing w:before="0" w:beforeAutospacing="0" w:after="0" w:afterAutospacing="0" w:line="440" w:lineRule="exact"/>
              <w:ind w:left="0" w:right="0"/>
              <w:rPr>
                <w:rFonts w:hint="default" w:ascii="Times New Roman" w:hAnsi="Times New Roman" w:eastAsia="宋体" w:cs="Times New Roman"/>
                <w:color w:val="auto"/>
              </w:rPr>
            </w:pPr>
          </w:p>
          <w:p w14:paraId="64C78A87">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5122BF9D">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3677AF7A">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459F1B70">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61C4606E">
            <w:pPr>
              <w:pStyle w:val="6"/>
              <w:suppressLineNumbers w:val="0"/>
              <w:spacing w:beforeAutospacing="0" w:afterAutospacing="0"/>
              <w:ind w:left="0" w:right="0"/>
              <w:outlineLvl w:val="3"/>
              <w:rPr>
                <w:rFonts w:hint="default" w:ascii="Times New Roman" w:hAnsi="Times New Roman" w:eastAsia="宋体" w:cs="Times New Roman"/>
                <w:color w:val="auto"/>
              </w:rPr>
            </w:pPr>
          </w:p>
          <w:p w14:paraId="012213EE">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4279E20F">
            <w:pPr>
              <w:pStyle w:val="6"/>
              <w:suppressLineNumbers w:val="0"/>
              <w:spacing w:beforeAutospacing="0" w:afterAutospacing="0"/>
              <w:ind w:left="0" w:right="0"/>
              <w:outlineLvl w:val="3"/>
              <w:rPr>
                <w:rFonts w:hint="default" w:ascii="Times New Roman" w:hAnsi="Times New Roman" w:eastAsia="宋体" w:cs="Times New Roman"/>
                <w:color w:val="auto"/>
              </w:rPr>
            </w:pPr>
          </w:p>
          <w:p w14:paraId="2C77014D">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5E5698D4">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p>
          <w:p w14:paraId="14D3125C">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748B8151">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31E6B500">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41E26B9C">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0043BAC5">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7142A31E">
            <w:pPr>
              <w:keepNext w:val="0"/>
              <w:keepLines w:val="0"/>
              <w:suppressLineNumbers w:val="0"/>
              <w:adjustRightInd w:val="0"/>
              <w:snapToGrid w:val="0"/>
              <w:spacing w:before="0" w:beforeAutospacing="0" w:after="0" w:afterAutospacing="0" w:line="440" w:lineRule="exact"/>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措施</w:t>
            </w:r>
          </w:p>
          <w:p w14:paraId="071B6855">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0B53781C">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39757BED">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75F4E154">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62D8E5E6">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6962343A">
            <w:pPr>
              <w:pStyle w:val="6"/>
              <w:suppressLineNumbers w:val="0"/>
              <w:spacing w:beforeAutospacing="0" w:afterAutospacing="0"/>
              <w:ind w:left="0" w:right="0"/>
              <w:outlineLvl w:val="3"/>
              <w:rPr>
                <w:rFonts w:hint="default" w:ascii="Times New Roman" w:hAnsi="Times New Roman" w:eastAsia="宋体" w:cs="Times New Roman"/>
                <w:color w:val="auto"/>
              </w:rPr>
            </w:pPr>
          </w:p>
          <w:p w14:paraId="5BDAD8F6">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2C99E7AD">
            <w:pPr>
              <w:pStyle w:val="6"/>
              <w:suppressLineNumbers w:val="0"/>
              <w:spacing w:beforeAutospacing="0" w:afterAutospacing="0"/>
              <w:ind w:left="0" w:right="0"/>
              <w:outlineLvl w:val="3"/>
              <w:rPr>
                <w:rFonts w:hint="default" w:ascii="Times New Roman" w:hAnsi="Times New Roman" w:eastAsia="宋体" w:cs="Times New Roman"/>
                <w:color w:val="auto"/>
              </w:rPr>
            </w:pPr>
          </w:p>
          <w:p w14:paraId="6224F5C3">
            <w:pPr>
              <w:keepNext w:val="0"/>
              <w:keepLines w:val="0"/>
              <w:suppressLineNumbers w:val="0"/>
              <w:spacing w:before="0" w:beforeAutospacing="0" w:after="0" w:afterAutospacing="0"/>
              <w:ind w:left="0" w:right="0"/>
              <w:rPr>
                <w:rFonts w:hint="default" w:ascii="Times New Roman" w:hAnsi="Times New Roman" w:eastAsia="宋体" w:cs="Times New Roman"/>
                <w:color w:val="auto"/>
              </w:rPr>
            </w:pPr>
          </w:p>
          <w:p w14:paraId="20762852">
            <w:pPr>
              <w:keepNext w:val="0"/>
              <w:keepLines w:val="0"/>
              <w:suppressLineNumbers w:val="0"/>
              <w:autoSpaceDN w:val="0"/>
              <w:adjustRightInd w:val="0"/>
              <w:snapToGrid w:val="0"/>
              <w:spacing w:before="0" w:beforeAutospacing="0" w:after="0" w:afterAutospacing="0" w:line="440" w:lineRule="exact"/>
              <w:ind w:left="0" w:right="0"/>
              <w:jc w:val="center"/>
              <w:rPr>
                <w:rFonts w:hint="default" w:ascii="Times New Roman" w:hAnsi="Times New Roman" w:eastAsia="宋体" w:cs="Times New Roman"/>
                <w:color w:val="auto"/>
              </w:rPr>
            </w:pPr>
          </w:p>
          <w:p w14:paraId="67841297">
            <w:pPr>
              <w:pStyle w:val="2"/>
              <w:keepNext w:val="0"/>
              <w:keepLines w:val="0"/>
              <w:suppressLineNumbers w:val="0"/>
              <w:spacing w:beforeAutospacing="0" w:afterAutospacing="0"/>
              <w:ind w:left="0"/>
              <w:rPr>
                <w:rFonts w:hint="default" w:ascii="Times New Roman" w:hAnsi="Times New Roman" w:eastAsia="宋体" w:cs="Times New Roman"/>
                <w:color w:val="auto"/>
              </w:rPr>
            </w:pPr>
          </w:p>
        </w:tc>
        <w:tc>
          <w:tcPr>
            <w:tcW w:w="8813" w:type="dxa"/>
            <w:noWrap w:val="0"/>
            <w:vAlign w:val="top"/>
          </w:tcPr>
          <w:p w14:paraId="5DEB85B3">
            <w:pPr>
              <w:keepNext w:val="0"/>
              <w:keepLines w:val="0"/>
              <w:suppressLineNumbers w:val="0"/>
              <w:spacing w:before="0" w:beforeAutospacing="0" w:after="0" w:afterAutospacing="0" w:line="440" w:lineRule="exact"/>
              <w:ind w:left="0" w:right="0" w:firstLine="482" w:firstLineChars="200"/>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3.2厂界达标情况</w:t>
            </w:r>
          </w:p>
          <w:p w14:paraId="4F6D6099">
            <w:pPr>
              <w:pStyle w:val="235"/>
              <w:keepNext w:val="0"/>
              <w:keepLines w:val="0"/>
              <w:suppressLineNumbers w:val="0"/>
              <w:adjustRightInd w:val="0"/>
              <w:spacing w:before="0" w:beforeAutospacing="0" w:after="0" w:afterAutospacing="0" w:line="440" w:lineRule="exact"/>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1）预测模型</w:t>
            </w:r>
          </w:p>
          <w:p w14:paraId="7FC2E7D5">
            <w:pPr>
              <w:pStyle w:val="235"/>
              <w:keepNext w:val="0"/>
              <w:keepLines w:val="0"/>
              <w:suppressLineNumbers w:val="0"/>
              <w:adjustRightInd w:val="0"/>
              <w:spacing w:before="0" w:beforeAutospacing="0" w:after="0" w:afterAutospacing="0" w:line="440" w:lineRule="exact"/>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根据《环境影响评价技术导则 声环境》（HJ 2.4-2021）的技术要求，本次评价采取导则上推荐模式，其数学表达式如下：</w:t>
            </w:r>
          </w:p>
          <w:p w14:paraId="21B312C2">
            <w:pPr>
              <w:pStyle w:val="235"/>
              <w:keepNext w:val="0"/>
              <w:keepLines w:val="0"/>
              <w:suppressLineNumbers w:val="0"/>
              <w:adjustRightInd w:val="0"/>
              <w:spacing w:before="0" w:beforeAutospacing="0" w:after="0" w:afterAutospacing="0" w:line="440" w:lineRule="exact"/>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①计算某个室内声源在靠近围护结构处的倍频带声压级：</w:t>
            </w:r>
          </w:p>
          <w:p w14:paraId="690F3620">
            <w:pPr>
              <w:pStyle w:val="235"/>
              <w:keepNext w:val="0"/>
              <w:keepLines w:val="0"/>
              <w:suppressLineNumbers w:val="0"/>
              <w:adjustRightInd w:val="0"/>
              <w:spacing w:before="0" w:beforeAutospacing="0" w:after="0" w:afterAutospacing="0" w:line="240" w:lineRule="auto"/>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INCLUDEPICTURE "C:\\Users\\ADMINI~1\\AppData\\Local\\Temp\\ksohtml7092\\wps13.png" \* MERGEFORMATINET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pict>
                <v:shape id="_x0000_i1026" o:spt="75" alt="wps13" type="#_x0000_t75" style="height:35.85pt;width:142.05pt;" filled="f" o:preferrelative="t" stroked="f" coordsize="21600,21600">
                  <v:path/>
                  <v:fill on="f" focussize="0,0"/>
                  <v:stroke on="f"/>
                  <v:imagedata r:id="rId24" o:title="wps13"/>
                  <o:lock v:ext="edit" aspectratio="t"/>
                  <w10:wrap type="none"/>
                  <w10:anchorlock/>
                </v:shape>
              </w:pict>
            </w:r>
            <w:r>
              <w:rPr>
                <w:rFonts w:hint="default" w:ascii="Times New Roman" w:hAnsi="Times New Roman" w:eastAsia="宋体" w:cs="Times New Roman"/>
                <w:color w:val="auto"/>
              </w:rPr>
              <w:fldChar w:fldCharType="end"/>
            </w:r>
          </w:p>
          <w:p w14:paraId="7988652F">
            <w:pPr>
              <w:pStyle w:val="235"/>
              <w:keepNext w:val="0"/>
              <w:keepLines w:val="0"/>
              <w:suppressLineNumbers w:val="0"/>
              <w:adjustRightInd w:val="0"/>
              <w:spacing w:before="0" w:beforeAutospacing="0" w:after="0" w:afterAutospacing="0" w:line="440" w:lineRule="exact"/>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式中：Loct</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1—某个室内声源在靠近围护结构处产生的倍频带声压级，dB；</w:t>
            </w:r>
          </w:p>
          <w:p w14:paraId="2931DA65">
            <w:pPr>
              <w:pStyle w:val="235"/>
              <w:keepNext w:val="0"/>
              <w:keepLines w:val="0"/>
              <w:suppressLineNumbers w:val="0"/>
              <w:adjustRightInd w:val="0"/>
              <w:spacing w:before="0" w:beforeAutospacing="0" w:after="0" w:afterAutospacing="0" w:line="440" w:lineRule="exact"/>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Lwoct—某个声源的倍频带声功率级，dB（A）；</w:t>
            </w:r>
          </w:p>
          <w:p w14:paraId="1BFC57F6">
            <w:pPr>
              <w:pStyle w:val="235"/>
              <w:keepNext w:val="0"/>
              <w:keepLines w:val="0"/>
              <w:suppressLineNumbers w:val="0"/>
              <w:adjustRightInd w:val="0"/>
              <w:spacing w:before="0" w:beforeAutospacing="0" w:after="0" w:afterAutospacing="0" w:line="440" w:lineRule="exact"/>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r</w:t>
            </w:r>
            <w:r>
              <w:rPr>
                <w:rFonts w:hint="default" w:ascii="Times New Roman" w:hAnsi="Times New Roman" w:eastAsia="宋体" w:cs="Times New Roman"/>
                <w:color w:val="auto"/>
                <w:vertAlign w:val="subscript"/>
              </w:rPr>
              <w:t>1</w:t>
            </w:r>
            <w:r>
              <w:rPr>
                <w:rFonts w:hint="default" w:ascii="Times New Roman" w:hAnsi="Times New Roman" w:eastAsia="宋体" w:cs="Times New Roman"/>
                <w:color w:val="auto"/>
              </w:rPr>
              <w:t>—室内某个声源与靠近围护结构处的距离，m；</w:t>
            </w:r>
          </w:p>
          <w:p w14:paraId="1E06078F">
            <w:pPr>
              <w:pStyle w:val="235"/>
              <w:keepNext w:val="0"/>
              <w:keepLines w:val="0"/>
              <w:suppressLineNumbers w:val="0"/>
              <w:adjustRightInd w:val="0"/>
              <w:spacing w:before="0" w:beforeAutospacing="0" w:after="0" w:afterAutospacing="0" w:line="440" w:lineRule="exact"/>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R—房间常数，m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rPr>
              <w:t>；Q方向性因子，无量纲值。</w:t>
            </w:r>
          </w:p>
          <w:p w14:paraId="54990C7A">
            <w:pPr>
              <w:pStyle w:val="235"/>
              <w:keepNext w:val="0"/>
              <w:keepLines w:val="0"/>
              <w:suppressLineNumbers w:val="0"/>
              <w:adjustRightInd w:val="0"/>
              <w:spacing w:before="0" w:beforeAutospacing="0" w:after="0" w:afterAutospacing="0" w:line="440" w:lineRule="exact"/>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②计算所有室内声源在靠近围护结构处产生的总倍频带声压级：</w:t>
            </w:r>
            <w:r>
              <w:rPr>
                <w:rFonts w:hint="default" w:ascii="Times New Roman" w:hAnsi="Times New Roman" w:eastAsia="宋体" w:cs="Times New Roman"/>
                <w:color w:val="auto"/>
              </w:rPr>
              <w:tab/>
            </w:r>
          </w:p>
          <w:p w14:paraId="639D14B6">
            <w:pPr>
              <w:pStyle w:val="235"/>
              <w:keepNext w:val="0"/>
              <w:keepLines w:val="0"/>
              <w:suppressLineNumbers w:val="0"/>
              <w:adjustRightInd w:val="0"/>
              <w:spacing w:before="120" w:beforeLines="50" w:beforeAutospacing="0" w:after="120" w:afterLines="50" w:afterAutospacing="0" w:line="240" w:lineRule="auto"/>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INCLUDEPICTURE "C:\\Users\\ADMINI~1\\AppData\\Local\\Temp\\ksohtml7092\\wps14.png" \* MERGEFORMATINET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pict>
                <v:shape id="_x0000_i1027" o:spt="75" alt="wps14" type="#_x0000_t75" style="height:38.5pt;width:149.95pt;" filled="f" o:preferrelative="t" stroked="f" coordsize="21600,21600">
                  <v:path/>
                  <v:fill on="f" focussize="0,0"/>
                  <v:stroke on="f"/>
                  <v:imagedata r:id="rId25" o:title="wps14"/>
                  <o:lock v:ext="edit" aspectratio="t"/>
                  <w10:wrap type="none"/>
                  <w10:anchorlock/>
                </v:shape>
              </w:pict>
            </w:r>
            <w:r>
              <w:rPr>
                <w:rFonts w:hint="default" w:ascii="Times New Roman" w:hAnsi="Times New Roman" w:eastAsia="宋体" w:cs="Times New Roman"/>
                <w:color w:val="auto"/>
              </w:rPr>
              <w:fldChar w:fldCharType="end"/>
            </w:r>
          </w:p>
          <w:p w14:paraId="605275A2">
            <w:pPr>
              <w:pStyle w:val="235"/>
              <w:keepNext w:val="0"/>
              <w:keepLines w:val="0"/>
              <w:suppressLineNumbers w:val="0"/>
              <w:adjustRightInd w:val="0"/>
              <w:spacing w:before="0" w:beforeAutospacing="0" w:after="0" w:afterAutospacing="0" w:line="360" w:lineRule="auto"/>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 xml:space="preserve"> 计算室外靠近围护结构处的声压级：</w:t>
            </w:r>
          </w:p>
          <w:p w14:paraId="25DB9944">
            <w:pPr>
              <w:pStyle w:val="235"/>
              <w:keepNext w:val="0"/>
              <w:keepLines w:val="0"/>
              <w:suppressLineNumbers w:val="0"/>
              <w:adjustRightInd w:val="0"/>
              <w:spacing w:before="120" w:beforeLines="50" w:beforeAutospacing="0" w:after="120" w:afterLines="50" w:afterAutospacing="0" w:line="240" w:lineRule="auto"/>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INCLUDEPICTURE "C:\\Users\\ADMINI~1\\AppData\\Local\\Temp\\ksohtml7092\\wps15.png" \* MERGEFORMATINET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pict>
                <v:shape id="_x0000_i1028" o:spt="75" type="#_x0000_t75" style="height:19.5pt;width:147pt;" filled="f" stroked="f" coordsize="21600,21600">
                  <v:path/>
                  <v:fill on="f" focussize="0,0"/>
                  <v:stroke on="f"/>
                  <v:imagedata r:id="rId26" o:title="wps15"/>
                  <o:lock v:ext="edit" aspectratio="t"/>
                  <w10:wrap type="none"/>
                  <w10:anchorlock/>
                </v:shape>
              </w:pict>
            </w:r>
            <w:r>
              <w:rPr>
                <w:rFonts w:hint="default" w:ascii="Times New Roman" w:hAnsi="Times New Roman" w:eastAsia="宋体" w:cs="Times New Roman"/>
                <w:color w:val="auto"/>
              </w:rPr>
              <w:fldChar w:fldCharType="end"/>
            </w:r>
          </w:p>
          <w:p w14:paraId="291D5F10">
            <w:pPr>
              <w:pStyle w:val="235"/>
              <w:keepNext w:val="0"/>
              <w:keepLines w:val="0"/>
              <w:suppressLineNumbers w:val="0"/>
              <w:adjustRightInd w:val="0"/>
              <w:spacing w:before="0" w:beforeAutospacing="0" w:after="0" w:afterAutospacing="0" w:line="440" w:lineRule="exact"/>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④将室外声级Loct，2(T)和透声面积换算成等效的室外声源，计算等效声源第i个倍频带的声功率级Lwoct ：</w:t>
            </w:r>
          </w:p>
          <w:p w14:paraId="50A3DC34">
            <w:pPr>
              <w:pStyle w:val="235"/>
              <w:keepNext w:val="0"/>
              <w:keepLines w:val="0"/>
              <w:suppressLineNumbers w:val="0"/>
              <w:adjustRightInd w:val="0"/>
              <w:spacing w:before="120" w:beforeLines="50" w:beforeAutospacing="0" w:after="120" w:afterLines="50" w:afterAutospacing="0" w:line="240" w:lineRule="auto"/>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INCLUDEPICTURE "C:\\Users\\ADMINI~1\\AppData\\Local\\Temp\\ksohtml7092\\wps16.png" \* MERGEFORMATINET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pict>
                <v:shape id="_x0000_i1029" o:spt="75" type="#_x0000_t75" style="height:19.5pt;width:119.25pt;" filled="f" stroked="f" coordsize="21600,21600">
                  <v:path/>
                  <v:fill on="f" focussize="0,0"/>
                  <v:stroke on="f"/>
                  <v:imagedata r:id="rId27" o:title="wps16"/>
                  <o:lock v:ext="edit" aspectratio="t"/>
                  <w10:wrap type="none"/>
                  <w10:anchorlock/>
                </v:shape>
              </w:pict>
            </w:r>
            <w:r>
              <w:rPr>
                <w:rFonts w:hint="default" w:ascii="Times New Roman" w:hAnsi="Times New Roman" w:eastAsia="宋体" w:cs="Times New Roman"/>
                <w:color w:val="auto"/>
              </w:rPr>
              <w:fldChar w:fldCharType="end"/>
            </w:r>
          </w:p>
          <w:p w14:paraId="2E77CD25">
            <w:pPr>
              <w:pStyle w:val="235"/>
              <w:keepNext w:val="0"/>
              <w:keepLines w:val="0"/>
              <w:suppressLineNumbers w:val="0"/>
              <w:adjustRightInd w:val="0"/>
              <w:spacing w:before="0" w:beforeAutospacing="0" w:after="0" w:afterAutospacing="0" w:line="440" w:lineRule="exact"/>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式中：S—透声面积，m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rPr>
              <w:t>。</w:t>
            </w:r>
          </w:p>
          <w:p w14:paraId="4C5CE395">
            <w:pPr>
              <w:pStyle w:val="235"/>
              <w:keepNext w:val="0"/>
              <w:keepLines w:val="0"/>
              <w:suppressLineNumbers w:val="0"/>
              <w:adjustRightInd w:val="0"/>
              <w:spacing w:before="0" w:beforeAutospacing="0" w:after="0" w:afterAutospacing="0" w:line="440" w:lineRule="exact"/>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⑤等效室外声源的位置为围护结构的位置，其倍频带声功率级为Lwoct，由此按室外声源方法计算等效室外声源在预测点产生的声级。</w:t>
            </w:r>
          </w:p>
          <w:p w14:paraId="6688BB51">
            <w:pPr>
              <w:pStyle w:val="235"/>
              <w:keepNext w:val="0"/>
              <w:keepLines w:val="0"/>
              <w:suppressLineNumbers w:val="0"/>
              <w:adjustRightInd w:val="0"/>
              <w:spacing w:before="0" w:beforeAutospacing="0" w:after="0" w:afterAutospacing="0" w:line="440" w:lineRule="exact"/>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⑥计算某个室外声源在预测点产生的倍频带声压级：</w:t>
            </w:r>
          </w:p>
          <w:p w14:paraId="3AD25672">
            <w:pPr>
              <w:pStyle w:val="235"/>
              <w:keepNext w:val="0"/>
              <w:keepLines w:val="0"/>
              <w:suppressLineNumbers w:val="0"/>
              <w:adjustRightInd w:val="0"/>
              <w:spacing w:before="120" w:beforeLines="50" w:beforeAutospacing="0" w:after="120" w:afterLines="50" w:afterAutospacing="0" w:line="240" w:lineRule="auto"/>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INCLUDEPICTURE "C:\\Users\\ADMINI~1\\AppData\\Local\\Temp\\ksohtml7092\\wps17.png" \* MERGEFORMATINET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pict>
                <v:shape id="_x0000_i1030" o:spt="75" type="#_x0000_t75" style="height:18pt;width:171pt;" filled="f" stroked="f" coordsize="21600,21600">
                  <v:path/>
                  <v:fill on="f" focussize="0,0"/>
                  <v:stroke on="f"/>
                  <v:imagedata r:id="rId28" o:title="wps17"/>
                  <o:lock v:ext="edit" aspectratio="t"/>
                  <w10:wrap type="none"/>
                  <w10:anchorlock/>
                </v:shape>
              </w:pict>
            </w:r>
            <w:r>
              <w:rPr>
                <w:rFonts w:hint="default" w:ascii="Times New Roman" w:hAnsi="Times New Roman" w:eastAsia="宋体" w:cs="Times New Roman"/>
                <w:color w:val="auto"/>
              </w:rPr>
              <w:fldChar w:fldCharType="end"/>
            </w:r>
          </w:p>
          <w:p w14:paraId="2DF45587">
            <w:pPr>
              <w:pStyle w:val="235"/>
              <w:keepNext w:val="0"/>
              <w:keepLines w:val="0"/>
              <w:suppressLineNumbers w:val="0"/>
              <w:adjustRightInd w:val="0"/>
              <w:spacing w:before="0" w:beforeAutospacing="0" w:after="0" w:afterAutospacing="0" w:line="440" w:lineRule="exact"/>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式中：Loct(r)—点声源在预测点产生的倍频带声压级，dB；</w:t>
            </w:r>
          </w:p>
          <w:p w14:paraId="411DA6C8">
            <w:pPr>
              <w:pStyle w:val="235"/>
              <w:keepNext w:val="0"/>
              <w:keepLines w:val="0"/>
              <w:suppressLineNumbers w:val="0"/>
              <w:adjustRightInd w:val="0"/>
              <w:spacing w:before="0" w:beforeAutospacing="0" w:after="0" w:afterAutospacing="0" w:line="440" w:lineRule="exact"/>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Loct(r</w:t>
            </w:r>
            <w:r>
              <w:rPr>
                <w:rFonts w:hint="default" w:ascii="Times New Roman" w:hAnsi="Times New Roman" w:eastAsia="宋体" w:cs="Times New Roman"/>
                <w:color w:val="auto"/>
                <w:vertAlign w:val="subscript"/>
              </w:rPr>
              <w:t>0</w:t>
            </w:r>
            <w:r>
              <w:rPr>
                <w:rFonts w:hint="default" w:ascii="Times New Roman" w:hAnsi="Times New Roman" w:eastAsia="宋体" w:cs="Times New Roman"/>
                <w:color w:val="auto"/>
              </w:rPr>
              <w:t>)—参考位置r</w:t>
            </w:r>
            <w:r>
              <w:rPr>
                <w:rFonts w:hint="default" w:ascii="Times New Roman" w:hAnsi="Times New Roman" w:eastAsia="宋体" w:cs="Times New Roman"/>
                <w:color w:val="auto"/>
                <w:vertAlign w:val="subscript"/>
              </w:rPr>
              <w:t>0</w:t>
            </w:r>
            <w:r>
              <w:rPr>
                <w:rFonts w:hint="default" w:ascii="Times New Roman" w:hAnsi="Times New Roman" w:eastAsia="宋体" w:cs="Times New Roman"/>
                <w:color w:val="auto"/>
              </w:rPr>
              <w:t>处的倍频带声压级，dB；</w:t>
            </w:r>
          </w:p>
          <w:p w14:paraId="20F22FCF">
            <w:pPr>
              <w:pStyle w:val="235"/>
              <w:keepNext w:val="0"/>
              <w:keepLines w:val="0"/>
              <w:suppressLineNumbers w:val="0"/>
              <w:adjustRightInd w:val="0"/>
              <w:spacing w:before="0" w:beforeAutospacing="0" w:after="0" w:afterAutospacing="0" w:line="440" w:lineRule="exact"/>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R—预测点距声源的距离，m；</w:t>
            </w:r>
          </w:p>
          <w:p w14:paraId="2F88B82E">
            <w:pPr>
              <w:pStyle w:val="235"/>
              <w:keepNext w:val="0"/>
              <w:keepLines w:val="0"/>
              <w:suppressLineNumbers w:val="0"/>
              <w:adjustRightInd w:val="0"/>
              <w:spacing w:before="0" w:beforeAutospacing="0" w:after="0" w:afterAutospacing="0" w:line="440" w:lineRule="exact"/>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r</w:t>
            </w:r>
            <w:r>
              <w:rPr>
                <w:rFonts w:hint="default" w:ascii="Times New Roman" w:hAnsi="Times New Roman" w:eastAsia="宋体" w:cs="Times New Roman"/>
                <w:color w:val="auto"/>
                <w:vertAlign w:val="subscript"/>
              </w:rPr>
              <w:t>0</w:t>
            </w:r>
            <w:r>
              <w:rPr>
                <w:rFonts w:hint="default" w:ascii="Times New Roman" w:hAnsi="Times New Roman" w:eastAsia="宋体" w:cs="Times New Roman"/>
                <w:color w:val="auto"/>
              </w:rPr>
              <w:t>—参考位置距声源的距离，m；</w:t>
            </w:r>
          </w:p>
          <w:p w14:paraId="7EAF90E6">
            <w:pPr>
              <w:pStyle w:val="235"/>
              <w:keepNext w:val="0"/>
              <w:keepLines w:val="0"/>
              <w:suppressLineNumbers w:val="0"/>
              <w:adjustRightInd w:val="0"/>
              <w:spacing w:before="0" w:beforeAutospacing="0" w:after="0" w:afterAutospacing="0" w:line="440" w:lineRule="exact"/>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Loct—各种因素引起的衰减量(包括声屏障、遮挡物、空气吸收、地面效应引起的衰减量，计算方法详见导则)。</w:t>
            </w:r>
          </w:p>
          <w:p w14:paraId="46C0B663">
            <w:pPr>
              <w:pStyle w:val="235"/>
              <w:keepNext w:val="0"/>
              <w:keepLines w:val="0"/>
              <w:suppressLineNumbers w:val="0"/>
              <w:adjustRightInd w:val="0"/>
              <w:spacing w:before="0" w:beforeAutospacing="0" w:after="0" w:afterAutospacing="0" w:line="360" w:lineRule="auto"/>
              <w:ind w:left="479" w:leftChars="228" w:right="0"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 xml:space="preserve">如果已知声源的倍频带声功率级Lwoct，且声源可看作是位于地面上的，则 </w:t>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INCLUDEPICTURE "C:\\Users\\ADMINI~1\\AppData\\Local\\Temp\\ksohtml7092\\wps18.png" \* MERGEFORMATINET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pict>
                <v:shape id="_x0000_i1031" o:spt="75" type="#_x0000_t75" style="height:19.5pt;width:131.25pt;" filled="f" stroked="f" coordsize="21600,21600">
                  <v:path/>
                  <v:fill on="f" focussize="0,0"/>
                  <v:stroke on="f"/>
                  <v:imagedata r:id="rId29" o:title="wps18"/>
                  <o:lock v:ext="edit" aspectratio="t"/>
                  <w10:wrap type="none"/>
                  <w10:anchorlock/>
                </v:shape>
              </w:pict>
            </w:r>
            <w:r>
              <w:rPr>
                <w:rFonts w:hint="default" w:ascii="Times New Roman" w:hAnsi="Times New Roman" w:eastAsia="宋体" w:cs="Times New Roman"/>
                <w:color w:val="auto"/>
              </w:rPr>
              <w:fldChar w:fldCharType="end"/>
            </w:r>
          </w:p>
          <w:p w14:paraId="0FDF4330">
            <w:pPr>
              <w:pStyle w:val="235"/>
              <w:keepNext w:val="0"/>
              <w:keepLines w:val="0"/>
              <w:suppressLineNumbers w:val="0"/>
              <w:adjustRightInd w:val="0"/>
              <w:spacing w:before="0" w:beforeAutospacing="0" w:after="0" w:afterAutospacing="0" w:line="360" w:lineRule="auto"/>
              <w:ind w:left="0" w:right="0"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⑦当预测点和面声源中心距离r处于以下条件时，可按下述方法近似计算：r＜a/π时，几乎不衰减（Adiv≈0）；当a/π＜r＜b/π，距离加倍衰减3 dB左右，类似线声源衰减特性Adiv≈10lg(r/r</w:t>
            </w:r>
            <w:r>
              <w:rPr>
                <w:rFonts w:hint="default" w:ascii="Times New Roman" w:hAnsi="Times New Roman" w:eastAsia="宋体" w:cs="Times New Roman"/>
                <w:color w:val="auto"/>
                <w:vertAlign w:val="subscript"/>
              </w:rPr>
              <w:t xml:space="preserve">0 </w:t>
            </w:r>
            <w:r>
              <w:rPr>
                <w:rFonts w:hint="default" w:ascii="Times New Roman" w:hAnsi="Times New Roman" w:eastAsia="宋体" w:cs="Times New Roman"/>
                <w:color w:val="auto"/>
              </w:rPr>
              <w:t>)；当r＞b/π时，距离加倍衰减趋近于6 dB，类似点声源衰减特性Adiv≈20lg(r/r</w:t>
            </w:r>
            <w:r>
              <w:rPr>
                <w:rFonts w:hint="default" w:ascii="Times New Roman" w:hAnsi="Times New Roman" w:eastAsia="宋体" w:cs="Times New Roman"/>
                <w:color w:val="auto"/>
                <w:vertAlign w:val="subscript"/>
              </w:rPr>
              <w:t>0</w:t>
            </w:r>
            <w:r>
              <w:rPr>
                <w:rFonts w:hint="default" w:ascii="Times New Roman" w:hAnsi="Times New Roman" w:eastAsia="宋体" w:cs="Times New Roman"/>
                <w:color w:val="auto"/>
              </w:rPr>
              <w:t>) 。其中面声源的b＞a。图4-2中虚线为实际衰减量。</w:t>
            </w:r>
            <w:r>
              <w:rPr>
                <w:rFonts w:hint="default" w:ascii="Times New Roman" w:hAnsi="Times New Roman" w:eastAsia="宋体" w:cs="Times New Roman"/>
                <w:color w:val="auto"/>
              </w:rPr>
              <w:pict>
                <v:group id="画布 7673" o:spid="_x0000_s8697" o:spt="203" style="height:290.1pt;width:429.85pt;" coordsize="5459095,3684268" editas="canvas">
                  <o:lock v:ext="edit"/>
                  <v:shape id="画布 7673" o:spid="_x0000_s8698" o:spt="75" type="#_x0000_t75" style="position:absolute;left:0;top:0;height:3684268;width:5459095;" filled="f" stroked="f" coordsize="21600,21600">
                    <v:path/>
                    <v:fill on="f" focussize="0,0"/>
                    <v:stroke on="f"/>
                    <v:imagedata o:title=""/>
                    <o:lock v:ext="edit" rotation="t" aspectratio="f"/>
                  </v:shape>
                  <v:rect id="矩形 7675" o:spid="_x0000_s8699" o:spt="1" style="position:absolute;left:1036320;top:3397249;height:283845;width:3320415;" fillcolor="#FFFFFF" filled="t" stroked="f" coordsize="21600,21600">
                    <v:path/>
                    <v:fill on="t" color2="#FFFFFF" focussize="0,0"/>
                    <v:stroke on="f"/>
                    <v:imagedata o:title=""/>
                    <o:lock v:ext="edit" aspectratio="f"/>
                    <v:textbox>
                      <w:txbxContent>
                        <w:p w14:paraId="27A83945">
                          <w:pPr>
                            <w:pStyle w:val="2"/>
                            <w:tabs>
                              <w:tab w:val="left" w:pos="3611"/>
                            </w:tabs>
                            <w:spacing w:before="0" w:after="0" w:line="260" w:lineRule="auto"/>
                            <w:rPr>
                              <w:rFonts w:hint="eastAsia" w:ascii="宋体" w:hAnsi="宋体"/>
                              <w:b/>
                              <w:bCs/>
                              <w:sz w:val="24"/>
                              <w:szCs w:val="24"/>
                            </w:rPr>
                          </w:pPr>
                          <w:r>
                            <w:rPr>
                              <w:rFonts w:hint="eastAsia" w:ascii="宋体" w:hAnsi="宋体"/>
                              <w:b/>
                              <w:bCs/>
                              <w:sz w:val="24"/>
                              <w:szCs w:val="24"/>
                            </w:rPr>
                            <w:t>图4-</w:t>
                          </w:r>
                          <w:r>
                            <w:rPr>
                              <w:rFonts w:hint="eastAsia" w:ascii="宋体" w:hAnsi="宋体"/>
                              <w:b/>
                              <w:bCs/>
                              <w:sz w:val="24"/>
                              <w:szCs w:val="24"/>
                              <w:lang w:val="en-US" w:eastAsia="zh-CN"/>
                            </w:rPr>
                            <w:t>3</w:t>
                          </w:r>
                          <w:r>
                            <w:rPr>
                              <w:rFonts w:hint="eastAsia" w:ascii="宋体" w:hAnsi="宋体"/>
                              <w:b/>
                              <w:bCs/>
                              <w:sz w:val="24"/>
                              <w:szCs w:val="24"/>
                            </w:rPr>
                            <w:t xml:space="preserve">  </w:t>
                          </w:r>
                          <w:r>
                            <w:rPr>
                              <w:rFonts w:hint="eastAsia" w:ascii="宋体" w:hAnsi="宋体"/>
                              <w:b/>
                              <w:bCs/>
                              <w:spacing w:val="-3"/>
                              <w:sz w:val="24"/>
                              <w:szCs w:val="24"/>
                            </w:rPr>
                            <w:t>长</w:t>
                          </w:r>
                          <w:r>
                            <w:rPr>
                              <w:rFonts w:hint="eastAsia" w:ascii="宋体" w:hAnsi="宋体"/>
                              <w:b/>
                              <w:bCs/>
                              <w:sz w:val="24"/>
                              <w:szCs w:val="24"/>
                            </w:rPr>
                            <w:t>方</w:t>
                          </w:r>
                          <w:r>
                            <w:rPr>
                              <w:rFonts w:hint="eastAsia" w:ascii="宋体" w:hAnsi="宋体"/>
                              <w:b/>
                              <w:bCs/>
                              <w:spacing w:val="-3"/>
                              <w:sz w:val="24"/>
                              <w:szCs w:val="24"/>
                            </w:rPr>
                            <w:t>形</w:t>
                          </w:r>
                          <w:r>
                            <w:rPr>
                              <w:rFonts w:hint="eastAsia" w:ascii="宋体" w:hAnsi="宋体"/>
                              <w:b/>
                              <w:bCs/>
                              <w:sz w:val="24"/>
                              <w:szCs w:val="24"/>
                            </w:rPr>
                            <w:t>面</w:t>
                          </w:r>
                          <w:r>
                            <w:rPr>
                              <w:rFonts w:hint="eastAsia" w:ascii="宋体" w:hAnsi="宋体"/>
                              <w:b/>
                              <w:bCs/>
                              <w:spacing w:val="-3"/>
                              <w:sz w:val="24"/>
                              <w:szCs w:val="24"/>
                            </w:rPr>
                            <w:t>声</w:t>
                          </w:r>
                          <w:r>
                            <w:rPr>
                              <w:rFonts w:hint="eastAsia" w:ascii="宋体" w:hAnsi="宋体"/>
                              <w:b/>
                              <w:bCs/>
                              <w:sz w:val="24"/>
                              <w:szCs w:val="24"/>
                            </w:rPr>
                            <w:t>源</w:t>
                          </w:r>
                          <w:r>
                            <w:rPr>
                              <w:rFonts w:hint="eastAsia" w:ascii="宋体" w:hAnsi="宋体"/>
                              <w:b/>
                              <w:bCs/>
                              <w:spacing w:val="-3"/>
                              <w:sz w:val="24"/>
                              <w:szCs w:val="24"/>
                            </w:rPr>
                            <w:t>中</w:t>
                          </w:r>
                          <w:r>
                            <w:rPr>
                              <w:rFonts w:hint="eastAsia" w:ascii="宋体" w:hAnsi="宋体"/>
                              <w:b/>
                              <w:bCs/>
                              <w:sz w:val="24"/>
                              <w:szCs w:val="24"/>
                            </w:rPr>
                            <w:t>心轴</w:t>
                          </w:r>
                          <w:r>
                            <w:rPr>
                              <w:rFonts w:hint="eastAsia" w:ascii="宋体" w:hAnsi="宋体"/>
                              <w:b/>
                              <w:bCs/>
                              <w:spacing w:val="-3"/>
                              <w:sz w:val="24"/>
                              <w:szCs w:val="24"/>
                            </w:rPr>
                            <w:t>线</w:t>
                          </w:r>
                          <w:r>
                            <w:rPr>
                              <w:rFonts w:hint="eastAsia" w:ascii="宋体" w:hAnsi="宋体"/>
                              <w:b/>
                              <w:bCs/>
                              <w:sz w:val="24"/>
                              <w:szCs w:val="24"/>
                            </w:rPr>
                            <w:t>上</w:t>
                          </w:r>
                          <w:r>
                            <w:rPr>
                              <w:rFonts w:hint="eastAsia" w:ascii="宋体" w:hAnsi="宋体"/>
                              <w:b/>
                              <w:bCs/>
                              <w:spacing w:val="-3"/>
                              <w:sz w:val="24"/>
                              <w:szCs w:val="24"/>
                            </w:rPr>
                            <w:t>的</w:t>
                          </w:r>
                          <w:r>
                            <w:rPr>
                              <w:rFonts w:hint="eastAsia" w:ascii="宋体" w:hAnsi="宋体"/>
                              <w:b/>
                              <w:bCs/>
                              <w:sz w:val="24"/>
                              <w:szCs w:val="24"/>
                            </w:rPr>
                            <w:t>衰</w:t>
                          </w:r>
                          <w:r>
                            <w:rPr>
                              <w:rFonts w:hint="eastAsia" w:ascii="宋体" w:hAnsi="宋体"/>
                              <w:b/>
                              <w:bCs/>
                              <w:spacing w:val="-3"/>
                              <w:sz w:val="24"/>
                              <w:szCs w:val="24"/>
                            </w:rPr>
                            <w:t>减</w:t>
                          </w:r>
                          <w:r>
                            <w:rPr>
                              <w:rFonts w:hint="eastAsia" w:ascii="宋体" w:hAnsi="宋体"/>
                              <w:b/>
                              <w:bCs/>
                              <w:sz w:val="24"/>
                              <w:szCs w:val="24"/>
                            </w:rPr>
                            <w:t>特性</w:t>
                          </w:r>
                        </w:p>
                        <w:p w14:paraId="7854672C"/>
                      </w:txbxContent>
                    </v:textbox>
                  </v:rect>
                  <v:shape id="图片 7" o:spid="_x0000_s8700" o:spt="75" type="#_x0000_t75" style="position:absolute;left:38100;top:0;height:3298825;width:5190490;" filled="f" o:preferrelative="t" stroked="f" coordsize="21600,21600" o:gfxdata="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CqJg6+tgAAACEBAAAZAAAAZHJzL19yZWxzL2Uyb0RvYy54bWwucmVsc4WPQWrDMBBF94XcQcw+&#10;lp1FKMWyN6HgbUgOMEhjWcQaCUkt9e0jyCaBQJfzP/89ph///Cp+KWUXWEHXtCCIdTCOrYLr5Xv/&#10;CSIXZINrYFKwUYZx2H30Z1qx1FFeXMyiUjgrWEqJX1JmvZDH3IRIXJs5JI+lnsnKiPqGluShbY8y&#10;PTNgeGGKyShIk+lAXLZYzf+zwzw7TaegfzxxeaOQzld3BWKyVBR4Mg4fYddEtiCHXr48NtwB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">
                    <v:path/>
                    <v:fill on="f" focussize="0,0"/>
                    <v:stroke on="f"/>
                    <v:imagedata r:id="rId30" o:title=""/>
                    <o:lock v:ext="edit" aspectratio="t"/>
                  </v:shape>
                  <w10:wrap type="none"/>
                  <w10:anchorlock/>
                </v:group>
              </w:pict>
            </w:r>
          </w:p>
          <w:p w14:paraId="5C96E33F">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⑧由各倍频带声压级合成计算该声源产生的A声级Leq(A)。</w:t>
            </w:r>
          </w:p>
          <w:p w14:paraId="303DFF79">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1）计算总声压级</w:t>
            </w:r>
          </w:p>
          <w:p w14:paraId="6BF2EF96">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设第i个室外声源在预测点产生的A声级为LAin</w:t>
            </w:r>
            <w:r>
              <w:rPr>
                <w:rFonts w:hint="eastAsia" w:cs="Times New Roman"/>
                <w:color w:val="auto"/>
                <w:lang w:eastAsia="zh-CN"/>
              </w:rPr>
              <w:t>，</w:t>
            </w:r>
            <w:r>
              <w:rPr>
                <w:rFonts w:hint="default" w:ascii="Times New Roman" w:hAnsi="Times New Roman" w:eastAsia="宋体" w:cs="Times New Roman"/>
                <w:color w:val="auto"/>
              </w:rPr>
              <w:t>i，在T时间内该声源工作时间为tin</w:t>
            </w:r>
            <w:r>
              <w:rPr>
                <w:rFonts w:hint="eastAsia" w:cs="Times New Roman"/>
                <w:color w:val="auto"/>
                <w:lang w:eastAsia="zh-CN"/>
              </w:rPr>
              <w:t>，</w:t>
            </w:r>
            <w:r>
              <w:rPr>
                <w:rFonts w:hint="default" w:ascii="Times New Roman" w:hAnsi="Times New Roman" w:eastAsia="宋体" w:cs="Times New Roman"/>
                <w:color w:val="auto"/>
              </w:rPr>
              <w:t>i；第j个等效室外声源在预测点产生的A声级为LAout</w:t>
            </w:r>
            <w:r>
              <w:rPr>
                <w:rFonts w:hint="eastAsia" w:cs="Times New Roman"/>
                <w:color w:val="auto"/>
                <w:lang w:eastAsia="zh-CN"/>
              </w:rPr>
              <w:t>，</w:t>
            </w:r>
            <w:r>
              <w:rPr>
                <w:rFonts w:hint="default" w:ascii="Times New Roman" w:hAnsi="Times New Roman" w:eastAsia="宋体" w:cs="Times New Roman"/>
                <w:color w:val="auto"/>
              </w:rPr>
              <w:t>j，在T时间内该声源工作时间为tout</w:t>
            </w:r>
            <w:r>
              <w:rPr>
                <w:rFonts w:hint="eastAsia" w:cs="Times New Roman"/>
                <w:color w:val="auto"/>
                <w:lang w:eastAsia="zh-CN"/>
              </w:rPr>
              <w:t>，</w:t>
            </w:r>
            <w:r>
              <w:rPr>
                <w:rFonts w:hint="default" w:ascii="Times New Roman" w:hAnsi="Times New Roman" w:eastAsia="宋体" w:cs="Times New Roman"/>
                <w:color w:val="auto"/>
              </w:rPr>
              <w:t>j，则预测点的总等效声级为：</w:t>
            </w:r>
          </w:p>
          <w:p w14:paraId="73C7077F">
            <w:pPr>
              <w:pStyle w:val="235"/>
              <w:keepNext w:val="0"/>
              <w:keepLines w:val="0"/>
              <w:suppressLineNumbers w:val="0"/>
              <w:adjustRightInd w:val="0"/>
              <w:spacing w:before="120" w:beforeLines="50" w:beforeAutospacing="0" w:after="120" w:afterLines="50" w:afterAutospacing="0" w:line="240" w:lineRule="auto"/>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INCLUDEPICTURE "C:\\Users\\ADMINI~1\\AppData\\Local\\Temp\\ksohtml7092\\wps19.png" \* MERGEFORMATINET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pict>
                <v:shape id="_x0000_i1032" o:spt="75" alt="wps19" type="#_x0000_t75" style="height:38.55pt;width:252.3pt;" filled="f" o:preferrelative="t" stroked="f" coordsize="21600,21600">
                  <v:path/>
                  <v:fill on="f" focussize="0,0"/>
                  <v:stroke on="f"/>
                  <v:imagedata r:id="rId31" o:title="wps19"/>
                  <o:lock v:ext="edit" aspectratio="t"/>
                  <w10:wrap type="none"/>
                  <w10:anchorlock/>
                </v:shape>
              </w:pict>
            </w:r>
            <w:r>
              <w:rPr>
                <w:rFonts w:hint="default" w:ascii="Times New Roman" w:hAnsi="Times New Roman" w:eastAsia="宋体" w:cs="Times New Roman"/>
                <w:color w:val="auto"/>
              </w:rPr>
              <w:fldChar w:fldCharType="end"/>
            </w:r>
          </w:p>
          <w:p w14:paraId="0863480A">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式中：T—计算等效声级的时间，h；</w:t>
            </w:r>
          </w:p>
          <w:p w14:paraId="5AFF68C3">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N—室外声源个数，M为等效室外声源个数。</w:t>
            </w:r>
          </w:p>
          <w:p w14:paraId="01D29A93">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将设备噪声源在厂区平面图上进行定位，利用上述的预测数字模型，将有关参数代入公式计算，预测拟建工程噪声源对各向厂界的影响。</w:t>
            </w:r>
          </w:p>
          <w:p w14:paraId="764000AB">
            <w:pPr>
              <w:pStyle w:val="63"/>
              <w:keepNext w:val="0"/>
              <w:keepLines w:val="0"/>
              <w:suppressLineNumbers w:val="0"/>
              <w:spacing w:before="0" w:beforeAutospacing="0" w:after="0" w:afterAutospacing="0"/>
              <w:ind w:left="0" w:right="0"/>
              <w:rPr>
                <w:rFonts w:hint="default" w:ascii="Times New Roman" w:hAnsi="Times New Roman" w:eastAsia="宋体" w:cs="Times New Roman"/>
                <w:color w:val="auto"/>
              </w:rPr>
            </w:pPr>
            <w:r>
              <w:rPr>
                <w:rFonts w:hint="default" w:ascii="Times New Roman" w:hAnsi="Times New Roman" w:eastAsia="宋体" w:cs="Times New Roman"/>
                <w:color w:val="auto"/>
              </w:rPr>
              <w:t>表4-</w:t>
            </w:r>
            <w:r>
              <w:rPr>
                <w:rFonts w:hint="eastAsia" w:cs="Times New Roman"/>
                <w:color w:val="auto"/>
                <w:lang w:val="en-US" w:eastAsia="zh-CN"/>
              </w:rPr>
              <w:t>17</w:t>
            </w:r>
            <w:r>
              <w:rPr>
                <w:rFonts w:hint="default" w:ascii="Times New Roman" w:hAnsi="Times New Roman" w:eastAsia="宋体" w:cs="Times New Roman"/>
                <w:color w:val="auto"/>
              </w:rPr>
              <w:t xml:space="preserve">  厂房尺寸及距</w:t>
            </w:r>
            <w:r>
              <w:rPr>
                <w:rFonts w:hint="default" w:ascii="Times New Roman" w:hAnsi="Times New Roman" w:eastAsia="宋体" w:cs="Times New Roman"/>
                <w:color w:val="auto"/>
                <w:lang w:val="en-US" w:eastAsia="zh-CN"/>
              </w:rPr>
              <w:t>大</w:t>
            </w:r>
            <w:r>
              <w:rPr>
                <w:rFonts w:hint="default" w:ascii="Times New Roman" w:hAnsi="Times New Roman" w:eastAsia="宋体" w:cs="Times New Roman"/>
                <w:color w:val="auto"/>
              </w:rPr>
              <w:t>厂界距离</w:t>
            </w:r>
          </w:p>
          <w:tbl>
            <w:tblPr>
              <w:tblStyle w:val="52"/>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8"/>
              <w:gridCol w:w="1024"/>
              <w:gridCol w:w="1024"/>
              <w:gridCol w:w="1024"/>
              <w:gridCol w:w="1020"/>
              <w:gridCol w:w="1022"/>
              <w:gridCol w:w="1022"/>
              <w:gridCol w:w="1030"/>
            </w:tblGrid>
            <w:tr w14:paraId="16296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jc w:val="center"/>
              </w:trPr>
              <w:tc>
                <w:tcPr>
                  <w:tcW w:w="826" w:type="pct"/>
                  <w:vMerge w:val="restart"/>
                  <w:noWrap/>
                  <w:vAlign w:val="center"/>
                </w:tcPr>
                <w:p w14:paraId="241609F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color w:val="auto"/>
                      <w:kern w:val="0"/>
                      <w:lang w:eastAsia="zh-CN"/>
                    </w:rPr>
                  </w:pPr>
                  <w:r>
                    <w:rPr>
                      <w:rFonts w:hint="eastAsia" w:ascii="Times New Roman" w:hAnsi="Times New Roman" w:eastAsia="宋体" w:cs="Times New Roman"/>
                      <w:b/>
                      <w:color w:val="auto"/>
                      <w:kern w:val="0"/>
                      <w:lang w:val="en-US" w:eastAsia="zh-CN"/>
                    </w:rPr>
                    <w:t>位置</w:t>
                  </w:r>
                </w:p>
              </w:tc>
              <w:tc>
                <w:tcPr>
                  <w:tcW w:w="596" w:type="pct"/>
                  <w:vMerge w:val="restart"/>
                  <w:noWrap/>
                  <w:vAlign w:val="center"/>
                </w:tcPr>
                <w:p w14:paraId="77332A5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长（m）</w:t>
                  </w:r>
                </w:p>
              </w:tc>
              <w:tc>
                <w:tcPr>
                  <w:tcW w:w="596" w:type="pct"/>
                  <w:vMerge w:val="restart"/>
                  <w:noWrap/>
                  <w:vAlign w:val="center"/>
                </w:tcPr>
                <w:p w14:paraId="597FDCF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color w:val="auto"/>
                    </w:rPr>
                  </w:pPr>
                  <w:r>
                    <w:rPr>
                      <w:rFonts w:hint="default" w:ascii="Times New Roman" w:hAnsi="Times New Roman" w:eastAsia="宋体" w:cs="Times New Roman"/>
                      <w:b/>
                      <w:color w:val="auto"/>
                      <w:kern w:val="0"/>
                    </w:rPr>
                    <w:t>宽（m）</w:t>
                  </w:r>
                </w:p>
              </w:tc>
              <w:tc>
                <w:tcPr>
                  <w:tcW w:w="596" w:type="pct"/>
                  <w:vMerge w:val="restart"/>
                  <w:noWrap/>
                  <w:vAlign w:val="center"/>
                </w:tcPr>
                <w:p w14:paraId="79BD85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color w:val="auto"/>
                      <w:lang w:val="en-US" w:eastAsia="zh-CN"/>
                    </w:rPr>
                  </w:pPr>
                  <w:r>
                    <w:rPr>
                      <w:rFonts w:hint="default" w:ascii="Times New Roman" w:hAnsi="Times New Roman" w:eastAsia="宋体" w:cs="Times New Roman"/>
                      <w:b/>
                      <w:color w:val="auto"/>
                      <w:kern w:val="0"/>
                    </w:rPr>
                    <w:t>高（m）</w:t>
                  </w:r>
                </w:p>
              </w:tc>
              <w:tc>
                <w:tcPr>
                  <w:tcW w:w="2384" w:type="pct"/>
                  <w:gridSpan w:val="4"/>
                  <w:noWrap w:val="0"/>
                  <w:vAlign w:val="center"/>
                </w:tcPr>
                <w:p w14:paraId="5AADF9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距离大厂界距离</w:t>
                  </w:r>
                </w:p>
              </w:tc>
            </w:tr>
            <w:tr w14:paraId="2DA8C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jc w:val="center"/>
              </w:trPr>
              <w:tc>
                <w:tcPr>
                  <w:tcW w:w="826" w:type="pct"/>
                  <w:vMerge w:val="continue"/>
                  <w:noWrap/>
                  <w:vAlign w:val="center"/>
                </w:tcPr>
                <w:p w14:paraId="02E28E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color w:val="auto"/>
                      <w:kern w:val="0"/>
                    </w:rPr>
                  </w:pPr>
                </w:p>
              </w:tc>
              <w:tc>
                <w:tcPr>
                  <w:tcW w:w="596" w:type="pct"/>
                  <w:vMerge w:val="continue"/>
                  <w:noWrap/>
                  <w:vAlign w:val="center"/>
                </w:tcPr>
                <w:p w14:paraId="754C8F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color w:val="auto"/>
                    </w:rPr>
                  </w:pPr>
                </w:p>
              </w:tc>
              <w:tc>
                <w:tcPr>
                  <w:tcW w:w="596" w:type="pct"/>
                  <w:vMerge w:val="continue"/>
                  <w:noWrap/>
                  <w:vAlign w:val="center"/>
                </w:tcPr>
                <w:p w14:paraId="2C4825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color w:val="auto"/>
                      <w:kern w:val="0"/>
                    </w:rPr>
                  </w:pPr>
                </w:p>
              </w:tc>
              <w:tc>
                <w:tcPr>
                  <w:tcW w:w="596" w:type="pct"/>
                  <w:vMerge w:val="continue"/>
                  <w:noWrap/>
                  <w:vAlign w:val="center"/>
                </w:tcPr>
                <w:p w14:paraId="77A8A49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color w:val="auto"/>
                      <w:kern w:val="0"/>
                    </w:rPr>
                  </w:pPr>
                </w:p>
              </w:tc>
              <w:tc>
                <w:tcPr>
                  <w:tcW w:w="594" w:type="pct"/>
                  <w:noWrap w:val="0"/>
                  <w:vAlign w:val="center"/>
                </w:tcPr>
                <w:p w14:paraId="626CD1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jc w:val="center"/>
                    <w:textAlignment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东（m）</w:t>
                  </w:r>
                </w:p>
              </w:tc>
              <w:tc>
                <w:tcPr>
                  <w:tcW w:w="595" w:type="pct"/>
                  <w:noWrap w:val="0"/>
                  <w:vAlign w:val="center"/>
                </w:tcPr>
                <w:p w14:paraId="2F4217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jc w:val="center"/>
                    <w:textAlignment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南（m）</w:t>
                  </w:r>
                </w:p>
              </w:tc>
              <w:tc>
                <w:tcPr>
                  <w:tcW w:w="595" w:type="pct"/>
                  <w:noWrap w:val="0"/>
                  <w:vAlign w:val="center"/>
                </w:tcPr>
                <w:p w14:paraId="259CFA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jc w:val="center"/>
                    <w:textAlignment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西（m）</w:t>
                  </w:r>
                </w:p>
              </w:tc>
              <w:tc>
                <w:tcPr>
                  <w:tcW w:w="599" w:type="pct"/>
                  <w:noWrap w:val="0"/>
                  <w:vAlign w:val="center"/>
                </w:tcPr>
                <w:p w14:paraId="067BEA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jc w:val="center"/>
                    <w:textAlignment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北（m）</w:t>
                  </w:r>
                </w:p>
              </w:tc>
            </w:tr>
            <w:tr w14:paraId="6015C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jc w:val="center"/>
              </w:trPr>
              <w:tc>
                <w:tcPr>
                  <w:tcW w:w="826" w:type="pct"/>
                  <w:noWrap/>
                  <w:vAlign w:val="center"/>
                </w:tcPr>
                <w:p w14:paraId="03B128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厂房</w:t>
                  </w:r>
                </w:p>
              </w:tc>
              <w:tc>
                <w:tcPr>
                  <w:tcW w:w="596" w:type="pct"/>
                  <w:noWrap/>
                  <w:vAlign w:val="center"/>
                </w:tcPr>
                <w:p w14:paraId="60350C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55</w:t>
                  </w:r>
                </w:p>
              </w:tc>
              <w:tc>
                <w:tcPr>
                  <w:tcW w:w="596" w:type="pct"/>
                  <w:noWrap/>
                  <w:vAlign w:val="center"/>
                </w:tcPr>
                <w:p w14:paraId="312765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50</w:t>
                  </w:r>
                </w:p>
              </w:tc>
              <w:tc>
                <w:tcPr>
                  <w:tcW w:w="596" w:type="pct"/>
                  <w:noWrap/>
                  <w:vAlign w:val="center"/>
                </w:tcPr>
                <w:p w14:paraId="5D96B7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rPr>
                  </w:pPr>
                  <w:r>
                    <w:rPr>
                      <w:rFonts w:hint="eastAsia" w:ascii="Times New Roman" w:hAnsi="Times New Roman" w:cs="Times New Roman"/>
                      <w:color w:val="auto"/>
                      <w:kern w:val="0"/>
                      <w:lang w:val="en-US" w:eastAsia="zh-CN"/>
                    </w:rPr>
                    <w:t>8</w:t>
                  </w:r>
                  <w:r>
                    <w:rPr>
                      <w:rFonts w:hint="default" w:ascii="Times New Roman" w:hAnsi="Times New Roman" w:eastAsia="宋体" w:cs="Times New Roman"/>
                      <w:color w:val="auto"/>
                      <w:kern w:val="0"/>
                    </w:rPr>
                    <w:t xml:space="preserve"> </w:t>
                  </w:r>
                </w:p>
              </w:tc>
              <w:tc>
                <w:tcPr>
                  <w:tcW w:w="594" w:type="pct"/>
                  <w:noWrap w:val="0"/>
                  <w:vAlign w:val="center"/>
                </w:tcPr>
                <w:p w14:paraId="3BCB66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lang w:val="en-US"/>
                    </w:rPr>
                  </w:pPr>
                  <w:r>
                    <w:rPr>
                      <w:rFonts w:hint="eastAsia" w:ascii="Times New Roman" w:hAnsi="Times New Roman" w:cs="Times New Roman"/>
                      <w:color w:val="auto"/>
                      <w:lang w:val="en-US" w:eastAsia="zh-CN"/>
                    </w:rPr>
                    <w:t>156</w:t>
                  </w:r>
                </w:p>
              </w:tc>
              <w:tc>
                <w:tcPr>
                  <w:tcW w:w="595" w:type="pct"/>
                  <w:noWrap w:val="0"/>
                  <w:vAlign w:val="center"/>
                </w:tcPr>
                <w:p w14:paraId="6A17A6C3">
                  <w:pPr>
                    <w:keepNext w:val="0"/>
                    <w:keepLines w:val="0"/>
                    <w:suppressLineNumbers w:val="0"/>
                    <w:spacing w:before="0" w:beforeAutospacing="0" w:after="0" w:afterAutospacing="0"/>
                    <w:ind w:left="0" w:right="0"/>
                    <w:jc w:val="center"/>
                    <w:textAlignment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r>
                    <w:rPr>
                      <w:rFonts w:hint="eastAsia" w:ascii="Times New Roman" w:hAnsi="Times New Roman" w:cs="Times New Roman"/>
                      <w:color w:val="auto"/>
                      <w:lang w:val="en-US" w:eastAsia="zh-CN"/>
                    </w:rPr>
                    <w:t>0</w:t>
                  </w:r>
                </w:p>
              </w:tc>
              <w:tc>
                <w:tcPr>
                  <w:tcW w:w="595" w:type="pct"/>
                  <w:noWrap w:val="0"/>
                  <w:vAlign w:val="center"/>
                </w:tcPr>
                <w:p w14:paraId="7FF1A628">
                  <w:pPr>
                    <w:keepNext w:val="0"/>
                    <w:keepLines w:val="0"/>
                    <w:suppressLineNumbers w:val="0"/>
                    <w:spacing w:before="0" w:beforeAutospacing="0" w:after="0" w:afterAutospacing="0"/>
                    <w:ind w:left="0" w:right="0"/>
                    <w:jc w:val="center"/>
                    <w:textAlignment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250</w:t>
                  </w:r>
                </w:p>
              </w:tc>
              <w:tc>
                <w:tcPr>
                  <w:tcW w:w="599" w:type="pct"/>
                  <w:noWrap w:val="0"/>
                  <w:vAlign w:val="center"/>
                </w:tcPr>
                <w:p w14:paraId="353F4602">
                  <w:pPr>
                    <w:keepNext w:val="0"/>
                    <w:keepLines w:val="0"/>
                    <w:suppressLineNumbers w:val="0"/>
                    <w:spacing w:before="0" w:beforeAutospacing="0" w:after="0" w:afterAutospacing="0"/>
                    <w:ind w:left="0" w:right="0"/>
                    <w:jc w:val="center"/>
                    <w:textAlignment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110</w:t>
                  </w:r>
                </w:p>
              </w:tc>
            </w:tr>
          </w:tbl>
          <w:p w14:paraId="0C514B93">
            <w:pPr>
              <w:pStyle w:val="235"/>
              <w:keepNext w:val="0"/>
              <w:keepLines w:val="0"/>
              <w:suppressLineNumbers w:val="0"/>
              <w:adjustRightInd w:val="0"/>
              <w:spacing w:before="0" w:beforeAutospacing="0" w:after="0" w:afterAutospacing="0"/>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2）预测结果</w:t>
            </w:r>
          </w:p>
          <w:p w14:paraId="79324DF3">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本项目的计算声源中，所有室内源均按导则要求经过换算，等效于室外点源，并根据治理措施降噪后的声级值，再进行衰减的分布计算。根据项目设备布置情况及车间距离</w:t>
            </w:r>
            <w:r>
              <w:rPr>
                <w:rFonts w:hint="eastAsia" w:ascii="Times New Roman" w:hAnsi="Times New Roman" w:cs="Times New Roman"/>
                <w:color w:val="auto"/>
                <w:sz w:val="24"/>
                <w:lang w:eastAsia="zh-CN"/>
              </w:rPr>
              <w:t>各厂</w:t>
            </w:r>
            <w:r>
              <w:rPr>
                <w:rFonts w:hint="default" w:ascii="Times New Roman" w:hAnsi="Times New Roman" w:eastAsia="宋体" w:cs="Times New Roman"/>
                <w:color w:val="auto"/>
                <w:sz w:val="24"/>
              </w:rPr>
              <w:t>界距离，经计算，项目厂界噪声情况如下表所示：</w:t>
            </w:r>
          </w:p>
          <w:p w14:paraId="755F3852">
            <w:pPr>
              <w:pStyle w:val="63"/>
              <w:keepNext w:val="0"/>
              <w:keepLines w:val="0"/>
              <w:suppressLineNumbers w:val="0"/>
              <w:spacing w:before="0" w:beforeAutospacing="0" w:after="0" w:afterAutospacing="0"/>
              <w:ind w:left="0" w:right="0"/>
              <w:rPr>
                <w:rFonts w:hint="default" w:ascii="Times New Roman" w:hAnsi="Times New Roman" w:eastAsia="宋体" w:cs="Times New Roman"/>
                <w:color w:val="auto"/>
              </w:rPr>
            </w:pPr>
            <w:r>
              <w:rPr>
                <w:rFonts w:hint="default" w:ascii="Times New Roman" w:hAnsi="Times New Roman" w:eastAsia="宋体" w:cs="Times New Roman"/>
                <w:color w:val="auto"/>
              </w:rPr>
              <w:t>表4-</w:t>
            </w:r>
            <w:r>
              <w:rPr>
                <w:rFonts w:hint="eastAsia" w:cs="Times New Roman"/>
                <w:color w:val="auto"/>
                <w:lang w:val="en-US" w:eastAsia="zh-CN"/>
              </w:rPr>
              <w:t>18</w:t>
            </w:r>
            <w:r>
              <w:rPr>
                <w:rFonts w:hint="default" w:ascii="Times New Roman" w:hAnsi="Times New Roman" w:eastAsia="宋体" w:cs="Times New Roman"/>
                <w:color w:val="auto"/>
              </w:rPr>
              <w:t xml:space="preserve">  室内</w:t>
            </w:r>
            <w:r>
              <w:rPr>
                <w:rFonts w:hint="eastAsia" w:cs="Times New Roman"/>
                <w:color w:val="auto"/>
                <w:lang w:val="en-US" w:eastAsia="zh-CN"/>
              </w:rPr>
              <w:t>声</w:t>
            </w:r>
            <w:r>
              <w:rPr>
                <w:rFonts w:hint="default" w:ascii="Times New Roman" w:hAnsi="Times New Roman" w:eastAsia="宋体" w:cs="Times New Roman"/>
                <w:color w:val="auto"/>
              </w:rPr>
              <w:t>源至大厂界噪声贡献值预测结果    单位：dB(A)</w:t>
            </w:r>
          </w:p>
          <w:tbl>
            <w:tblPr>
              <w:tblStyle w:val="52"/>
              <w:tblW w:w="4994" w:type="pct"/>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996"/>
              <w:gridCol w:w="809"/>
              <w:gridCol w:w="841"/>
              <w:gridCol w:w="892"/>
              <w:gridCol w:w="1078"/>
              <w:gridCol w:w="1229"/>
              <w:gridCol w:w="1752"/>
              <w:gridCol w:w="980"/>
            </w:tblGrid>
            <w:tr w14:paraId="61A1BE2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06" w:hRule="atLeast"/>
                <w:jc w:val="center"/>
              </w:trPr>
              <w:tc>
                <w:tcPr>
                  <w:tcW w:w="581" w:type="pct"/>
                  <w:vMerge w:val="restart"/>
                  <w:noWrap w:val="0"/>
                  <w:vAlign w:val="center"/>
                </w:tcPr>
                <w:p w14:paraId="3E6597A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污染源</w:t>
                  </w:r>
                </w:p>
              </w:tc>
              <w:tc>
                <w:tcPr>
                  <w:tcW w:w="1482" w:type="pct"/>
                  <w:gridSpan w:val="3"/>
                  <w:noWrap w:val="0"/>
                  <w:vAlign w:val="center"/>
                </w:tcPr>
                <w:p w14:paraId="282A534A">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建筑物外噪声</w:t>
                  </w:r>
                </w:p>
              </w:tc>
              <w:tc>
                <w:tcPr>
                  <w:tcW w:w="2936" w:type="pct"/>
                  <w:gridSpan w:val="4"/>
                  <w:noWrap/>
                  <w:vAlign w:val="center"/>
                </w:tcPr>
                <w:p w14:paraId="0AB4F59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厂界噪声</w:t>
                  </w:r>
                </w:p>
              </w:tc>
            </w:tr>
            <w:tr w14:paraId="418DF5B9">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06" w:hRule="atLeast"/>
                <w:jc w:val="center"/>
              </w:trPr>
              <w:tc>
                <w:tcPr>
                  <w:tcW w:w="581" w:type="pct"/>
                  <w:vMerge w:val="continue"/>
                  <w:noWrap w:val="0"/>
                  <w:vAlign w:val="center"/>
                </w:tcPr>
                <w:p w14:paraId="653A16B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rPr>
                  </w:pPr>
                </w:p>
              </w:tc>
              <w:tc>
                <w:tcPr>
                  <w:tcW w:w="962" w:type="pct"/>
                  <w:gridSpan w:val="2"/>
                  <w:noWrap w:val="0"/>
                  <w:vAlign w:val="center"/>
                </w:tcPr>
                <w:p w14:paraId="58FA9D21">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声压级</w:t>
                  </w:r>
                </w:p>
                <w:p w14:paraId="0A71AC9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dB（A）</w:t>
                  </w:r>
                </w:p>
              </w:tc>
              <w:tc>
                <w:tcPr>
                  <w:tcW w:w="520" w:type="pct"/>
                  <w:noWrap w:val="0"/>
                  <w:vAlign w:val="center"/>
                </w:tcPr>
                <w:p w14:paraId="4F44905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建筑物外距离/m</w:t>
                  </w:r>
                </w:p>
              </w:tc>
              <w:tc>
                <w:tcPr>
                  <w:tcW w:w="628" w:type="pct"/>
                  <w:noWrap w:val="0"/>
                  <w:vAlign w:val="center"/>
                </w:tcPr>
                <w:p w14:paraId="6F1452B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围护至厂界距离/m</w:t>
                  </w:r>
                </w:p>
              </w:tc>
              <w:tc>
                <w:tcPr>
                  <w:tcW w:w="716" w:type="pct"/>
                  <w:noWrap w:val="0"/>
                  <w:vAlign w:val="center"/>
                </w:tcPr>
                <w:p w14:paraId="01EC195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lang w:val="pt-BR"/>
                    </w:rPr>
                  </w:pPr>
                  <w:r>
                    <w:rPr>
                      <w:rFonts w:hint="default" w:ascii="Times New Roman" w:hAnsi="Times New Roman" w:eastAsia="宋体" w:cs="Times New Roman"/>
                      <w:b/>
                      <w:bCs/>
                      <w:color w:val="auto"/>
                      <w:kern w:val="0"/>
                      <w:sz w:val="21"/>
                      <w:szCs w:val="21"/>
                      <w:lang w:val="pt-BR"/>
                    </w:rPr>
                    <w:t>a/</w:t>
                  </w:r>
                  <w:r>
                    <w:rPr>
                      <w:rFonts w:hint="default" w:ascii="Times New Roman" w:hAnsi="Times New Roman" w:eastAsia="宋体" w:cs="Times New Roman"/>
                      <w:b/>
                      <w:bCs/>
                      <w:color w:val="auto"/>
                      <w:kern w:val="0"/>
                      <w:sz w:val="21"/>
                      <w:szCs w:val="21"/>
                    </w:rPr>
                    <w:t>π</w:t>
                  </w:r>
                </w:p>
                <w:p w14:paraId="40794F7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lang w:val="pt-BR"/>
                    </w:rPr>
                  </w:pPr>
                  <w:r>
                    <w:rPr>
                      <w:rFonts w:hint="default" w:ascii="Times New Roman" w:hAnsi="Times New Roman" w:eastAsia="宋体" w:cs="Times New Roman"/>
                      <w:b/>
                      <w:bCs/>
                      <w:color w:val="auto"/>
                      <w:kern w:val="0"/>
                      <w:sz w:val="21"/>
                      <w:szCs w:val="21"/>
                      <w:lang w:val="pt-BR"/>
                    </w:rPr>
                    <w:t>（a</w:t>
                  </w:r>
                  <w:r>
                    <w:rPr>
                      <w:rFonts w:hint="default" w:ascii="Times New Roman" w:hAnsi="Times New Roman" w:eastAsia="宋体" w:cs="Times New Roman"/>
                      <w:b/>
                      <w:bCs/>
                      <w:color w:val="auto"/>
                      <w:kern w:val="0"/>
                      <w:sz w:val="21"/>
                      <w:szCs w:val="21"/>
                    </w:rPr>
                    <w:t>是厂房高度</w:t>
                  </w:r>
                  <w:r>
                    <w:rPr>
                      <w:rFonts w:hint="default" w:ascii="Times New Roman" w:hAnsi="Times New Roman" w:eastAsia="宋体" w:cs="Times New Roman"/>
                      <w:b/>
                      <w:bCs/>
                      <w:color w:val="auto"/>
                      <w:kern w:val="0"/>
                      <w:sz w:val="21"/>
                      <w:szCs w:val="21"/>
                      <w:lang w:val="pt-BR"/>
                    </w:rPr>
                    <w:t>）</w:t>
                  </w:r>
                </w:p>
              </w:tc>
              <w:tc>
                <w:tcPr>
                  <w:tcW w:w="1021" w:type="pct"/>
                  <w:noWrap w:val="0"/>
                  <w:vAlign w:val="center"/>
                </w:tcPr>
                <w:p w14:paraId="3F24E6F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b/π</w:t>
                  </w:r>
                </w:p>
                <w:p w14:paraId="3D9EAA6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（b是厂界所对厂房边界长度）</w:t>
                  </w:r>
                </w:p>
              </w:tc>
              <w:tc>
                <w:tcPr>
                  <w:tcW w:w="570" w:type="pct"/>
                  <w:noWrap w:val="0"/>
                  <w:vAlign w:val="center"/>
                </w:tcPr>
                <w:p w14:paraId="0A2423E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至厂界的贡献值</w:t>
                  </w:r>
                </w:p>
              </w:tc>
            </w:tr>
            <w:tr w14:paraId="2026C47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06" w:hRule="atLeast"/>
                <w:jc w:val="center"/>
              </w:trPr>
              <w:tc>
                <w:tcPr>
                  <w:tcW w:w="581" w:type="pct"/>
                  <w:vMerge w:val="restart"/>
                  <w:noWrap w:val="0"/>
                  <w:vAlign w:val="center"/>
                </w:tcPr>
                <w:p w14:paraId="73C7C7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厂房</w:t>
                  </w:r>
                </w:p>
              </w:tc>
              <w:tc>
                <w:tcPr>
                  <w:tcW w:w="472" w:type="pct"/>
                  <w:noWrap w:val="0"/>
                  <w:vAlign w:val="center"/>
                </w:tcPr>
                <w:p w14:paraId="6E50F60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E</w:t>
                  </w:r>
                </w:p>
              </w:tc>
              <w:tc>
                <w:tcPr>
                  <w:tcW w:w="841" w:type="dxa"/>
                  <w:noWrap/>
                  <w:vAlign w:val="center"/>
                </w:tcPr>
                <w:p w14:paraId="225903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 xml:space="preserve">49.7 </w:t>
                  </w:r>
                </w:p>
              </w:tc>
              <w:tc>
                <w:tcPr>
                  <w:tcW w:w="892" w:type="dxa"/>
                  <w:noWrap w:val="0"/>
                  <w:vAlign w:val="center"/>
                </w:tcPr>
                <w:p w14:paraId="1A236F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E1</w:t>
                  </w:r>
                </w:p>
              </w:tc>
              <w:tc>
                <w:tcPr>
                  <w:tcW w:w="1078" w:type="dxa"/>
                  <w:noWrap/>
                  <w:vAlign w:val="center"/>
                </w:tcPr>
                <w:p w14:paraId="243C6A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156</w:t>
                  </w:r>
                </w:p>
              </w:tc>
              <w:tc>
                <w:tcPr>
                  <w:tcW w:w="1229" w:type="dxa"/>
                  <w:noWrap/>
                  <w:vAlign w:val="center"/>
                </w:tcPr>
                <w:p w14:paraId="22E84B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 xml:space="preserve">2.5 </w:t>
                  </w:r>
                </w:p>
              </w:tc>
              <w:tc>
                <w:tcPr>
                  <w:tcW w:w="1752" w:type="dxa"/>
                  <w:noWrap/>
                  <w:vAlign w:val="center"/>
                </w:tcPr>
                <w:p w14:paraId="30EA80E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 xml:space="preserve">15.9 </w:t>
                  </w:r>
                </w:p>
              </w:tc>
              <w:tc>
                <w:tcPr>
                  <w:tcW w:w="979" w:type="dxa"/>
                  <w:noWrap/>
                  <w:vAlign w:val="center"/>
                </w:tcPr>
                <w:p w14:paraId="308554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 xml:space="preserve">21.9 </w:t>
                  </w:r>
                </w:p>
              </w:tc>
            </w:tr>
            <w:tr w14:paraId="6050A6AB">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06" w:hRule="atLeast"/>
                <w:jc w:val="center"/>
              </w:trPr>
              <w:tc>
                <w:tcPr>
                  <w:tcW w:w="581" w:type="pct"/>
                  <w:vMerge w:val="continue"/>
                  <w:noWrap w:val="0"/>
                  <w:vAlign w:val="center"/>
                </w:tcPr>
                <w:p w14:paraId="2F81D07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rPr>
                  </w:pPr>
                </w:p>
              </w:tc>
              <w:tc>
                <w:tcPr>
                  <w:tcW w:w="472" w:type="pct"/>
                  <w:noWrap w:val="0"/>
                  <w:vAlign w:val="center"/>
                </w:tcPr>
                <w:p w14:paraId="5615ECA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S</w:t>
                  </w:r>
                </w:p>
              </w:tc>
              <w:tc>
                <w:tcPr>
                  <w:tcW w:w="841" w:type="dxa"/>
                  <w:noWrap/>
                  <w:vAlign w:val="center"/>
                </w:tcPr>
                <w:p w14:paraId="202B741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 xml:space="preserve">50.0 </w:t>
                  </w:r>
                </w:p>
              </w:tc>
              <w:tc>
                <w:tcPr>
                  <w:tcW w:w="892" w:type="dxa"/>
                  <w:noWrap w:val="0"/>
                  <w:vAlign w:val="center"/>
                </w:tcPr>
                <w:p w14:paraId="3D0497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S1</w:t>
                  </w:r>
                </w:p>
              </w:tc>
              <w:tc>
                <w:tcPr>
                  <w:tcW w:w="1078" w:type="dxa"/>
                  <w:noWrap/>
                  <w:vAlign w:val="center"/>
                </w:tcPr>
                <w:p w14:paraId="74EEC2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229" w:type="dxa"/>
                  <w:noWrap/>
                  <w:vAlign w:val="center"/>
                </w:tcPr>
                <w:p w14:paraId="51D782F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 xml:space="preserve">2.5 </w:t>
                  </w:r>
                </w:p>
              </w:tc>
              <w:tc>
                <w:tcPr>
                  <w:tcW w:w="1752" w:type="dxa"/>
                  <w:noWrap/>
                  <w:vAlign w:val="center"/>
                </w:tcPr>
                <w:p w14:paraId="6DB36DD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 xml:space="preserve">17.5 </w:t>
                  </w:r>
                </w:p>
              </w:tc>
              <w:tc>
                <w:tcPr>
                  <w:tcW w:w="979" w:type="dxa"/>
                  <w:noWrap/>
                  <w:vAlign w:val="center"/>
                </w:tcPr>
                <w:p w14:paraId="6A8D9DA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 xml:space="preserve">44.1 </w:t>
                  </w:r>
                </w:p>
              </w:tc>
            </w:tr>
            <w:tr w14:paraId="097833C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06" w:hRule="atLeast"/>
                <w:jc w:val="center"/>
              </w:trPr>
              <w:tc>
                <w:tcPr>
                  <w:tcW w:w="581" w:type="pct"/>
                  <w:vMerge w:val="continue"/>
                  <w:noWrap w:val="0"/>
                  <w:vAlign w:val="center"/>
                </w:tcPr>
                <w:p w14:paraId="1E7CCE5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rPr>
                  </w:pPr>
                </w:p>
              </w:tc>
              <w:tc>
                <w:tcPr>
                  <w:tcW w:w="472" w:type="pct"/>
                  <w:noWrap w:val="0"/>
                  <w:vAlign w:val="center"/>
                </w:tcPr>
                <w:p w14:paraId="3A88753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W</w:t>
                  </w:r>
                </w:p>
              </w:tc>
              <w:tc>
                <w:tcPr>
                  <w:tcW w:w="841" w:type="dxa"/>
                  <w:noWrap/>
                  <w:vAlign w:val="center"/>
                </w:tcPr>
                <w:p w14:paraId="4A4895C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 xml:space="preserve">51.4 </w:t>
                  </w:r>
                </w:p>
              </w:tc>
              <w:tc>
                <w:tcPr>
                  <w:tcW w:w="892" w:type="dxa"/>
                  <w:noWrap w:val="0"/>
                  <w:vAlign w:val="center"/>
                </w:tcPr>
                <w:p w14:paraId="75E725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W1</w:t>
                  </w:r>
                </w:p>
              </w:tc>
              <w:tc>
                <w:tcPr>
                  <w:tcW w:w="1078" w:type="dxa"/>
                  <w:noWrap/>
                  <w:vAlign w:val="center"/>
                </w:tcPr>
                <w:p w14:paraId="1B4F91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250</w:t>
                  </w:r>
                </w:p>
              </w:tc>
              <w:tc>
                <w:tcPr>
                  <w:tcW w:w="1229" w:type="dxa"/>
                  <w:noWrap/>
                  <w:vAlign w:val="center"/>
                </w:tcPr>
                <w:p w14:paraId="08B179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 xml:space="preserve">2.5 </w:t>
                  </w:r>
                </w:p>
              </w:tc>
              <w:tc>
                <w:tcPr>
                  <w:tcW w:w="1752" w:type="dxa"/>
                  <w:noWrap/>
                  <w:vAlign w:val="center"/>
                </w:tcPr>
                <w:p w14:paraId="6A527CF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 xml:space="preserve">15.9 </w:t>
                  </w:r>
                </w:p>
              </w:tc>
              <w:tc>
                <w:tcPr>
                  <w:tcW w:w="979" w:type="dxa"/>
                  <w:noWrap/>
                  <w:vAlign w:val="center"/>
                </w:tcPr>
                <w:p w14:paraId="4A0665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 xml:space="preserve">19.5 </w:t>
                  </w:r>
                </w:p>
              </w:tc>
            </w:tr>
            <w:tr w14:paraId="24DA16D7">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06" w:hRule="atLeast"/>
                <w:jc w:val="center"/>
              </w:trPr>
              <w:tc>
                <w:tcPr>
                  <w:tcW w:w="581" w:type="pct"/>
                  <w:vMerge w:val="continue"/>
                  <w:noWrap w:val="0"/>
                  <w:vAlign w:val="center"/>
                </w:tcPr>
                <w:p w14:paraId="279DB07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rPr>
                  </w:pPr>
                </w:p>
              </w:tc>
              <w:tc>
                <w:tcPr>
                  <w:tcW w:w="472" w:type="pct"/>
                  <w:noWrap w:val="0"/>
                  <w:vAlign w:val="center"/>
                </w:tcPr>
                <w:p w14:paraId="490D639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N</w:t>
                  </w:r>
                </w:p>
              </w:tc>
              <w:tc>
                <w:tcPr>
                  <w:tcW w:w="841" w:type="dxa"/>
                  <w:noWrap/>
                  <w:vAlign w:val="center"/>
                </w:tcPr>
                <w:p w14:paraId="29328D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 xml:space="preserve">50.2 </w:t>
                  </w:r>
                </w:p>
              </w:tc>
              <w:tc>
                <w:tcPr>
                  <w:tcW w:w="892" w:type="dxa"/>
                  <w:noWrap w:val="0"/>
                  <w:vAlign w:val="center"/>
                </w:tcPr>
                <w:p w14:paraId="0A0F55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N1</w:t>
                  </w:r>
                </w:p>
              </w:tc>
              <w:tc>
                <w:tcPr>
                  <w:tcW w:w="1078" w:type="dxa"/>
                  <w:noWrap/>
                  <w:vAlign w:val="center"/>
                </w:tcPr>
                <w:p w14:paraId="2C1770E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110</w:t>
                  </w:r>
                </w:p>
              </w:tc>
              <w:tc>
                <w:tcPr>
                  <w:tcW w:w="1229" w:type="dxa"/>
                  <w:noWrap/>
                  <w:vAlign w:val="center"/>
                </w:tcPr>
                <w:p w14:paraId="2E380B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 xml:space="preserve">2.5 </w:t>
                  </w:r>
                </w:p>
              </w:tc>
              <w:tc>
                <w:tcPr>
                  <w:tcW w:w="1752" w:type="dxa"/>
                  <w:noWrap/>
                  <w:vAlign w:val="center"/>
                </w:tcPr>
                <w:p w14:paraId="794D193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 xml:space="preserve">17.5 </w:t>
                  </w:r>
                </w:p>
              </w:tc>
              <w:tc>
                <w:tcPr>
                  <w:tcW w:w="979" w:type="dxa"/>
                  <w:noWrap/>
                  <w:vAlign w:val="center"/>
                </w:tcPr>
                <w:p w14:paraId="5185EB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 xml:space="preserve">25.9 </w:t>
                  </w:r>
                </w:p>
              </w:tc>
            </w:tr>
          </w:tbl>
          <w:p w14:paraId="7CEF7B3D">
            <w:pPr>
              <w:pStyle w:val="63"/>
              <w:keepNext w:val="0"/>
              <w:keepLines w:val="0"/>
              <w:suppressLineNumbers w:val="0"/>
              <w:spacing w:before="0" w:beforeAutospacing="0" w:after="0" w:afterAutospacing="0"/>
              <w:ind w:left="0" w:right="0"/>
              <w:rPr>
                <w:rFonts w:hint="default" w:ascii="Times New Roman" w:hAnsi="Times New Roman" w:eastAsia="宋体" w:cs="Times New Roman"/>
                <w:color w:val="0000FF"/>
              </w:rPr>
            </w:pPr>
            <w:r>
              <w:rPr>
                <w:rFonts w:hint="default" w:ascii="Times New Roman" w:hAnsi="Times New Roman" w:eastAsia="宋体" w:cs="Times New Roman"/>
                <w:color w:val="auto"/>
                <w:sz w:val="21"/>
                <w:szCs w:val="21"/>
              </w:rPr>
              <w:t>表4-</w:t>
            </w:r>
            <w:r>
              <w:rPr>
                <w:rFonts w:hint="eastAsia" w:cs="Times New Roman"/>
                <w:color w:val="auto"/>
                <w:sz w:val="21"/>
                <w:szCs w:val="21"/>
                <w:lang w:val="en-US" w:eastAsia="zh-CN"/>
              </w:rPr>
              <w:t>19</w:t>
            </w:r>
            <w:r>
              <w:rPr>
                <w:rFonts w:hint="default" w:ascii="Times New Roman" w:hAnsi="Times New Roman" w:eastAsia="宋体" w:cs="Times New Roman"/>
                <w:color w:val="auto"/>
                <w:sz w:val="21"/>
                <w:szCs w:val="21"/>
              </w:rPr>
              <w:t xml:space="preserve">  室外声源至大厂界噪声贡献值预测结果    单位：dB(A)</w:t>
            </w:r>
          </w:p>
          <w:tbl>
            <w:tblPr>
              <w:tblStyle w:val="52"/>
              <w:tblW w:w="4998" w:type="pct"/>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425"/>
              <w:gridCol w:w="835"/>
              <w:gridCol w:w="639"/>
              <w:gridCol w:w="702"/>
              <w:gridCol w:w="702"/>
              <w:gridCol w:w="702"/>
              <w:gridCol w:w="704"/>
              <w:gridCol w:w="706"/>
              <w:gridCol w:w="706"/>
              <w:gridCol w:w="706"/>
              <w:gridCol w:w="709"/>
              <w:gridCol w:w="1048"/>
            </w:tblGrid>
            <w:tr w14:paraId="3E1E2CF7">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06" w:hRule="atLeast"/>
                <w:jc w:val="center"/>
              </w:trPr>
              <w:tc>
                <w:tcPr>
                  <w:tcW w:w="247" w:type="pct"/>
                  <w:vMerge w:val="restart"/>
                  <w:noWrap w:val="0"/>
                  <w:vAlign w:val="center"/>
                </w:tcPr>
                <w:p w14:paraId="1A008DD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序号</w:t>
                  </w:r>
                </w:p>
              </w:tc>
              <w:tc>
                <w:tcPr>
                  <w:tcW w:w="486" w:type="pct"/>
                  <w:vMerge w:val="restart"/>
                  <w:noWrap w:val="0"/>
                  <w:vAlign w:val="center"/>
                </w:tcPr>
                <w:p w14:paraId="521CC9C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声源</w:t>
                  </w:r>
                </w:p>
                <w:p w14:paraId="3E00A38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名称</w:t>
                  </w:r>
                </w:p>
              </w:tc>
              <w:tc>
                <w:tcPr>
                  <w:tcW w:w="372" w:type="pct"/>
                  <w:vMerge w:val="restart"/>
                  <w:noWrap/>
                  <w:vAlign w:val="center"/>
                </w:tcPr>
                <w:p w14:paraId="70341DEA">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降噪后</w:t>
                  </w:r>
                </w:p>
                <w:p w14:paraId="7D058906">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源强</w:t>
                  </w:r>
                </w:p>
              </w:tc>
              <w:tc>
                <w:tcPr>
                  <w:tcW w:w="1636" w:type="pct"/>
                  <w:gridSpan w:val="4"/>
                  <w:noWrap w:val="0"/>
                  <w:vAlign w:val="center"/>
                </w:tcPr>
                <w:p w14:paraId="204C80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距大厂界边界距离/m</w:t>
                  </w:r>
                </w:p>
              </w:tc>
              <w:tc>
                <w:tcPr>
                  <w:tcW w:w="1646" w:type="pct"/>
                  <w:gridSpan w:val="4"/>
                  <w:noWrap w:val="0"/>
                  <w:vAlign w:val="center"/>
                </w:tcPr>
                <w:p w14:paraId="4C2CB24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rPr>
                  </w:pPr>
                  <w:r>
                    <w:rPr>
                      <w:rFonts w:hint="default" w:ascii="Times New Roman" w:hAnsi="Times New Roman" w:cs="Times New Roman"/>
                      <w:b/>
                      <w:bCs/>
                      <w:color w:val="auto"/>
                      <w:kern w:val="0"/>
                      <w:sz w:val="21"/>
                      <w:szCs w:val="21"/>
                      <w:lang w:val="en-US" w:eastAsia="zh-CN"/>
                    </w:rPr>
                    <w:t>大</w:t>
                  </w:r>
                  <w:r>
                    <w:rPr>
                      <w:rFonts w:hint="default" w:ascii="Times New Roman" w:hAnsi="Times New Roman" w:eastAsia="宋体" w:cs="Times New Roman"/>
                      <w:b/>
                      <w:bCs/>
                      <w:color w:val="auto"/>
                      <w:kern w:val="0"/>
                      <w:sz w:val="21"/>
                      <w:szCs w:val="21"/>
                    </w:rPr>
                    <w:t>厂界噪声值</w:t>
                  </w:r>
                </w:p>
              </w:tc>
              <w:tc>
                <w:tcPr>
                  <w:tcW w:w="610" w:type="pct"/>
                  <w:noWrap w:val="0"/>
                  <w:vAlign w:val="center"/>
                </w:tcPr>
                <w:p w14:paraId="1793F71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bCs/>
                      <w:color w:val="auto"/>
                      <w:kern w:val="0"/>
                      <w:sz w:val="21"/>
                      <w:szCs w:val="21"/>
                      <w:lang w:val="en-US" w:eastAsia="zh-CN"/>
                    </w:rPr>
                  </w:pPr>
                  <w:r>
                    <w:rPr>
                      <w:rFonts w:hint="default" w:ascii="Times New Roman" w:hAnsi="Times New Roman" w:eastAsia="Times New Roman" w:cs="Times New Roman"/>
                      <w:b/>
                      <w:bCs/>
                      <w:color w:val="auto"/>
                      <w:kern w:val="0"/>
                      <w:sz w:val="21"/>
                      <w:szCs w:val="21"/>
                    </w:rPr>
                    <w:t>至厂界贡献值</w:t>
                  </w:r>
                </w:p>
              </w:tc>
            </w:tr>
            <w:tr w14:paraId="141429D9">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06" w:hRule="atLeast"/>
                <w:jc w:val="center"/>
              </w:trPr>
              <w:tc>
                <w:tcPr>
                  <w:tcW w:w="247" w:type="pct"/>
                  <w:vMerge w:val="continue"/>
                  <w:noWrap w:val="0"/>
                  <w:vAlign w:val="center"/>
                </w:tcPr>
                <w:p w14:paraId="24612CC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auto"/>
                      <w:kern w:val="0"/>
                      <w:sz w:val="21"/>
                      <w:szCs w:val="21"/>
                    </w:rPr>
                  </w:pPr>
                </w:p>
              </w:tc>
              <w:tc>
                <w:tcPr>
                  <w:tcW w:w="486" w:type="pct"/>
                  <w:vMerge w:val="continue"/>
                  <w:noWrap w:val="0"/>
                  <w:vAlign w:val="center"/>
                </w:tcPr>
                <w:p w14:paraId="2C2C7B7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auto"/>
                      <w:kern w:val="0"/>
                      <w:sz w:val="21"/>
                      <w:szCs w:val="21"/>
                    </w:rPr>
                  </w:pPr>
                </w:p>
              </w:tc>
              <w:tc>
                <w:tcPr>
                  <w:tcW w:w="372" w:type="pct"/>
                  <w:vMerge w:val="continue"/>
                  <w:noWrap/>
                  <w:vAlign w:val="center"/>
                </w:tcPr>
                <w:p w14:paraId="7F4DA9A5">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sz w:val="21"/>
                      <w:szCs w:val="21"/>
                    </w:rPr>
                  </w:pPr>
                </w:p>
              </w:tc>
              <w:tc>
                <w:tcPr>
                  <w:tcW w:w="408" w:type="pct"/>
                  <w:noWrap w:val="0"/>
                  <w:vAlign w:val="center"/>
                </w:tcPr>
                <w:p w14:paraId="4B28330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E</w:t>
                  </w:r>
                </w:p>
              </w:tc>
              <w:tc>
                <w:tcPr>
                  <w:tcW w:w="408" w:type="pct"/>
                  <w:noWrap w:val="0"/>
                  <w:vAlign w:val="center"/>
                </w:tcPr>
                <w:p w14:paraId="56F4374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S</w:t>
                  </w:r>
                </w:p>
              </w:tc>
              <w:tc>
                <w:tcPr>
                  <w:tcW w:w="408" w:type="pct"/>
                  <w:noWrap w:val="0"/>
                  <w:vAlign w:val="center"/>
                </w:tcPr>
                <w:p w14:paraId="7A798B2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W</w:t>
                  </w:r>
                </w:p>
              </w:tc>
              <w:tc>
                <w:tcPr>
                  <w:tcW w:w="410" w:type="pct"/>
                  <w:noWrap w:val="0"/>
                  <w:vAlign w:val="center"/>
                </w:tcPr>
                <w:p w14:paraId="2A5FBCE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N</w:t>
                  </w:r>
                </w:p>
              </w:tc>
              <w:tc>
                <w:tcPr>
                  <w:tcW w:w="411" w:type="pct"/>
                  <w:noWrap w:val="0"/>
                  <w:vAlign w:val="center"/>
                </w:tcPr>
                <w:p w14:paraId="1F828AB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E</w:t>
                  </w:r>
                </w:p>
              </w:tc>
              <w:tc>
                <w:tcPr>
                  <w:tcW w:w="411" w:type="pct"/>
                  <w:noWrap w:val="0"/>
                  <w:vAlign w:val="center"/>
                </w:tcPr>
                <w:p w14:paraId="01BF288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S</w:t>
                  </w:r>
                </w:p>
              </w:tc>
              <w:tc>
                <w:tcPr>
                  <w:tcW w:w="411" w:type="pct"/>
                  <w:noWrap w:val="0"/>
                  <w:vAlign w:val="center"/>
                </w:tcPr>
                <w:p w14:paraId="155248C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W</w:t>
                  </w:r>
                </w:p>
              </w:tc>
              <w:tc>
                <w:tcPr>
                  <w:tcW w:w="412" w:type="pct"/>
                  <w:noWrap w:val="0"/>
                  <w:vAlign w:val="center"/>
                </w:tcPr>
                <w:p w14:paraId="76948FD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N</w:t>
                  </w:r>
                </w:p>
              </w:tc>
              <w:tc>
                <w:tcPr>
                  <w:tcW w:w="610" w:type="pct"/>
                  <w:vMerge w:val="restart"/>
                  <w:noWrap w:val="0"/>
                  <w:vAlign w:val="center"/>
                </w:tcPr>
                <w:p w14:paraId="480F018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Times New Roman" w:cs="Times New Roman"/>
                      <w:color w:val="auto"/>
                      <w:kern w:val="0"/>
                      <w:sz w:val="21"/>
                      <w:szCs w:val="21"/>
                    </w:rPr>
                    <w:t>E</w:t>
                  </w:r>
                  <w:r>
                    <w:rPr>
                      <w:rFonts w:hint="eastAsia" w:ascii="Times New Roman" w:hAnsi="Times New Roman" w:eastAsia="Times New Roman" w:cs="Times New Roman"/>
                      <w:color w:val="auto"/>
                      <w:kern w:val="0"/>
                      <w:sz w:val="21"/>
                      <w:szCs w:val="21"/>
                      <w:lang w:val="en-US" w:eastAsia="zh-CN"/>
                    </w:rPr>
                    <w:t>28.2</w:t>
                  </w:r>
                  <w:r>
                    <w:rPr>
                      <w:rFonts w:hint="default" w:ascii="Times New Roman" w:hAnsi="Times New Roman" w:eastAsia="Times New Roman" w:cs="Times New Roman"/>
                      <w:color w:val="auto"/>
                      <w:kern w:val="0"/>
                      <w:sz w:val="21"/>
                      <w:szCs w:val="21"/>
                      <w:lang w:val="en-US" w:eastAsia="zh-CN"/>
                    </w:rPr>
                    <w:t>；</w:t>
                  </w:r>
                  <w:r>
                    <w:rPr>
                      <w:rFonts w:hint="default" w:ascii="Times New Roman" w:hAnsi="Times New Roman" w:eastAsia="Times New Roman" w:cs="Times New Roman"/>
                      <w:color w:val="auto"/>
                      <w:kern w:val="0"/>
                      <w:sz w:val="21"/>
                      <w:szCs w:val="21"/>
                    </w:rPr>
                    <w:t>S</w:t>
                  </w:r>
                  <w:r>
                    <w:rPr>
                      <w:rFonts w:hint="default" w:ascii="Times New Roman" w:hAnsi="Times New Roman" w:eastAsia="Times New Roman" w:cs="Times New Roman"/>
                      <w:color w:val="auto"/>
                      <w:kern w:val="0"/>
                      <w:sz w:val="21"/>
                      <w:szCs w:val="21"/>
                      <w:lang w:val="en-US" w:eastAsia="zh-CN"/>
                    </w:rPr>
                    <w:t>3</w:t>
                  </w:r>
                  <w:r>
                    <w:rPr>
                      <w:rFonts w:hint="eastAsia" w:ascii="Times New Roman" w:hAnsi="Times New Roman" w:eastAsia="Times New Roman" w:cs="Times New Roman"/>
                      <w:color w:val="auto"/>
                      <w:kern w:val="0"/>
                      <w:sz w:val="21"/>
                      <w:szCs w:val="21"/>
                      <w:lang w:val="en-US" w:eastAsia="zh-CN"/>
                    </w:rPr>
                    <w:t>4.7</w:t>
                  </w:r>
                  <w:r>
                    <w:rPr>
                      <w:rFonts w:hint="default" w:ascii="Times New Roman" w:hAnsi="Times New Roman" w:eastAsia="Times New Roman" w:cs="Times New Roman"/>
                      <w:color w:val="auto"/>
                      <w:kern w:val="0"/>
                      <w:sz w:val="21"/>
                      <w:szCs w:val="21"/>
                      <w:lang w:val="en-US" w:eastAsia="zh-CN"/>
                    </w:rPr>
                    <w:t>；</w:t>
                  </w:r>
                </w:p>
                <w:p w14:paraId="3FEC74B4">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rPr>
                  </w:pPr>
                  <w:r>
                    <w:rPr>
                      <w:rFonts w:hint="default" w:ascii="Times New Roman" w:hAnsi="Times New Roman" w:eastAsia="Times New Roman" w:cs="Times New Roman"/>
                      <w:color w:val="auto"/>
                      <w:kern w:val="0"/>
                      <w:sz w:val="21"/>
                      <w:szCs w:val="21"/>
                    </w:rPr>
                    <w:t>W</w:t>
                  </w:r>
                  <w:r>
                    <w:rPr>
                      <w:rFonts w:hint="eastAsia" w:ascii="Times New Roman" w:hAnsi="Times New Roman" w:eastAsia="Times New Roman" w:cs="Times New Roman"/>
                      <w:color w:val="auto"/>
                      <w:kern w:val="0"/>
                      <w:sz w:val="21"/>
                      <w:szCs w:val="21"/>
                      <w:lang w:val="en-US" w:eastAsia="zh-CN"/>
                    </w:rPr>
                    <w:t>21.6</w:t>
                  </w:r>
                  <w:r>
                    <w:rPr>
                      <w:rFonts w:hint="default" w:ascii="Times New Roman" w:hAnsi="Times New Roman" w:eastAsia="Times New Roman" w:cs="Times New Roman"/>
                      <w:color w:val="auto"/>
                      <w:kern w:val="0"/>
                      <w:sz w:val="21"/>
                      <w:szCs w:val="21"/>
                      <w:lang w:val="en-US" w:eastAsia="zh-CN"/>
                    </w:rPr>
                    <w:t>；</w:t>
                  </w:r>
                  <w:r>
                    <w:rPr>
                      <w:rFonts w:hint="default" w:ascii="Times New Roman" w:hAnsi="Times New Roman" w:eastAsia="Times New Roman" w:cs="Times New Roman"/>
                      <w:color w:val="auto"/>
                      <w:kern w:val="0"/>
                      <w:sz w:val="21"/>
                      <w:szCs w:val="21"/>
                    </w:rPr>
                    <w:t>N</w:t>
                  </w:r>
                  <w:r>
                    <w:rPr>
                      <w:rFonts w:hint="default" w:ascii="Times New Roman" w:hAnsi="Times New Roman" w:eastAsia="Times New Roman" w:cs="Times New Roman"/>
                      <w:color w:val="auto"/>
                      <w:kern w:val="0"/>
                      <w:sz w:val="21"/>
                      <w:szCs w:val="21"/>
                      <w:lang w:val="en-US" w:eastAsia="zh-CN"/>
                    </w:rPr>
                    <w:t>35.</w:t>
                  </w:r>
                  <w:r>
                    <w:rPr>
                      <w:rFonts w:hint="eastAsia" w:ascii="Times New Roman" w:hAnsi="Times New Roman" w:eastAsia="Times New Roman" w:cs="Times New Roman"/>
                      <w:color w:val="auto"/>
                      <w:kern w:val="0"/>
                      <w:sz w:val="21"/>
                      <w:szCs w:val="21"/>
                      <w:lang w:val="en-US" w:eastAsia="zh-CN"/>
                    </w:rPr>
                    <w:t>0</w:t>
                  </w:r>
                </w:p>
              </w:tc>
            </w:tr>
            <w:tr w14:paraId="5E1D1F0E">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06" w:hRule="atLeast"/>
                <w:jc w:val="center"/>
              </w:trPr>
              <w:tc>
                <w:tcPr>
                  <w:tcW w:w="247" w:type="pct"/>
                  <w:noWrap w:val="0"/>
                  <w:vAlign w:val="center"/>
                </w:tcPr>
                <w:p w14:paraId="635ECF7B">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1</w:t>
                  </w:r>
                </w:p>
              </w:tc>
              <w:tc>
                <w:tcPr>
                  <w:tcW w:w="486" w:type="pct"/>
                  <w:noWrap w:val="0"/>
                  <w:vAlign w:val="center"/>
                </w:tcPr>
                <w:p w14:paraId="155855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i w:val="0"/>
                      <w:iCs w:val="0"/>
                      <w:color w:val="auto"/>
                      <w:kern w:val="0"/>
                      <w:sz w:val="21"/>
                      <w:szCs w:val="21"/>
                      <w:u w:val="none"/>
                      <w:lang w:val="en-US" w:eastAsia="zh-CN" w:bidi="ar"/>
                    </w:rPr>
                    <w:t>DA001风机</w:t>
                  </w:r>
                </w:p>
              </w:tc>
              <w:tc>
                <w:tcPr>
                  <w:tcW w:w="372" w:type="pct"/>
                  <w:noWrap/>
                  <w:vAlign w:val="center"/>
                </w:tcPr>
                <w:p w14:paraId="576E965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i w:val="0"/>
                      <w:iCs w:val="0"/>
                      <w:color w:val="auto"/>
                      <w:kern w:val="0"/>
                      <w:sz w:val="21"/>
                      <w:szCs w:val="21"/>
                      <w:u w:val="none"/>
                      <w:lang w:val="en-US" w:eastAsia="zh-CN" w:bidi="ar"/>
                    </w:rPr>
                    <w:t>70</w:t>
                  </w:r>
                </w:p>
              </w:tc>
              <w:tc>
                <w:tcPr>
                  <w:tcW w:w="408" w:type="pct"/>
                  <w:noWrap w:val="0"/>
                  <w:vAlign w:val="center"/>
                </w:tcPr>
                <w:p w14:paraId="5BFF4B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128</w:t>
                  </w:r>
                </w:p>
              </w:tc>
              <w:tc>
                <w:tcPr>
                  <w:tcW w:w="408" w:type="pct"/>
                  <w:noWrap w:val="0"/>
                  <w:vAlign w:val="center"/>
                </w:tcPr>
                <w:p w14:paraId="2303290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61</w:t>
                  </w:r>
                </w:p>
              </w:tc>
              <w:tc>
                <w:tcPr>
                  <w:tcW w:w="408" w:type="pct"/>
                  <w:noWrap w:val="0"/>
                  <w:vAlign w:val="center"/>
                </w:tcPr>
                <w:p w14:paraId="63EEE3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278</w:t>
                  </w:r>
                </w:p>
              </w:tc>
              <w:tc>
                <w:tcPr>
                  <w:tcW w:w="410" w:type="pct"/>
                  <w:noWrap w:val="0"/>
                  <w:vAlign w:val="center"/>
                </w:tcPr>
                <w:p w14:paraId="4D7A67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59</w:t>
                  </w:r>
                </w:p>
              </w:tc>
              <w:tc>
                <w:tcPr>
                  <w:tcW w:w="411" w:type="pct"/>
                  <w:noWrap w:val="0"/>
                  <w:vAlign w:val="center"/>
                </w:tcPr>
                <w:p w14:paraId="12C6189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27.9 </w:t>
                  </w:r>
                </w:p>
              </w:tc>
              <w:tc>
                <w:tcPr>
                  <w:tcW w:w="411" w:type="pct"/>
                  <w:noWrap w:val="0"/>
                  <w:vAlign w:val="center"/>
                </w:tcPr>
                <w:p w14:paraId="0CF88DD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34.3 </w:t>
                  </w:r>
                </w:p>
              </w:tc>
              <w:tc>
                <w:tcPr>
                  <w:tcW w:w="411" w:type="pct"/>
                  <w:noWrap w:val="0"/>
                  <w:vAlign w:val="center"/>
                </w:tcPr>
                <w:p w14:paraId="18FFB2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21.1 </w:t>
                  </w:r>
                </w:p>
              </w:tc>
              <w:tc>
                <w:tcPr>
                  <w:tcW w:w="412" w:type="pct"/>
                  <w:noWrap w:val="0"/>
                  <w:vAlign w:val="center"/>
                </w:tcPr>
                <w:p w14:paraId="763CC0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34.6 </w:t>
                  </w:r>
                </w:p>
              </w:tc>
              <w:tc>
                <w:tcPr>
                  <w:tcW w:w="610" w:type="pct"/>
                  <w:vMerge w:val="continue"/>
                  <w:noWrap w:val="0"/>
                  <w:vAlign w:val="center"/>
                </w:tcPr>
                <w:p w14:paraId="3184D0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r>
            <w:tr w14:paraId="5675470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06" w:hRule="atLeast"/>
                <w:jc w:val="center"/>
              </w:trPr>
              <w:tc>
                <w:tcPr>
                  <w:tcW w:w="247" w:type="pct"/>
                  <w:noWrap w:val="0"/>
                  <w:vAlign w:val="center"/>
                </w:tcPr>
                <w:p w14:paraId="3DEAB3DE">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486" w:type="pct"/>
                  <w:noWrap w:val="0"/>
                  <w:vAlign w:val="center"/>
                </w:tcPr>
                <w:p w14:paraId="6D0371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DA002风机</w:t>
                  </w:r>
                </w:p>
              </w:tc>
              <w:tc>
                <w:tcPr>
                  <w:tcW w:w="372" w:type="pct"/>
                  <w:noWrap/>
                  <w:vAlign w:val="center"/>
                </w:tcPr>
                <w:p w14:paraId="6BF5E5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60</w:t>
                  </w:r>
                </w:p>
              </w:tc>
              <w:tc>
                <w:tcPr>
                  <w:tcW w:w="408" w:type="pct"/>
                  <w:noWrap w:val="0"/>
                  <w:vAlign w:val="center"/>
                </w:tcPr>
                <w:p w14:paraId="3F4C4E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141</w:t>
                  </w:r>
                </w:p>
              </w:tc>
              <w:tc>
                <w:tcPr>
                  <w:tcW w:w="408" w:type="pct"/>
                  <w:noWrap w:val="0"/>
                  <w:vAlign w:val="center"/>
                </w:tcPr>
                <w:p w14:paraId="4C4FF1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61</w:t>
                  </w:r>
                </w:p>
              </w:tc>
              <w:tc>
                <w:tcPr>
                  <w:tcW w:w="408" w:type="pct"/>
                  <w:noWrap w:val="0"/>
                  <w:vAlign w:val="center"/>
                </w:tcPr>
                <w:p w14:paraId="731371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265</w:t>
                  </w:r>
                </w:p>
              </w:tc>
              <w:tc>
                <w:tcPr>
                  <w:tcW w:w="410" w:type="pct"/>
                  <w:noWrap w:val="0"/>
                  <w:vAlign w:val="center"/>
                </w:tcPr>
                <w:p w14:paraId="5CF4188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59</w:t>
                  </w:r>
                </w:p>
              </w:tc>
              <w:tc>
                <w:tcPr>
                  <w:tcW w:w="411" w:type="pct"/>
                  <w:noWrap w:val="0"/>
                  <w:vAlign w:val="center"/>
                </w:tcPr>
                <w:p w14:paraId="1CB0691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17.0 </w:t>
                  </w:r>
                </w:p>
              </w:tc>
              <w:tc>
                <w:tcPr>
                  <w:tcW w:w="411" w:type="pct"/>
                  <w:noWrap w:val="0"/>
                  <w:vAlign w:val="center"/>
                </w:tcPr>
                <w:p w14:paraId="66BB6A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24.3 </w:t>
                  </w:r>
                </w:p>
              </w:tc>
              <w:tc>
                <w:tcPr>
                  <w:tcW w:w="411" w:type="pct"/>
                  <w:noWrap w:val="0"/>
                  <w:vAlign w:val="center"/>
                </w:tcPr>
                <w:p w14:paraId="7F87B0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11.5 </w:t>
                  </w:r>
                </w:p>
              </w:tc>
              <w:tc>
                <w:tcPr>
                  <w:tcW w:w="412" w:type="pct"/>
                  <w:noWrap w:val="0"/>
                  <w:vAlign w:val="center"/>
                </w:tcPr>
                <w:p w14:paraId="5D7A5B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24.6 </w:t>
                  </w:r>
                </w:p>
              </w:tc>
              <w:tc>
                <w:tcPr>
                  <w:tcW w:w="610" w:type="pct"/>
                  <w:vMerge w:val="continue"/>
                  <w:noWrap w:val="0"/>
                  <w:vAlign w:val="center"/>
                </w:tcPr>
                <w:p w14:paraId="1FE09D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r>
          </w:tbl>
          <w:p w14:paraId="0CD6D55C">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室内声源和室外声源至厂界噪声贡献值叠加之后的厂界噪声</w:t>
            </w:r>
            <w:r>
              <w:rPr>
                <w:rFonts w:hint="eastAsia" w:cs="Times New Roman"/>
                <w:color w:val="auto"/>
                <w:lang w:val="en-US" w:eastAsia="zh-CN"/>
              </w:rPr>
              <w:t>贡献</w:t>
            </w:r>
            <w:r>
              <w:rPr>
                <w:rFonts w:hint="default" w:ascii="Times New Roman" w:hAnsi="Times New Roman" w:eastAsia="宋体" w:cs="Times New Roman"/>
                <w:color w:val="auto"/>
              </w:rPr>
              <w:t>值如下：</w:t>
            </w:r>
          </w:p>
          <w:p w14:paraId="3208060B">
            <w:pPr>
              <w:keepNext w:val="0"/>
              <w:keepLines w:val="0"/>
              <w:suppressLineNumbers w:val="0"/>
              <w:spacing w:before="0" w:beforeAutospacing="0" w:after="0" w:afterAutospacing="0" w:line="460" w:lineRule="exact"/>
              <w:ind w:left="0" w:right="0" w:firstLine="422" w:firstLineChars="20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rPr>
              <w:t>表4-</w:t>
            </w:r>
            <w:r>
              <w:rPr>
                <w:rFonts w:hint="eastAsia" w:ascii="Times New Roman" w:hAnsi="Times New Roman" w:cs="Times New Roman"/>
                <w:b/>
                <w:bCs/>
                <w:color w:val="auto"/>
                <w:lang w:val="en-US" w:eastAsia="zh-CN"/>
              </w:rPr>
              <w:t>20</w:t>
            </w:r>
            <w:r>
              <w:rPr>
                <w:rFonts w:hint="default" w:ascii="Times New Roman" w:hAnsi="Times New Roman" w:eastAsia="宋体" w:cs="Times New Roman"/>
                <w:b/>
                <w:bCs/>
                <w:color w:val="auto"/>
              </w:rPr>
              <w:t xml:space="preserve">  大厂界噪声预测结果    单位：dB(A)</w:t>
            </w:r>
          </w:p>
          <w:tbl>
            <w:tblPr>
              <w:tblStyle w:val="52"/>
              <w:tblW w:w="4995"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81"/>
              <w:gridCol w:w="2486"/>
              <w:gridCol w:w="1377"/>
              <w:gridCol w:w="1387"/>
              <w:gridCol w:w="1841"/>
            </w:tblGrid>
            <w:tr w14:paraId="4C27E0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06" w:hRule="atLeast"/>
                <w:jc w:val="center"/>
              </w:trPr>
              <w:tc>
                <w:tcPr>
                  <w:tcW w:w="864" w:type="pct"/>
                  <w:vMerge w:val="restart"/>
                  <w:noWrap w:val="0"/>
                  <w:vAlign w:val="center"/>
                </w:tcPr>
                <w:p w14:paraId="3B55551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测点编号</w:t>
                  </w:r>
                </w:p>
              </w:tc>
              <w:tc>
                <w:tcPr>
                  <w:tcW w:w="1450" w:type="pct"/>
                  <w:vMerge w:val="restart"/>
                  <w:tcBorders>
                    <w:left w:val="single" w:color="auto" w:sz="4" w:space="0"/>
                    <w:right w:val="single" w:color="auto" w:sz="4" w:space="0"/>
                  </w:tcBorders>
                  <w:noWrap w:val="0"/>
                  <w:vAlign w:val="center"/>
                </w:tcPr>
                <w:p w14:paraId="2708F2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预测点位置</w:t>
                  </w:r>
                </w:p>
              </w:tc>
              <w:tc>
                <w:tcPr>
                  <w:tcW w:w="802" w:type="pct"/>
                  <w:tcBorders>
                    <w:left w:val="single" w:color="auto" w:sz="4" w:space="0"/>
                    <w:bottom w:val="single" w:color="auto" w:sz="4" w:space="0"/>
                    <w:right w:val="single" w:color="auto" w:sz="4" w:space="0"/>
                  </w:tcBorders>
                  <w:noWrap w:val="0"/>
                  <w:vAlign w:val="center"/>
                </w:tcPr>
                <w:p w14:paraId="191481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贡献值</w:t>
                  </w:r>
                </w:p>
              </w:tc>
              <w:tc>
                <w:tcPr>
                  <w:tcW w:w="808" w:type="pct"/>
                  <w:tcBorders>
                    <w:left w:val="single" w:color="auto" w:sz="4" w:space="0"/>
                    <w:bottom w:val="single" w:color="auto" w:sz="4" w:space="0"/>
                    <w:right w:val="single" w:color="auto" w:sz="4" w:space="0"/>
                  </w:tcBorders>
                  <w:noWrap w:val="0"/>
                  <w:vAlign w:val="center"/>
                </w:tcPr>
                <w:p w14:paraId="350F76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标准值</w:t>
                  </w:r>
                </w:p>
              </w:tc>
              <w:tc>
                <w:tcPr>
                  <w:tcW w:w="1074" w:type="pct"/>
                  <w:vMerge w:val="restart"/>
                  <w:tcBorders>
                    <w:left w:val="single" w:color="auto" w:sz="4" w:space="0"/>
                    <w:right w:val="single" w:color="auto" w:sz="4" w:space="0"/>
                  </w:tcBorders>
                  <w:noWrap w:val="0"/>
                  <w:vAlign w:val="center"/>
                </w:tcPr>
                <w:p w14:paraId="282AD3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b/>
                      <w:bCs/>
                      <w:color w:val="auto"/>
                      <w:sz w:val="21"/>
                      <w:szCs w:val="21"/>
                    </w:rPr>
                    <w:t>达标情况</w:t>
                  </w:r>
                </w:p>
              </w:tc>
            </w:tr>
            <w:tr w14:paraId="413E52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864" w:type="pct"/>
                  <w:vMerge w:val="continue"/>
                  <w:noWrap w:val="0"/>
                  <w:vAlign w:val="center"/>
                </w:tcPr>
                <w:p w14:paraId="62A44DF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b/>
                      <w:bCs/>
                      <w:color w:val="auto"/>
                      <w:sz w:val="21"/>
                      <w:szCs w:val="21"/>
                    </w:rPr>
                  </w:pPr>
                </w:p>
              </w:tc>
              <w:tc>
                <w:tcPr>
                  <w:tcW w:w="1450" w:type="pct"/>
                  <w:vMerge w:val="continue"/>
                  <w:tcBorders>
                    <w:left w:val="single" w:color="auto" w:sz="4" w:space="0"/>
                    <w:right w:val="single" w:color="auto" w:sz="4" w:space="0"/>
                  </w:tcBorders>
                  <w:noWrap w:val="0"/>
                  <w:vAlign w:val="center"/>
                </w:tcPr>
                <w:p w14:paraId="4806B5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b/>
                      <w:bCs/>
                      <w:color w:val="auto"/>
                      <w:sz w:val="21"/>
                      <w:szCs w:val="21"/>
                    </w:rPr>
                  </w:pPr>
                </w:p>
              </w:tc>
              <w:tc>
                <w:tcPr>
                  <w:tcW w:w="802" w:type="pct"/>
                  <w:tcBorders>
                    <w:top w:val="single" w:color="auto" w:sz="4" w:space="0"/>
                    <w:left w:val="single" w:color="auto" w:sz="4" w:space="0"/>
                    <w:right w:val="single" w:color="auto" w:sz="4" w:space="0"/>
                  </w:tcBorders>
                  <w:noWrap w:val="0"/>
                  <w:vAlign w:val="center"/>
                </w:tcPr>
                <w:p w14:paraId="5F90748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昼间</w:t>
                  </w:r>
                </w:p>
              </w:tc>
              <w:tc>
                <w:tcPr>
                  <w:tcW w:w="808" w:type="pct"/>
                  <w:tcBorders>
                    <w:top w:val="single" w:color="auto" w:sz="4" w:space="0"/>
                    <w:left w:val="single" w:color="auto" w:sz="4" w:space="0"/>
                    <w:bottom w:val="single" w:color="auto" w:sz="4" w:space="0"/>
                    <w:right w:val="single" w:color="auto" w:sz="4" w:space="0"/>
                  </w:tcBorders>
                  <w:noWrap w:val="0"/>
                  <w:vAlign w:val="center"/>
                </w:tcPr>
                <w:p w14:paraId="3FCD31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b/>
                      <w:bCs/>
                      <w:color w:val="auto"/>
                      <w:sz w:val="21"/>
                      <w:szCs w:val="21"/>
                    </w:rPr>
                  </w:pPr>
                  <w:r>
                    <w:rPr>
                      <w:rFonts w:hint="default" w:ascii="Times New Roman" w:hAnsi="Times New Roman" w:eastAsia="Times New Roman" w:cs="Times New Roman"/>
                      <w:b/>
                      <w:bCs/>
                      <w:color w:val="auto"/>
                      <w:sz w:val="21"/>
                      <w:szCs w:val="21"/>
                    </w:rPr>
                    <w:t>昼间</w:t>
                  </w:r>
                </w:p>
              </w:tc>
              <w:tc>
                <w:tcPr>
                  <w:tcW w:w="1074" w:type="pct"/>
                  <w:vMerge w:val="continue"/>
                  <w:tcBorders>
                    <w:left w:val="single" w:color="auto" w:sz="4" w:space="0"/>
                    <w:bottom w:val="single" w:color="auto" w:sz="4" w:space="0"/>
                    <w:right w:val="single" w:color="auto" w:sz="4" w:space="0"/>
                  </w:tcBorders>
                  <w:noWrap w:val="0"/>
                  <w:vAlign w:val="center"/>
                </w:tcPr>
                <w:p w14:paraId="4932A7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p>
              </w:tc>
            </w:tr>
            <w:tr w14:paraId="102081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864" w:type="pct"/>
                  <w:noWrap w:val="0"/>
                  <w:vAlign w:val="center"/>
                </w:tcPr>
                <w:p w14:paraId="357819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1#</w:t>
                  </w:r>
                </w:p>
              </w:tc>
              <w:tc>
                <w:tcPr>
                  <w:tcW w:w="1450" w:type="pct"/>
                  <w:tcBorders>
                    <w:left w:val="single" w:color="auto" w:sz="4" w:space="0"/>
                    <w:right w:val="single" w:color="auto" w:sz="4" w:space="0"/>
                  </w:tcBorders>
                  <w:noWrap w:val="0"/>
                  <w:vAlign w:val="center"/>
                </w:tcPr>
                <w:p w14:paraId="5014BFAA">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lang w:val="en-US" w:eastAsia="zh-CN"/>
                    </w:rPr>
                    <w:t>大</w:t>
                  </w:r>
                  <w:r>
                    <w:rPr>
                      <w:rFonts w:hint="default" w:ascii="Times New Roman" w:hAnsi="Times New Roman" w:eastAsia="Times New Roman" w:cs="Times New Roman"/>
                      <w:color w:val="auto"/>
                      <w:sz w:val="21"/>
                      <w:szCs w:val="21"/>
                    </w:rPr>
                    <w:t>厂界东1m处</w:t>
                  </w:r>
                </w:p>
              </w:tc>
              <w:tc>
                <w:tcPr>
                  <w:tcW w:w="802" w:type="pct"/>
                  <w:tcBorders>
                    <w:left w:val="single" w:color="auto" w:sz="4" w:space="0"/>
                    <w:right w:val="single" w:color="auto" w:sz="4" w:space="0"/>
                  </w:tcBorders>
                  <w:noWrap w:val="0"/>
                  <w:vAlign w:val="center"/>
                </w:tcPr>
                <w:p w14:paraId="303C98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49.7 </w:t>
                  </w:r>
                </w:p>
              </w:tc>
              <w:tc>
                <w:tcPr>
                  <w:tcW w:w="808" w:type="pct"/>
                  <w:tcBorders>
                    <w:left w:val="single" w:color="auto" w:sz="4" w:space="0"/>
                    <w:right w:val="single" w:color="auto" w:sz="4" w:space="0"/>
                  </w:tcBorders>
                  <w:noWrap w:val="0"/>
                  <w:vAlign w:val="center"/>
                </w:tcPr>
                <w:p w14:paraId="4CD2AE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Times New Roman" w:cs="Times New Roman"/>
                      <w:color w:val="auto"/>
                      <w:sz w:val="21"/>
                      <w:szCs w:val="21"/>
                      <w:lang w:val="en-US"/>
                    </w:rPr>
                  </w:pPr>
                  <w:r>
                    <w:rPr>
                      <w:rFonts w:hint="eastAsia" w:ascii="Times New Roman" w:hAnsi="Times New Roman" w:cs="Times New Roman"/>
                      <w:i w:val="0"/>
                      <w:iCs w:val="0"/>
                      <w:color w:val="auto"/>
                      <w:kern w:val="0"/>
                      <w:sz w:val="21"/>
                      <w:szCs w:val="21"/>
                      <w:u w:val="none"/>
                      <w:lang w:val="en-US" w:eastAsia="zh-CN" w:bidi="ar"/>
                    </w:rPr>
                    <w:t>65</w:t>
                  </w:r>
                </w:p>
              </w:tc>
              <w:tc>
                <w:tcPr>
                  <w:tcW w:w="1074" w:type="pct"/>
                  <w:tcBorders>
                    <w:left w:val="single" w:color="auto" w:sz="4" w:space="0"/>
                    <w:right w:val="single" w:color="auto" w:sz="4" w:space="0"/>
                  </w:tcBorders>
                  <w:noWrap w:val="0"/>
                  <w:vAlign w:val="center"/>
                </w:tcPr>
                <w:p w14:paraId="754B10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达标</w:t>
                  </w:r>
                </w:p>
              </w:tc>
            </w:tr>
            <w:tr w14:paraId="63632C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864" w:type="pct"/>
                  <w:noWrap w:val="0"/>
                  <w:vAlign w:val="center"/>
                </w:tcPr>
                <w:p w14:paraId="1116371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2#</w:t>
                  </w:r>
                </w:p>
              </w:tc>
              <w:tc>
                <w:tcPr>
                  <w:tcW w:w="1450" w:type="pct"/>
                  <w:tcBorders>
                    <w:left w:val="single" w:color="auto" w:sz="4" w:space="0"/>
                    <w:right w:val="single" w:color="auto" w:sz="4" w:space="0"/>
                  </w:tcBorders>
                  <w:noWrap w:val="0"/>
                  <w:vAlign w:val="center"/>
                </w:tcPr>
                <w:p w14:paraId="75791B54">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lang w:val="en-US" w:eastAsia="zh-CN"/>
                    </w:rPr>
                    <w:t>大</w:t>
                  </w:r>
                  <w:r>
                    <w:rPr>
                      <w:rFonts w:hint="default" w:ascii="Times New Roman" w:hAnsi="Times New Roman" w:eastAsia="Times New Roman" w:cs="Times New Roman"/>
                      <w:color w:val="auto"/>
                      <w:sz w:val="21"/>
                      <w:szCs w:val="21"/>
                    </w:rPr>
                    <w:t>厂界南1m处</w:t>
                  </w:r>
                </w:p>
              </w:tc>
              <w:tc>
                <w:tcPr>
                  <w:tcW w:w="802" w:type="pct"/>
                  <w:tcBorders>
                    <w:left w:val="single" w:color="auto" w:sz="4" w:space="0"/>
                    <w:right w:val="single" w:color="auto" w:sz="4" w:space="0"/>
                  </w:tcBorders>
                  <w:noWrap w:val="0"/>
                  <w:vAlign w:val="center"/>
                </w:tcPr>
                <w:p w14:paraId="0351FE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50.1 </w:t>
                  </w:r>
                </w:p>
              </w:tc>
              <w:tc>
                <w:tcPr>
                  <w:tcW w:w="808" w:type="pct"/>
                  <w:tcBorders>
                    <w:left w:val="single" w:color="auto" w:sz="4" w:space="0"/>
                    <w:right w:val="single" w:color="auto" w:sz="4" w:space="0"/>
                  </w:tcBorders>
                  <w:noWrap w:val="0"/>
                  <w:vAlign w:val="center"/>
                </w:tcPr>
                <w:p w14:paraId="3022F4C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Times New Roman" w:cs="Times New Roman"/>
                      <w:color w:val="auto"/>
                      <w:sz w:val="21"/>
                      <w:szCs w:val="21"/>
                    </w:rPr>
                  </w:pPr>
                  <w:r>
                    <w:rPr>
                      <w:rFonts w:hint="eastAsia" w:ascii="Times New Roman" w:hAnsi="Times New Roman" w:cs="Times New Roman"/>
                      <w:i w:val="0"/>
                      <w:iCs w:val="0"/>
                      <w:color w:val="auto"/>
                      <w:kern w:val="0"/>
                      <w:sz w:val="21"/>
                      <w:szCs w:val="21"/>
                      <w:u w:val="none"/>
                      <w:lang w:val="en-US" w:eastAsia="zh-CN" w:bidi="ar"/>
                    </w:rPr>
                    <w:t>65</w:t>
                  </w:r>
                </w:p>
              </w:tc>
              <w:tc>
                <w:tcPr>
                  <w:tcW w:w="1074" w:type="pct"/>
                  <w:tcBorders>
                    <w:left w:val="single" w:color="auto" w:sz="4" w:space="0"/>
                    <w:right w:val="single" w:color="auto" w:sz="4" w:space="0"/>
                  </w:tcBorders>
                  <w:noWrap w:val="0"/>
                  <w:vAlign w:val="center"/>
                </w:tcPr>
                <w:p w14:paraId="3CAD54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达标</w:t>
                  </w:r>
                </w:p>
              </w:tc>
            </w:tr>
            <w:tr w14:paraId="74537A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864" w:type="pct"/>
                  <w:noWrap w:val="0"/>
                  <w:vAlign w:val="center"/>
                </w:tcPr>
                <w:p w14:paraId="7852760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3#</w:t>
                  </w:r>
                </w:p>
              </w:tc>
              <w:tc>
                <w:tcPr>
                  <w:tcW w:w="1450" w:type="pct"/>
                  <w:tcBorders>
                    <w:left w:val="single" w:color="auto" w:sz="4" w:space="0"/>
                    <w:right w:val="single" w:color="auto" w:sz="4" w:space="0"/>
                  </w:tcBorders>
                  <w:noWrap w:val="0"/>
                  <w:vAlign w:val="center"/>
                </w:tcPr>
                <w:p w14:paraId="76933085">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lang w:val="en-US" w:eastAsia="zh-CN"/>
                    </w:rPr>
                    <w:t>大</w:t>
                  </w:r>
                  <w:r>
                    <w:rPr>
                      <w:rFonts w:hint="default" w:ascii="Times New Roman" w:hAnsi="Times New Roman" w:eastAsia="Times New Roman" w:cs="Times New Roman"/>
                      <w:color w:val="auto"/>
                      <w:sz w:val="21"/>
                      <w:szCs w:val="21"/>
                    </w:rPr>
                    <w:t>厂界西1m处</w:t>
                  </w:r>
                </w:p>
              </w:tc>
              <w:tc>
                <w:tcPr>
                  <w:tcW w:w="802" w:type="pct"/>
                  <w:tcBorders>
                    <w:left w:val="single" w:color="auto" w:sz="4" w:space="0"/>
                    <w:right w:val="single" w:color="auto" w:sz="4" w:space="0"/>
                  </w:tcBorders>
                  <w:noWrap w:val="0"/>
                  <w:vAlign w:val="center"/>
                </w:tcPr>
                <w:p w14:paraId="40A444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51.4 </w:t>
                  </w:r>
                </w:p>
              </w:tc>
              <w:tc>
                <w:tcPr>
                  <w:tcW w:w="808" w:type="pct"/>
                  <w:tcBorders>
                    <w:left w:val="single" w:color="auto" w:sz="4" w:space="0"/>
                    <w:right w:val="single" w:color="auto" w:sz="4" w:space="0"/>
                  </w:tcBorders>
                  <w:noWrap w:val="0"/>
                  <w:vAlign w:val="center"/>
                </w:tcPr>
                <w:p w14:paraId="5FCBFD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Times New Roman" w:cs="Times New Roman"/>
                      <w:color w:val="auto"/>
                      <w:sz w:val="21"/>
                      <w:szCs w:val="21"/>
                    </w:rPr>
                  </w:pPr>
                  <w:r>
                    <w:rPr>
                      <w:rFonts w:hint="eastAsia" w:ascii="Times New Roman" w:hAnsi="Times New Roman" w:cs="Times New Roman"/>
                      <w:i w:val="0"/>
                      <w:iCs w:val="0"/>
                      <w:color w:val="auto"/>
                      <w:kern w:val="0"/>
                      <w:sz w:val="21"/>
                      <w:szCs w:val="21"/>
                      <w:u w:val="none"/>
                      <w:lang w:val="en-US" w:eastAsia="zh-CN" w:bidi="ar"/>
                    </w:rPr>
                    <w:t>65</w:t>
                  </w:r>
                </w:p>
              </w:tc>
              <w:tc>
                <w:tcPr>
                  <w:tcW w:w="1074" w:type="pct"/>
                  <w:tcBorders>
                    <w:left w:val="single" w:color="auto" w:sz="4" w:space="0"/>
                    <w:right w:val="single" w:color="auto" w:sz="4" w:space="0"/>
                  </w:tcBorders>
                  <w:noWrap w:val="0"/>
                  <w:vAlign w:val="center"/>
                </w:tcPr>
                <w:p w14:paraId="7D5585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达标</w:t>
                  </w:r>
                </w:p>
              </w:tc>
            </w:tr>
            <w:tr w14:paraId="18F5AC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864" w:type="pct"/>
                  <w:noWrap w:val="0"/>
                  <w:vAlign w:val="center"/>
                </w:tcPr>
                <w:p w14:paraId="4FBA89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4#</w:t>
                  </w:r>
                </w:p>
              </w:tc>
              <w:tc>
                <w:tcPr>
                  <w:tcW w:w="1450" w:type="pct"/>
                  <w:tcBorders>
                    <w:left w:val="single" w:color="auto" w:sz="4" w:space="0"/>
                    <w:right w:val="single" w:color="auto" w:sz="4" w:space="0"/>
                  </w:tcBorders>
                  <w:noWrap w:val="0"/>
                  <w:vAlign w:val="center"/>
                </w:tcPr>
                <w:p w14:paraId="45AC16A7">
                  <w:pPr>
                    <w:keepNext w:val="0"/>
                    <w:keepLines w:val="0"/>
                    <w:suppressLineNumbers w:val="0"/>
                    <w:spacing w:before="0" w:beforeAutospacing="0" w:after="0" w:afterAutospacing="0" w:line="240" w:lineRule="auto"/>
                    <w:ind w:left="0" w:right="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lang w:val="en-US" w:eastAsia="zh-CN"/>
                    </w:rPr>
                    <w:t>大</w:t>
                  </w:r>
                  <w:r>
                    <w:rPr>
                      <w:rFonts w:hint="default" w:ascii="Times New Roman" w:hAnsi="Times New Roman" w:eastAsia="Times New Roman" w:cs="Times New Roman"/>
                      <w:color w:val="auto"/>
                      <w:sz w:val="21"/>
                      <w:szCs w:val="21"/>
                    </w:rPr>
                    <w:t>厂界北1m处</w:t>
                  </w:r>
                </w:p>
              </w:tc>
              <w:tc>
                <w:tcPr>
                  <w:tcW w:w="802" w:type="pct"/>
                  <w:tcBorders>
                    <w:left w:val="single" w:color="auto" w:sz="4" w:space="0"/>
                    <w:right w:val="single" w:color="auto" w:sz="4" w:space="0"/>
                  </w:tcBorders>
                  <w:noWrap w:val="0"/>
                  <w:vAlign w:val="center"/>
                </w:tcPr>
                <w:p w14:paraId="708F90E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lang w:val="en-US"/>
                    </w:rPr>
                  </w:pPr>
                  <w:r>
                    <w:rPr>
                      <w:rFonts w:hint="default" w:ascii="Times New Roman" w:hAnsi="Times New Roman" w:eastAsia="宋体" w:cs="Times New Roman"/>
                      <w:i w:val="0"/>
                      <w:iCs w:val="0"/>
                      <w:color w:val="auto"/>
                      <w:kern w:val="0"/>
                      <w:sz w:val="21"/>
                      <w:szCs w:val="21"/>
                      <w:u w:val="none"/>
                      <w:lang w:val="en-US" w:eastAsia="zh-CN" w:bidi="ar"/>
                    </w:rPr>
                    <w:t xml:space="preserve">50.3 </w:t>
                  </w:r>
                </w:p>
              </w:tc>
              <w:tc>
                <w:tcPr>
                  <w:tcW w:w="808" w:type="pct"/>
                  <w:tcBorders>
                    <w:left w:val="single" w:color="auto" w:sz="4" w:space="0"/>
                    <w:right w:val="single" w:color="auto" w:sz="4" w:space="0"/>
                  </w:tcBorders>
                  <w:noWrap w:val="0"/>
                  <w:vAlign w:val="center"/>
                </w:tcPr>
                <w:p w14:paraId="6F7793D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Times New Roman" w:cs="Times New Roman"/>
                      <w:color w:val="auto"/>
                      <w:sz w:val="21"/>
                      <w:szCs w:val="21"/>
                    </w:rPr>
                  </w:pPr>
                  <w:r>
                    <w:rPr>
                      <w:rFonts w:hint="eastAsia" w:ascii="Times New Roman" w:hAnsi="Times New Roman" w:cs="Times New Roman"/>
                      <w:i w:val="0"/>
                      <w:iCs w:val="0"/>
                      <w:color w:val="auto"/>
                      <w:kern w:val="0"/>
                      <w:sz w:val="21"/>
                      <w:szCs w:val="21"/>
                      <w:u w:val="none"/>
                      <w:lang w:val="en-US" w:eastAsia="zh-CN" w:bidi="ar"/>
                    </w:rPr>
                    <w:t>65</w:t>
                  </w:r>
                </w:p>
              </w:tc>
              <w:tc>
                <w:tcPr>
                  <w:tcW w:w="1074" w:type="pct"/>
                  <w:tcBorders>
                    <w:left w:val="single" w:color="auto" w:sz="4" w:space="0"/>
                    <w:right w:val="single" w:color="auto" w:sz="4" w:space="0"/>
                  </w:tcBorders>
                  <w:noWrap w:val="0"/>
                  <w:vAlign w:val="center"/>
                </w:tcPr>
                <w:p w14:paraId="74624D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达标</w:t>
                  </w:r>
                </w:p>
              </w:tc>
            </w:tr>
            <w:tr w14:paraId="2F9835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5000" w:type="pct"/>
                  <w:gridSpan w:val="5"/>
                  <w:tcBorders>
                    <w:right w:val="single" w:color="auto" w:sz="4" w:space="0"/>
                  </w:tcBorders>
                  <w:noWrap w:val="0"/>
                  <w:vAlign w:val="center"/>
                </w:tcPr>
                <w:p w14:paraId="7D41C6BD">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Times New Roman" w:cs="Times New Roman"/>
                      <w:color w:val="auto"/>
                      <w:sz w:val="21"/>
                      <w:szCs w:val="21"/>
                      <w:lang w:val="en-US" w:eastAsia="zh-CN"/>
                    </w:rPr>
                    <w:t>备注：本项目夜间不生产</w:t>
                  </w:r>
                  <w:r>
                    <w:rPr>
                      <w:rFonts w:hint="default" w:ascii="Times New Roman" w:hAnsi="Times New Roman" w:eastAsia="宋体" w:cs="Times New Roman"/>
                      <w:b w:val="0"/>
                      <w:bCs/>
                      <w:color w:val="auto"/>
                      <w:sz w:val="21"/>
                      <w:szCs w:val="21"/>
                      <w:lang w:val="en-US" w:eastAsia="zh-CN"/>
                    </w:rPr>
                    <w:t>。</w:t>
                  </w:r>
                </w:p>
              </w:tc>
            </w:tr>
          </w:tbl>
          <w:p w14:paraId="138AD70D">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根据预测结果可知，项目产生的噪声经减振、建筑隔声以及距离衰减后，建设项目</w:t>
            </w:r>
            <w:r>
              <w:rPr>
                <w:rStyle w:val="67"/>
                <w:rFonts w:hint="default" w:ascii="Times New Roman" w:hAnsi="Times New Roman" w:eastAsia="宋体" w:cs="Times New Roman"/>
                <w:color w:val="auto"/>
              </w:rPr>
              <w:t>厂界</w:t>
            </w:r>
            <w:r>
              <w:rPr>
                <w:rFonts w:hint="default" w:ascii="Times New Roman" w:hAnsi="Times New Roman" w:eastAsia="宋体" w:cs="Times New Roman"/>
                <w:color w:val="auto"/>
                <w:sz w:val="24"/>
              </w:rPr>
              <w:t>噪声预测值满足</w:t>
            </w:r>
            <w:r>
              <w:rPr>
                <w:rStyle w:val="67"/>
                <w:rFonts w:hint="default" w:ascii="Times New Roman" w:hAnsi="Times New Roman" w:eastAsia="宋体" w:cs="Times New Roman"/>
                <w:color w:val="auto"/>
              </w:rPr>
              <w:t>《工业企业厂界环境噪声排放标准》（GB12348-2008）中</w:t>
            </w:r>
            <w:r>
              <w:rPr>
                <w:rStyle w:val="67"/>
                <w:rFonts w:hint="eastAsia" w:ascii="Times New Roman" w:hAnsi="Times New Roman" w:eastAsia="宋体" w:cs="Times New Roman"/>
                <w:color w:val="auto"/>
                <w:lang w:val="en-US" w:eastAsia="zh-CN"/>
              </w:rPr>
              <w:t>3</w:t>
            </w:r>
            <w:r>
              <w:rPr>
                <w:rStyle w:val="67"/>
                <w:rFonts w:hint="default" w:ascii="Times New Roman" w:hAnsi="Times New Roman" w:eastAsia="宋体" w:cs="Times New Roman"/>
                <w:color w:val="auto"/>
              </w:rPr>
              <w:t>类标准</w:t>
            </w:r>
            <w:r>
              <w:rPr>
                <w:rFonts w:hint="default" w:ascii="Times New Roman" w:hAnsi="Times New Roman" w:eastAsia="宋体" w:cs="Times New Roman"/>
                <w:color w:val="auto"/>
                <w:sz w:val="24"/>
              </w:rPr>
              <w:t>，因此项目噪声对区域声环境影响较小。</w:t>
            </w:r>
          </w:p>
          <w:p w14:paraId="7F28C5A7">
            <w:pPr>
              <w:keepNext w:val="0"/>
              <w:keepLines w:val="0"/>
              <w:suppressLineNumbers w:val="0"/>
              <w:spacing w:before="0" w:beforeAutospacing="0" w:after="0" w:afterAutospacing="0" w:line="460" w:lineRule="exact"/>
              <w:ind w:left="0" w:right="0" w:firstLine="482" w:firstLineChars="200"/>
              <w:rPr>
                <w:rFonts w:hint="default" w:ascii="Times New Roman" w:hAnsi="Times New Roman" w:eastAsia="宋体" w:cs="Times New Roman"/>
                <w:b/>
                <w:color w:val="0000FF"/>
                <w:sz w:val="24"/>
              </w:rPr>
            </w:pPr>
          </w:p>
          <w:p w14:paraId="786C3099">
            <w:pPr>
              <w:keepNext w:val="0"/>
              <w:keepLines w:val="0"/>
              <w:suppressLineNumbers w:val="0"/>
              <w:spacing w:before="0" w:beforeAutospacing="0" w:after="0" w:afterAutospacing="0" w:line="460" w:lineRule="exact"/>
              <w:ind w:left="0" w:right="0" w:firstLine="482" w:firstLineChars="200"/>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3.3 监测要求</w:t>
            </w:r>
          </w:p>
          <w:p w14:paraId="3FFC1BD5">
            <w:pPr>
              <w:pStyle w:val="62"/>
              <w:keepNext w:val="0"/>
              <w:keepLines w:val="0"/>
              <w:suppressLineNumbers w:val="0"/>
              <w:bidi w:val="0"/>
              <w:spacing w:before="0" w:beforeAutospacing="0" w:after="0" w:afterAutospacing="0"/>
              <w:ind w:left="0" w:right="0"/>
              <w:rPr>
                <w:rFonts w:hint="default"/>
                <w:color w:val="auto"/>
              </w:rPr>
            </w:pPr>
            <w:r>
              <w:rPr>
                <w:rFonts w:hint="default"/>
                <w:color w:val="auto"/>
              </w:rPr>
              <w:t>根据</w:t>
            </w:r>
            <w:r>
              <w:rPr>
                <w:rFonts w:hint="default"/>
                <w:color w:val="auto"/>
                <w:lang w:eastAsia="zh-CN"/>
              </w:rPr>
              <w:t>《</w:t>
            </w:r>
            <w:r>
              <w:rPr>
                <w:rFonts w:hint="default"/>
                <w:color w:val="auto"/>
              </w:rPr>
              <w:t>排污许可证申请与核发技术规范工业噪声</w:t>
            </w:r>
            <w:r>
              <w:rPr>
                <w:rFonts w:hint="default"/>
                <w:color w:val="auto"/>
                <w:lang w:eastAsia="zh-CN"/>
              </w:rPr>
              <w:t>》</w:t>
            </w:r>
            <w:r>
              <w:rPr>
                <w:rFonts w:hint="default"/>
                <w:color w:val="auto"/>
              </w:rPr>
              <w:t>（HJ1301—2023），项目监测点位设置、监测频次及最低监测频次按下表执行。</w:t>
            </w:r>
          </w:p>
          <w:p w14:paraId="51A2EC8D">
            <w:pPr>
              <w:keepNext w:val="0"/>
              <w:keepLines w:val="0"/>
              <w:suppressLineNumbers w:val="0"/>
              <w:spacing w:before="0" w:beforeAutospacing="0" w:after="0" w:afterAutospacing="0" w:line="440" w:lineRule="exact"/>
              <w:ind w:left="0" w:right="0" w:firstLine="422" w:firstLineChars="20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rPr>
              <w:t>表4-</w:t>
            </w:r>
            <w:r>
              <w:rPr>
                <w:rFonts w:hint="eastAsia" w:ascii="Times New Roman" w:hAnsi="Times New Roman" w:cs="Times New Roman"/>
                <w:b/>
                <w:bCs/>
                <w:color w:val="auto"/>
                <w:lang w:val="en-US" w:eastAsia="zh-CN"/>
              </w:rPr>
              <w:t>21</w:t>
            </w:r>
            <w:r>
              <w:rPr>
                <w:rFonts w:hint="default" w:ascii="Times New Roman" w:hAnsi="Times New Roman" w:eastAsia="宋体" w:cs="Times New Roman"/>
                <w:b/>
                <w:bCs/>
                <w:color w:val="auto"/>
              </w:rPr>
              <w:t xml:space="preserve"> 声环境监测计划一览表</w:t>
            </w:r>
          </w:p>
          <w:tbl>
            <w:tblPr>
              <w:tblStyle w:val="52"/>
              <w:tblW w:w="850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36"/>
              <w:gridCol w:w="1844"/>
              <w:gridCol w:w="1942"/>
              <w:gridCol w:w="753"/>
              <w:gridCol w:w="3427"/>
            </w:tblGrid>
            <w:tr w14:paraId="3CA9ED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306" w:hRule="atLeast"/>
                <w:jc w:val="center"/>
              </w:trPr>
              <w:tc>
                <w:tcPr>
                  <w:tcW w:w="536" w:type="dxa"/>
                  <w:noWrap w:val="0"/>
                  <w:vAlign w:val="center"/>
                </w:tcPr>
                <w:p w14:paraId="03625E41">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序号</w:t>
                  </w:r>
                </w:p>
              </w:tc>
              <w:tc>
                <w:tcPr>
                  <w:tcW w:w="1844" w:type="dxa"/>
                  <w:noWrap w:val="0"/>
                  <w:vAlign w:val="center"/>
                </w:tcPr>
                <w:p w14:paraId="49554E55">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监测点位</w:t>
                  </w:r>
                </w:p>
              </w:tc>
              <w:tc>
                <w:tcPr>
                  <w:tcW w:w="1942" w:type="dxa"/>
                  <w:noWrap w:val="0"/>
                  <w:vAlign w:val="center"/>
                </w:tcPr>
                <w:p w14:paraId="13D3E24A">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监测项目</w:t>
                  </w:r>
                </w:p>
              </w:tc>
              <w:tc>
                <w:tcPr>
                  <w:tcW w:w="753" w:type="dxa"/>
                  <w:noWrap w:val="0"/>
                  <w:vAlign w:val="center"/>
                </w:tcPr>
                <w:p w14:paraId="47FC9F44">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频率</w:t>
                  </w:r>
                </w:p>
              </w:tc>
              <w:tc>
                <w:tcPr>
                  <w:tcW w:w="3427" w:type="dxa"/>
                  <w:noWrap w:val="0"/>
                  <w:vAlign w:val="top"/>
                </w:tcPr>
                <w:p w14:paraId="51F47C0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sz w:val="21"/>
                      <w:szCs w:val="21"/>
                    </w:rPr>
                    <w:t>标准</w:t>
                  </w:r>
                </w:p>
              </w:tc>
            </w:tr>
            <w:tr w14:paraId="7AB4A5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06" w:hRule="atLeast"/>
                <w:jc w:val="center"/>
              </w:trPr>
              <w:tc>
                <w:tcPr>
                  <w:tcW w:w="536" w:type="dxa"/>
                  <w:noWrap w:val="0"/>
                  <w:vAlign w:val="center"/>
                </w:tcPr>
                <w:p w14:paraId="6A52E5B0">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1</w:t>
                  </w:r>
                </w:p>
              </w:tc>
              <w:tc>
                <w:tcPr>
                  <w:tcW w:w="1844" w:type="dxa"/>
                  <w:noWrap w:val="0"/>
                  <w:vAlign w:val="center"/>
                </w:tcPr>
                <w:p w14:paraId="6EC309A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auto"/>
                      <w:lang w:eastAsia="zh-CN"/>
                    </w:rPr>
                  </w:pPr>
                  <w:r>
                    <w:rPr>
                      <w:rFonts w:hint="eastAsia" w:ascii="Times New Roman" w:hAnsi="Times New Roman" w:eastAsia="宋体" w:cs="Times New Roman"/>
                      <w:color w:val="auto"/>
                      <w:szCs w:val="21"/>
                      <w:lang w:val="en-US" w:eastAsia="zh-CN"/>
                    </w:rPr>
                    <w:t>厂界</w:t>
                  </w:r>
                </w:p>
              </w:tc>
              <w:tc>
                <w:tcPr>
                  <w:tcW w:w="1942" w:type="dxa"/>
                  <w:noWrap w:val="0"/>
                  <w:vAlign w:val="center"/>
                </w:tcPr>
                <w:p w14:paraId="42F7A39A">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等效连续A声级（L</w:t>
                  </w:r>
                  <w:r>
                    <w:rPr>
                      <w:rFonts w:hint="default" w:ascii="Times New Roman" w:hAnsi="Times New Roman" w:eastAsia="宋体" w:cs="Times New Roman"/>
                      <w:bCs/>
                      <w:color w:val="auto"/>
                      <w:vertAlign w:val="subscript"/>
                    </w:rPr>
                    <w:t>eq</w:t>
                  </w:r>
                  <w:r>
                    <w:rPr>
                      <w:rFonts w:hint="default" w:ascii="Times New Roman" w:hAnsi="Times New Roman" w:eastAsia="宋体" w:cs="Times New Roman"/>
                      <w:bCs/>
                      <w:color w:val="auto"/>
                    </w:rPr>
                    <w:t>）</w:t>
                  </w:r>
                </w:p>
              </w:tc>
              <w:tc>
                <w:tcPr>
                  <w:tcW w:w="753" w:type="dxa"/>
                  <w:noWrap w:val="0"/>
                  <w:vAlign w:val="center"/>
                </w:tcPr>
                <w:p w14:paraId="0B3F8000">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1次/季度</w:t>
                  </w:r>
                </w:p>
              </w:tc>
              <w:tc>
                <w:tcPr>
                  <w:tcW w:w="3427" w:type="dxa"/>
                  <w:noWrap w:val="0"/>
                  <w:vAlign w:val="top"/>
                </w:tcPr>
                <w:p w14:paraId="37E25F7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sz w:val="21"/>
                      <w:szCs w:val="21"/>
                    </w:rPr>
                    <w:t>《工业企业厂界环境噪声排放标准》(GB12348-2008)中</w:t>
                  </w:r>
                  <w:r>
                    <w:rPr>
                      <w:rFonts w:hint="eastAsia" w:ascii="Times New Roman" w:hAnsi="Times New Roman" w:eastAsia="宋体" w:cs="Times New Roman"/>
                      <w:bCs/>
                      <w:color w:val="auto"/>
                      <w:sz w:val="21"/>
                      <w:szCs w:val="21"/>
                      <w:lang w:val="en-US" w:eastAsia="zh-CN"/>
                    </w:rPr>
                    <w:t>3</w:t>
                  </w:r>
                  <w:r>
                    <w:rPr>
                      <w:rFonts w:hint="default" w:ascii="Times New Roman" w:hAnsi="Times New Roman" w:eastAsia="宋体" w:cs="Times New Roman"/>
                      <w:bCs/>
                      <w:color w:val="auto"/>
                      <w:sz w:val="21"/>
                      <w:szCs w:val="21"/>
                    </w:rPr>
                    <w:t>类标准</w:t>
                  </w:r>
                </w:p>
              </w:tc>
            </w:tr>
          </w:tbl>
          <w:p w14:paraId="1EECCF51">
            <w:pPr>
              <w:keepNext w:val="0"/>
              <w:keepLines w:val="0"/>
              <w:suppressLineNumbers w:val="0"/>
              <w:spacing w:before="0" w:beforeAutospacing="0" w:after="0" w:afterAutospacing="0" w:line="460" w:lineRule="exact"/>
              <w:ind w:left="0" w:right="0" w:firstLine="482" w:firstLineChars="200"/>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3.4 降噪措施</w:t>
            </w:r>
          </w:p>
          <w:p w14:paraId="11EAB37F">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为尽可能降低噪声对周围环境的影响，要求企业采取如下防治措施：</w:t>
            </w:r>
          </w:p>
          <w:p w14:paraId="1808563D">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①从声源上降低噪声是最积极的措施，设备选型考虑尽可能采用低噪声设备，空气动力</w:t>
            </w:r>
            <w:r>
              <w:rPr>
                <w:rFonts w:hint="eastAsia" w:cs="Times New Roman"/>
                <w:color w:val="auto"/>
                <w:lang w:eastAsia="zh-CN"/>
              </w:rPr>
              <w:t>型</w:t>
            </w:r>
            <w:r>
              <w:rPr>
                <w:rFonts w:hint="default" w:ascii="Times New Roman" w:hAnsi="Times New Roman" w:eastAsia="宋体" w:cs="Times New Roman"/>
                <w:color w:val="auto"/>
              </w:rPr>
              <w:t>噪声设备，如：风机进排气口加装消声器；振动较大的设备进行基础的隔振减振、厂房内墙壁采用隔声较好材料等。</w:t>
            </w:r>
          </w:p>
          <w:p w14:paraId="3E3877F3">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②合理布局。在厂区的布局上，项目高噪声生产设备布置在厂房内。</w:t>
            </w:r>
          </w:p>
          <w:p w14:paraId="50F56110">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③定期检查、维修设备，使设备处于良好的运行状态，防止机械噪声的升高。</w:t>
            </w:r>
          </w:p>
          <w:p w14:paraId="3CA54766">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④生产车间封闭，安装隔声门窗，利用建筑物形成噪声屏障，阻碍噪声传播。</w:t>
            </w:r>
          </w:p>
          <w:p w14:paraId="24CCF867">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 xml:space="preserve"> ⑤加强经常性接触高噪声员工防护，配戴耳塞、耳罩等劳保用品。</w:t>
            </w:r>
          </w:p>
          <w:p w14:paraId="578446B1">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综上所述，建设项目噪声排放对周围环境影响较小，噪声防治措施可行。企业必须重视设备噪声治理、减振工程的设计及施工质量，确保达标，不得影响周边环境。</w:t>
            </w:r>
          </w:p>
          <w:p w14:paraId="67EE174F">
            <w:pPr>
              <w:keepNext w:val="0"/>
              <w:keepLines w:val="0"/>
              <w:suppressLineNumbers w:val="0"/>
              <w:spacing w:before="0" w:beforeAutospacing="0" w:after="0" w:afterAutospacing="0" w:line="400" w:lineRule="exact"/>
              <w:ind w:left="0" w:right="0" w:firstLine="482" w:firstLineChars="200"/>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4、固体废物</w:t>
            </w:r>
          </w:p>
          <w:p w14:paraId="110AE738">
            <w:pPr>
              <w:keepNext w:val="0"/>
              <w:keepLines w:val="0"/>
              <w:suppressLineNumbers w:val="0"/>
              <w:spacing w:before="0" w:beforeAutospacing="0" w:after="0" w:afterAutospacing="0" w:line="400" w:lineRule="exact"/>
              <w:ind w:left="0" w:right="0" w:firstLine="482" w:firstLineChars="200"/>
              <w:rPr>
                <w:rFonts w:hint="default" w:ascii="Times New Roman" w:hAnsi="Times New Roman" w:eastAsia="宋体" w:cs="Times New Roman"/>
                <w:b/>
                <w:bCs/>
                <w:color w:val="auto"/>
                <w:sz w:val="18"/>
                <w:szCs w:val="18"/>
              </w:rPr>
            </w:pPr>
            <w:r>
              <w:rPr>
                <w:rFonts w:hint="eastAsia" w:ascii="Times New Roman" w:hAnsi="Times New Roman" w:eastAsia="宋体" w:cs="Times New Roman"/>
                <w:b/>
                <w:color w:val="auto"/>
                <w:kern w:val="0"/>
                <w:sz w:val="24"/>
                <w:lang w:eastAsia="zh-CN"/>
              </w:rPr>
              <w:t>（</w:t>
            </w:r>
            <w:r>
              <w:rPr>
                <w:rFonts w:hint="eastAsia" w:ascii="Times New Roman" w:hAnsi="Times New Roman" w:eastAsia="宋体" w:cs="Times New Roman"/>
                <w:b/>
                <w:color w:val="auto"/>
                <w:kern w:val="0"/>
                <w:sz w:val="24"/>
                <w:lang w:val="en-US" w:eastAsia="zh-CN"/>
              </w:rPr>
              <w:t>1</w:t>
            </w:r>
            <w:r>
              <w:rPr>
                <w:rFonts w:hint="eastAsia" w:ascii="Times New Roman" w:hAnsi="Times New Roman" w:eastAsia="宋体" w:cs="Times New Roman"/>
                <w:b/>
                <w:color w:val="auto"/>
                <w:kern w:val="0"/>
                <w:sz w:val="24"/>
                <w:lang w:eastAsia="zh-CN"/>
              </w:rPr>
              <w:t>）</w:t>
            </w:r>
            <w:r>
              <w:rPr>
                <w:rFonts w:hint="default" w:ascii="Times New Roman" w:hAnsi="Times New Roman" w:eastAsia="宋体" w:cs="Times New Roman"/>
                <w:b/>
                <w:color w:val="auto"/>
                <w:kern w:val="0"/>
                <w:sz w:val="24"/>
              </w:rPr>
              <w:t>本项目固体废物产生及排放情况</w:t>
            </w:r>
          </w:p>
          <w:p w14:paraId="798D505B">
            <w:pPr>
              <w:pStyle w:val="62"/>
              <w:keepNext w:val="0"/>
              <w:keepLines w:val="0"/>
              <w:suppressLineNumbers w:val="0"/>
              <w:bidi w:val="0"/>
              <w:spacing w:before="0" w:beforeAutospacing="0" w:after="0" w:afterAutospacing="0"/>
              <w:ind w:left="0" w:right="0"/>
              <w:rPr>
                <w:rFonts w:hint="default"/>
                <w:color w:val="auto"/>
              </w:rPr>
            </w:pPr>
            <w:r>
              <w:rPr>
                <w:rFonts w:hint="default"/>
                <w:color w:val="auto"/>
              </w:rPr>
              <w:t>本项目固废主要为一般固废（</w:t>
            </w:r>
            <w:r>
              <w:rPr>
                <w:rFonts w:hint="eastAsia"/>
                <w:color w:val="auto"/>
                <w:lang w:val="en-US" w:eastAsia="zh-CN"/>
              </w:rPr>
              <w:t>不合格品</w:t>
            </w:r>
            <w:r>
              <w:rPr>
                <w:rFonts w:hint="default"/>
                <w:color w:val="auto"/>
              </w:rPr>
              <w:t>），危险废物（</w:t>
            </w:r>
            <w:r>
              <w:rPr>
                <w:rFonts w:hint="eastAsia" w:ascii="Times New Roman" w:hAnsi="Times New Roman" w:cs="Times New Roman"/>
                <w:color w:val="auto"/>
                <w:sz w:val="24"/>
                <w:szCs w:val="24"/>
                <w:lang w:val="en-US" w:eastAsia="zh-CN"/>
              </w:rPr>
              <w:t>油污、油泥、废包装桶</w:t>
            </w:r>
            <w:r>
              <w:rPr>
                <w:rFonts w:hint="eastAsia"/>
                <w:color w:val="auto"/>
                <w:lang w:val="en-US" w:eastAsia="zh-CN"/>
              </w:rPr>
              <w:t>、废润滑油、废活性炭</w:t>
            </w:r>
            <w:r>
              <w:rPr>
                <w:rFonts w:hint="default"/>
                <w:color w:val="auto"/>
              </w:rPr>
              <w:t>）</w:t>
            </w:r>
            <w:r>
              <w:rPr>
                <w:rFonts w:hint="eastAsia"/>
                <w:color w:val="auto"/>
                <w:lang w:val="en-US" w:eastAsia="zh-CN"/>
              </w:rPr>
              <w:t>和生活垃圾</w:t>
            </w:r>
            <w:r>
              <w:rPr>
                <w:rFonts w:hint="default"/>
                <w:color w:val="auto"/>
              </w:rPr>
              <w:t>。</w:t>
            </w:r>
          </w:p>
          <w:p w14:paraId="4DAE05D2">
            <w:pPr>
              <w:pStyle w:val="62"/>
              <w:keepNext w:val="0"/>
              <w:keepLines w:val="0"/>
              <w:suppressLineNumbers w:val="0"/>
              <w:bidi w:val="0"/>
              <w:spacing w:before="0" w:beforeAutospacing="0" w:after="0" w:afterAutospacing="0"/>
              <w:ind w:left="0" w:right="0"/>
              <w:rPr>
                <w:rFonts w:hint="eastAsia" w:ascii="Times New Roman" w:hAnsi="Times New Roman" w:eastAsia="宋体" w:cs="Times New Roman"/>
                <w:color w:val="auto"/>
                <w:kern w:val="2"/>
                <w:sz w:val="24"/>
                <w:szCs w:val="24"/>
                <w:lang w:val="en-US" w:eastAsia="zh-CN" w:bidi="ar-SA"/>
              </w:rPr>
            </w:pPr>
            <w:r>
              <w:rPr>
                <w:rFonts w:hint="default" w:ascii="Times New Roman" w:hAnsi="Times New Roman" w:cs="Times New Roman"/>
                <w:color w:val="auto"/>
              </w:rPr>
              <w:t>①</w:t>
            </w:r>
            <w:r>
              <w:rPr>
                <w:rFonts w:hint="eastAsia" w:ascii="Times New Roman" w:hAnsi="Times New Roman" w:eastAsia="宋体" w:cs="Times New Roman"/>
                <w:color w:val="auto"/>
                <w:kern w:val="2"/>
                <w:sz w:val="24"/>
                <w:szCs w:val="24"/>
                <w:lang w:val="en-US" w:eastAsia="zh-CN" w:bidi="ar-SA"/>
              </w:rPr>
              <w:t>油污</w:t>
            </w:r>
          </w:p>
          <w:p w14:paraId="32E8784A">
            <w:pPr>
              <w:pStyle w:val="62"/>
              <w:keepNext w:val="0"/>
              <w:keepLines w:val="0"/>
              <w:suppressLineNumbers w:val="0"/>
              <w:bidi w:val="0"/>
              <w:spacing w:before="0" w:beforeAutospacing="0" w:after="0" w:afterAutospacing="0"/>
              <w:ind w:left="0" w:right="0"/>
              <w:rPr>
                <w:rFonts w:hint="default" w:ascii="Times New Roman" w:hAnsi="Times New Roman" w:cs="Times New Roman"/>
                <w:color w:val="0000FF"/>
              </w:rPr>
            </w:pPr>
            <w:r>
              <w:rPr>
                <w:rFonts w:hint="default" w:ascii="Times New Roman" w:hAnsi="Times New Roman" w:eastAsia="宋体" w:cs="Times New Roman"/>
                <w:bCs/>
                <w:color w:val="auto"/>
                <w:sz w:val="24"/>
                <w:szCs w:val="28"/>
              </w:rPr>
              <w:t>本项目静电吸附油雾净化</w:t>
            </w:r>
            <w:r>
              <w:rPr>
                <w:rFonts w:hint="eastAsia" w:ascii="Times New Roman" w:hAnsi="Times New Roman" w:eastAsia="宋体" w:cs="Times New Roman"/>
                <w:bCs/>
                <w:color w:val="auto"/>
                <w:sz w:val="24"/>
                <w:szCs w:val="28"/>
                <w:lang w:val="en-US" w:eastAsia="zh-CN"/>
              </w:rPr>
              <w:t>器</w:t>
            </w:r>
            <w:r>
              <w:rPr>
                <w:rFonts w:hint="default" w:ascii="Times New Roman" w:hAnsi="Times New Roman" w:eastAsia="宋体" w:cs="Times New Roman"/>
                <w:bCs/>
                <w:color w:val="auto"/>
                <w:sz w:val="24"/>
                <w:szCs w:val="28"/>
              </w:rPr>
              <w:t>处理油雾约</w:t>
            </w:r>
            <w:r>
              <w:rPr>
                <w:rFonts w:hint="eastAsia" w:ascii="Times New Roman" w:hAnsi="Times New Roman" w:eastAsia="宋体" w:cs="Times New Roman"/>
                <w:bCs/>
                <w:color w:val="auto"/>
                <w:sz w:val="24"/>
                <w:szCs w:val="28"/>
                <w:lang w:val="en-US" w:eastAsia="zh-CN"/>
              </w:rPr>
              <w:t>1.94</w:t>
            </w:r>
            <w:r>
              <w:rPr>
                <w:rFonts w:hint="default" w:ascii="Times New Roman" w:hAnsi="Times New Roman" w:eastAsia="宋体" w:cs="Times New Roman"/>
                <w:bCs/>
                <w:color w:val="auto"/>
                <w:sz w:val="24"/>
                <w:szCs w:val="28"/>
              </w:rPr>
              <w:t>t/a，油雾在电场中形成带电微粒被接地板截留，在气流及自身重力的作用下流到集油盘。</w:t>
            </w:r>
            <w:r>
              <w:rPr>
                <w:rFonts w:hint="eastAsia" w:ascii="Times New Roman" w:hAnsi="Times New Roman" w:eastAsia="宋体" w:cs="Times New Roman"/>
                <w:bCs/>
                <w:color w:val="auto"/>
                <w:sz w:val="24"/>
                <w:szCs w:val="28"/>
                <w:lang w:val="en-US" w:eastAsia="zh-CN"/>
              </w:rPr>
              <w:t>属于《国家危险废物名录》（2025年版）HW09油/水、烃/水混合物或者乳化液，废物代码为900-007-09。暂存于危废暂存场所，定期交由有资质的单位处置。</w:t>
            </w:r>
          </w:p>
          <w:p w14:paraId="0CCCD979">
            <w:pPr>
              <w:pStyle w:val="62"/>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rPr>
              <w:t>②</w:t>
            </w:r>
            <w:r>
              <w:rPr>
                <w:rFonts w:hint="eastAsia"/>
                <w:color w:val="auto"/>
                <w:lang w:val="en-US" w:eastAsia="zh-CN"/>
              </w:rPr>
              <w:t>油泥</w:t>
            </w:r>
          </w:p>
          <w:p w14:paraId="46D47997">
            <w:pPr>
              <w:pStyle w:val="62"/>
              <w:keepNext w:val="0"/>
              <w:keepLines w:val="0"/>
              <w:suppressLineNumbers w:val="0"/>
              <w:bidi w:val="0"/>
              <w:spacing w:before="0" w:beforeAutospacing="0" w:after="0" w:afterAutospacing="0"/>
              <w:ind w:left="0" w:right="0"/>
              <w:rPr>
                <w:rFonts w:hint="default" w:cs="Times New Roman"/>
                <w:color w:val="0000FF"/>
                <w:szCs w:val="24"/>
              </w:rPr>
            </w:pPr>
            <w:r>
              <w:rPr>
                <w:rFonts w:hint="eastAsia" w:ascii="Times New Roman" w:hAnsi="Times New Roman" w:eastAsia="宋体" w:cs="Times New Roman"/>
                <w:bCs/>
                <w:color w:val="auto"/>
                <w:sz w:val="24"/>
                <w:szCs w:val="28"/>
                <w:lang w:val="en-US" w:eastAsia="zh-CN"/>
              </w:rPr>
              <w:t>油槽每年清理一次产生油泥，根据企业提供资料，油泥产生量约0.5t</w:t>
            </w:r>
            <w:r>
              <w:rPr>
                <w:rFonts w:hint="eastAsia" w:ascii="Times New Roman" w:hAnsi="Times New Roman" w:eastAsia="宋体" w:cs="Times New Roman"/>
                <w:bCs/>
                <w:color w:val="auto"/>
                <w:sz w:val="24"/>
                <w:highlight w:val="none"/>
              </w:rPr>
              <w:t>/a</w:t>
            </w:r>
            <w:r>
              <w:rPr>
                <w:rFonts w:hint="eastAsia" w:ascii="Times New Roman" w:hAnsi="Times New Roman" w:eastAsia="宋体" w:cs="Times New Roman"/>
                <w:bCs/>
                <w:color w:val="auto"/>
                <w:sz w:val="24"/>
                <w:szCs w:val="28"/>
                <w:lang w:val="en-US" w:eastAsia="zh-CN"/>
              </w:rPr>
              <w:t>，暂存于危废仓库，委托有资质单位处置。属于《国家危险废物名录》（2025年版）HW08</w:t>
            </w:r>
            <w:r>
              <w:rPr>
                <w:rFonts w:hint="default"/>
                <w:bCs/>
                <w:color w:val="auto"/>
                <w:sz w:val="24"/>
                <w:highlight w:val="none"/>
              </w:rPr>
              <w:t>废矿物油与含矿物油废物</w:t>
            </w:r>
            <w:r>
              <w:rPr>
                <w:rFonts w:hint="eastAsia" w:ascii="Times New Roman" w:hAnsi="Times New Roman" w:eastAsia="宋体" w:cs="Times New Roman"/>
                <w:bCs/>
                <w:color w:val="auto"/>
                <w:sz w:val="24"/>
                <w:szCs w:val="28"/>
                <w:lang w:val="en-US" w:eastAsia="zh-CN"/>
              </w:rPr>
              <w:t>，废物代码为900-203-08。暂存于危废暂存场所，定期交由有资质的单位处置</w:t>
            </w:r>
            <w:r>
              <w:rPr>
                <w:rFonts w:hint="default"/>
                <w:color w:val="auto"/>
              </w:rPr>
              <w:t>。</w:t>
            </w:r>
          </w:p>
          <w:p w14:paraId="3076E9E9">
            <w:pPr>
              <w:pStyle w:val="62"/>
              <w:keepNext w:val="0"/>
              <w:keepLines w:val="0"/>
              <w:suppressLineNumbers w:val="0"/>
              <w:bidi w:val="0"/>
              <w:spacing w:before="0" w:beforeAutospacing="0" w:after="0" w:afterAutospacing="0"/>
              <w:ind w:left="0" w:right="0"/>
              <w:rPr>
                <w:rFonts w:hint="eastAsia" w:ascii="Times New Roman" w:hAnsi="Times New Roman" w:eastAsia="宋体" w:cs="Times New Roman"/>
                <w:color w:val="auto"/>
                <w:sz w:val="24"/>
                <w:szCs w:val="24"/>
                <w:lang w:val="en-US" w:eastAsia="zh-CN"/>
              </w:rPr>
            </w:pPr>
            <w:r>
              <w:rPr>
                <w:rFonts w:hint="default"/>
                <w:color w:val="auto"/>
              </w:rPr>
              <w:t>③</w:t>
            </w:r>
            <w:r>
              <w:rPr>
                <w:rFonts w:hint="eastAsia" w:cs="Times New Roman"/>
                <w:color w:val="auto"/>
                <w:sz w:val="24"/>
                <w:szCs w:val="24"/>
                <w:lang w:val="en-US" w:eastAsia="zh-CN"/>
              </w:rPr>
              <w:t>不合格品</w:t>
            </w:r>
          </w:p>
          <w:p w14:paraId="1F9A3877">
            <w:pPr>
              <w:pStyle w:val="62"/>
              <w:keepNext w:val="0"/>
              <w:keepLines w:val="0"/>
              <w:suppressLineNumbers w:val="0"/>
              <w:bidi w:val="0"/>
              <w:spacing w:before="0" w:beforeAutospacing="0" w:after="0" w:afterAutospacing="0"/>
              <w:ind w:left="0" w:right="0"/>
              <w:rPr>
                <w:rFonts w:hint="default" w:cs="Times New Roman"/>
                <w:color w:val="0000FF"/>
                <w:szCs w:val="24"/>
              </w:rPr>
            </w:pPr>
            <w:r>
              <w:rPr>
                <w:rFonts w:hint="default"/>
                <w:color w:val="auto"/>
              </w:rPr>
              <w:t>根据企业提供资料，</w:t>
            </w:r>
            <w:r>
              <w:rPr>
                <w:rFonts w:hint="eastAsia"/>
                <w:color w:val="auto"/>
                <w:lang w:val="en-US" w:eastAsia="zh-CN"/>
              </w:rPr>
              <w:t>不合格品</w:t>
            </w:r>
            <w:r>
              <w:rPr>
                <w:rFonts w:hint="default"/>
                <w:color w:val="auto"/>
              </w:rPr>
              <w:t>产生量约为</w:t>
            </w:r>
            <w:r>
              <w:rPr>
                <w:rFonts w:hint="default"/>
                <w:color w:val="auto"/>
                <w:lang w:eastAsia="zh-CN"/>
              </w:rPr>
              <w:t>产品的</w:t>
            </w:r>
            <w:r>
              <w:rPr>
                <w:rFonts w:hint="eastAsia"/>
                <w:color w:val="auto"/>
                <w:lang w:val="en-US" w:eastAsia="zh-CN"/>
              </w:rPr>
              <w:t>0.1</w:t>
            </w:r>
            <w:r>
              <w:rPr>
                <w:rFonts w:hint="default"/>
                <w:color w:val="auto"/>
                <w:lang w:val="en-US" w:eastAsia="zh-CN"/>
              </w:rPr>
              <w:t>%，</w:t>
            </w:r>
            <w:r>
              <w:rPr>
                <w:rFonts w:hint="eastAsia"/>
                <w:color w:val="auto"/>
                <w:lang w:val="en-US" w:eastAsia="zh-CN"/>
              </w:rPr>
              <w:t>则边角料产生量</w:t>
            </w:r>
            <w:r>
              <w:rPr>
                <w:rFonts w:hint="default"/>
                <w:color w:val="auto"/>
              </w:rPr>
              <w:t>约</w:t>
            </w:r>
            <w:r>
              <w:rPr>
                <w:rFonts w:hint="eastAsia"/>
                <w:color w:val="auto"/>
                <w:lang w:val="en-US" w:eastAsia="zh-CN"/>
              </w:rPr>
              <w:t>3.5</w:t>
            </w:r>
            <w:r>
              <w:rPr>
                <w:rFonts w:hint="default"/>
                <w:color w:val="auto"/>
              </w:rPr>
              <w:t>t/a，收集后</w:t>
            </w:r>
            <w:r>
              <w:rPr>
                <w:rFonts w:hint="eastAsia"/>
                <w:color w:val="auto"/>
                <w:lang w:val="en-US" w:eastAsia="zh-CN"/>
              </w:rPr>
              <w:t>外售</w:t>
            </w:r>
            <w:r>
              <w:rPr>
                <w:rFonts w:hint="default"/>
                <w:color w:val="auto"/>
              </w:rPr>
              <w:t>。</w:t>
            </w:r>
          </w:p>
          <w:p w14:paraId="2D043677">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sz w:val="24"/>
                <w:szCs w:val="24"/>
              </w:rPr>
              <w:t>④</w:t>
            </w:r>
            <w:r>
              <w:rPr>
                <w:rFonts w:hint="default" w:ascii="Times New Roman" w:hAnsi="Times New Roman" w:eastAsia="宋体" w:cs="Times New Roman"/>
                <w:color w:val="auto"/>
                <w:lang w:val="en-US" w:eastAsia="zh-CN"/>
              </w:rPr>
              <w:t>废活性炭</w:t>
            </w:r>
          </w:p>
          <w:p w14:paraId="49D077AB">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lang w:val="en-US" w:eastAsia="zh-CN"/>
              </w:rPr>
            </w:pPr>
            <w:r>
              <w:rPr>
                <w:rFonts w:hint="default" w:ascii="Times New Roman" w:hAnsi="Times New Roman" w:cs="Times New Roman"/>
                <w:color w:val="auto"/>
              </w:rPr>
              <w:t>项目产生的有机废气采用活性炭吸附，为了保证吸附的效率，活性炭必须定期更换。根据</w:t>
            </w:r>
            <w:r>
              <w:rPr>
                <w:rFonts w:hint="default" w:ascii="Times New Roman" w:hAnsi="Times New Roman" w:cs="Times New Roman"/>
                <w:color w:val="auto"/>
                <w:lang w:val="en-US" w:eastAsia="zh-CN"/>
              </w:rPr>
              <w:t>前文分析</w:t>
            </w:r>
            <w:r>
              <w:rPr>
                <w:rFonts w:hint="default" w:ascii="Times New Roman" w:hAnsi="Times New Roman" w:cs="Times New Roman"/>
                <w:color w:val="auto"/>
              </w:rPr>
              <w:t>，</w:t>
            </w:r>
            <w:r>
              <w:rPr>
                <w:rFonts w:hint="default" w:ascii="Times New Roman" w:hAnsi="Times New Roman" w:cs="Times New Roman"/>
                <w:color w:val="auto"/>
                <w:lang w:val="en-US" w:eastAsia="zh-CN"/>
              </w:rPr>
              <w:t>废活性炭产生量为</w:t>
            </w:r>
            <w:r>
              <w:rPr>
                <w:rFonts w:hint="default" w:ascii="Times New Roman" w:hAnsi="Times New Roman" w:eastAsia="Times New Roman" w:cs="Times New Roman"/>
                <w:color w:val="auto"/>
                <w:szCs w:val="21"/>
                <w:lang w:val="en-US" w:eastAsia="zh-CN"/>
              </w:rPr>
              <w:t>2.23</w:t>
            </w:r>
            <w:r>
              <w:rPr>
                <w:rFonts w:hint="default" w:ascii="Times New Roman" w:hAnsi="Times New Roman" w:cs="Times New Roman"/>
                <w:color w:val="auto"/>
                <w:lang w:val="en-US" w:eastAsia="zh-CN"/>
              </w:rPr>
              <w:t>t/a。</w:t>
            </w:r>
            <w:r>
              <w:rPr>
                <w:rFonts w:hint="default" w:ascii="Times New Roman" w:hAnsi="Times New Roman" w:cs="Times New Roman"/>
                <w:color w:val="auto"/>
              </w:rPr>
              <w:t>更换下来的废活性炭属于《国家危险废物名录》（202</w:t>
            </w:r>
            <w:r>
              <w:rPr>
                <w:rFonts w:hint="default" w:ascii="Times New Roman" w:hAnsi="Times New Roman" w:cs="Times New Roman"/>
                <w:color w:val="auto"/>
                <w:lang w:val="en-US" w:eastAsia="zh-CN"/>
              </w:rPr>
              <w:t>5</w:t>
            </w:r>
            <w:r>
              <w:rPr>
                <w:rFonts w:hint="default" w:ascii="Times New Roman" w:hAnsi="Times New Roman" w:cs="Times New Roman"/>
                <w:color w:val="auto"/>
              </w:rPr>
              <w:t>版）中HW49含有或沾染毒性、感染性危险废物的废弃包装物、容器、过滤吸附介质（废物代码900-039-49</w:t>
            </w:r>
            <w:r>
              <w:rPr>
                <w:rFonts w:hint="default" w:ascii="Times New Roman" w:hAnsi="Times New Roman" w:cs="Times New Roman"/>
                <w:color w:val="auto"/>
                <w:lang w:eastAsia="zh-CN"/>
              </w:rPr>
              <w:t>）</w:t>
            </w:r>
            <w:r>
              <w:rPr>
                <w:rFonts w:hint="default" w:ascii="Times New Roman" w:hAnsi="Times New Roman" w:cs="Times New Roman"/>
                <w:color w:val="auto"/>
              </w:rPr>
              <w:t>，在厂区危废暂存间暂存后委托有资质单位进行处理。</w:t>
            </w:r>
          </w:p>
          <w:p w14:paraId="35858CFC">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lang w:val="en-US" w:eastAsia="zh-CN"/>
              </w:rPr>
            </w:pPr>
            <w:r>
              <w:rPr>
                <w:rFonts w:hint="default"/>
                <w:color w:val="auto"/>
              </w:rPr>
              <w:t>⑤</w:t>
            </w:r>
            <w:r>
              <w:rPr>
                <w:rFonts w:hint="default" w:ascii="Times New Roman" w:hAnsi="Times New Roman" w:eastAsia="宋体" w:cs="Times New Roman"/>
                <w:color w:val="auto"/>
                <w:lang w:val="en-US" w:eastAsia="zh-CN"/>
              </w:rPr>
              <w:t>废润滑油</w:t>
            </w:r>
          </w:p>
          <w:p w14:paraId="6F8B9EA3">
            <w:pPr>
              <w:pStyle w:val="62"/>
              <w:keepNext w:val="0"/>
              <w:keepLines w:val="0"/>
              <w:suppressLineNumbers w:val="0"/>
              <w:bidi w:val="0"/>
              <w:spacing w:before="0" w:beforeAutospacing="0" w:after="0" w:afterAutospacing="0"/>
              <w:ind w:left="0" w:right="0"/>
              <w:rPr>
                <w:rFonts w:hint="default" w:cs="Times New Roman"/>
                <w:color w:val="auto"/>
                <w:sz w:val="24"/>
                <w:szCs w:val="24"/>
              </w:rPr>
            </w:pPr>
            <w:r>
              <w:rPr>
                <w:rFonts w:hint="default"/>
                <w:color w:val="auto"/>
              </w:rPr>
              <w:t>设备在运行过程中会产生废润滑油</w:t>
            </w:r>
            <w:r>
              <w:rPr>
                <w:rFonts w:hint="eastAsia"/>
                <w:color w:val="auto"/>
                <w:lang w:val="en-US" w:eastAsia="zh-CN"/>
              </w:rPr>
              <w:t>。本项目润滑油使用量为0.4t/a，</w:t>
            </w:r>
            <w:r>
              <w:rPr>
                <w:rFonts w:hint="eastAsia"/>
                <w:color w:val="auto"/>
              </w:rPr>
              <w:t>废润滑油产生量约为使用量的60%，</w:t>
            </w:r>
            <w:r>
              <w:rPr>
                <w:rFonts w:hint="eastAsia"/>
                <w:color w:val="auto"/>
                <w:lang w:val="en-US" w:eastAsia="zh-CN"/>
              </w:rPr>
              <w:t>则</w:t>
            </w:r>
            <w:r>
              <w:rPr>
                <w:rFonts w:hint="eastAsia"/>
                <w:color w:val="auto"/>
              </w:rPr>
              <w:t>废润滑油产生量为</w:t>
            </w:r>
            <w:r>
              <w:rPr>
                <w:rFonts w:hint="eastAsia"/>
                <w:color w:val="auto"/>
                <w:lang w:val="en-US" w:eastAsia="zh-CN"/>
              </w:rPr>
              <w:t>0.24</w:t>
            </w:r>
            <w:r>
              <w:rPr>
                <w:rFonts w:hint="eastAsia"/>
                <w:color w:val="auto"/>
              </w:rPr>
              <w:t>t/a。</w:t>
            </w:r>
            <w:r>
              <w:rPr>
                <w:rFonts w:hint="default" w:ascii="Times New Roman" w:hAnsi="Times New Roman" w:eastAsia="宋体" w:cs="Times New Roman"/>
                <w:color w:val="auto"/>
              </w:rPr>
              <w:t>经查《国家危险废物名录》（202</w:t>
            </w:r>
            <w:r>
              <w:rPr>
                <w:rFonts w:hint="eastAsia" w:ascii="Times New Roman" w:hAnsi="Times New Roman" w:eastAsia="宋体" w:cs="Times New Roman"/>
                <w:color w:val="auto"/>
                <w:lang w:val="en-US" w:eastAsia="zh-CN"/>
              </w:rPr>
              <w:t>5</w:t>
            </w:r>
            <w:r>
              <w:rPr>
                <w:rFonts w:hint="default" w:ascii="Times New Roman" w:hAnsi="Times New Roman" w:eastAsia="宋体" w:cs="Times New Roman"/>
                <w:color w:val="auto"/>
              </w:rPr>
              <w:t>年版），废润滑油属于危险废物，危废编号HW08废矿物油与含矿物油废物，废物代码为900-249-08（其他生产、销售、使用过程中产生的废矿物油及含矿物油</w:t>
            </w:r>
            <w:r>
              <w:rPr>
                <w:rFonts w:hint="eastAsia" w:cs="Times New Roman"/>
                <w:color w:val="auto"/>
                <w:lang w:val="en-US" w:eastAsia="zh-CN"/>
              </w:rPr>
              <w:t>的废弃包装物</w:t>
            </w:r>
            <w:r>
              <w:rPr>
                <w:rFonts w:hint="default" w:ascii="Times New Roman" w:hAnsi="Times New Roman" w:eastAsia="宋体" w:cs="Times New Roman"/>
                <w:color w:val="auto"/>
              </w:rPr>
              <w:t>）；废润滑油收集后委托有危废处置资质的单位进行处理。</w:t>
            </w:r>
          </w:p>
          <w:p w14:paraId="2CA25ECB">
            <w:pPr>
              <w:pStyle w:val="62"/>
              <w:keepNext w:val="0"/>
              <w:keepLines w:val="0"/>
              <w:suppressLineNumbers w:val="0"/>
              <w:bidi w:val="0"/>
              <w:spacing w:before="0" w:beforeAutospacing="0" w:after="0" w:afterAutospacing="0"/>
              <w:ind w:left="0" w:right="0"/>
              <w:rPr>
                <w:rFonts w:hint="default"/>
                <w:color w:val="auto"/>
              </w:rPr>
            </w:pPr>
            <w:r>
              <w:rPr>
                <w:rFonts w:hint="default"/>
                <w:color w:val="auto"/>
              </w:rPr>
              <w:t>⑥</w:t>
            </w:r>
            <w:r>
              <w:rPr>
                <w:rFonts w:hint="default" w:ascii="Times New Roman" w:hAnsi="Times New Roman" w:eastAsia="宋体" w:cs="Times New Roman"/>
                <w:color w:val="auto"/>
                <w:sz w:val="24"/>
                <w:szCs w:val="24"/>
              </w:rPr>
              <w:t>废包装桶</w:t>
            </w:r>
          </w:p>
          <w:p w14:paraId="0633F701">
            <w:pPr>
              <w:pStyle w:val="62"/>
              <w:keepNext w:val="0"/>
              <w:keepLines w:val="0"/>
              <w:suppressLineNumbers w:val="0"/>
              <w:bidi w:val="0"/>
              <w:spacing w:before="0" w:beforeAutospacing="0" w:after="0" w:afterAutospacing="0"/>
              <w:ind w:left="0" w:right="0"/>
              <w:rPr>
                <w:rFonts w:hint="eastAsia"/>
                <w:color w:val="0000FF"/>
                <w:lang w:val="en-US" w:eastAsia="zh-CN"/>
              </w:rPr>
            </w:pPr>
            <w:r>
              <w:rPr>
                <w:rFonts w:hint="default" w:ascii="Times New Roman" w:hAnsi="Times New Roman" w:eastAsia="宋体" w:cs="Times New Roman"/>
                <w:color w:val="auto"/>
                <w:kern w:val="0"/>
                <w:sz w:val="24"/>
              </w:rPr>
              <w:t>项目年消耗润滑油</w:t>
            </w:r>
            <w:r>
              <w:rPr>
                <w:rFonts w:hint="default" w:ascii="Times New Roman" w:hAnsi="Times New Roman" w:eastAsia="宋体" w:cs="Times New Roman"/>
                <w:color w:val="auto"/>
                <w:kern w:val="0"/>
                <w:sz w:val="24"/>
                <w:lang w:val="en-US" w:eastAsia="zh-CN"/>
              </w:rPr>
              <w:t>0.</w:t>
            </w:r>
            <w:r>
              <w:rPr>
                <w:rFonts w:hint="default" w:ascii="Times New Roman" w:hAnsi="Times New Roman" w:cs="Times New Roman"/>
                <w:color w:val="auto"/>
                <w:kern w:val="0"/>
                <w:sz w:val="24"/>
                <w:lang w:val="en-US" w:eastAsia="zh-CN"/>
              </w:rPr>
              <w:t>4</w:t>
            </w:r>
            <w:r>
              <w:rPr>
                <w:rFonts w:hint="default" w:ascii="Times New Roman" w:hAnsi="Times New Roman" w:eastAsia="宋体" w:cs="Times New Roman"/>
                <w:color w:val="auto"/>
                <w:kern w:val="0"/>
                <w:sz w:val="24"/>
              </w:rPr>
              <w:t>t</w:t>
            </w:r>
            <w:r>
              <w:rPr>
                <w:rFonts w:hint="default" w:ascii="Times New Roman" w:hAnsi="Times New Roman" w:cs="Times New Roman"/>
                <w:color w:val="auto"/>
                <w:kern w:val="0"/>
                <w:sz w:val="24"/>
                <w:lang w:eastAsia="zh-CN"/>
              </w:rPr>
              <w:t>、</w:t>
            </w:r>
            <w:r>
              <w:rPr>
                <w:rFonts w:hint="default" w:ascii="Times New Roman" w:hAnsi="Times New Roman" w:cs="Times New Roman"/>
                <w:color w:val="auto"/>
                <w:kern w:val="0"/>
                <w:sz w:val="24"/>
                <w:lang w:val="en-US" w:eastAsia="zh-CN"/>
              </w:rPr>
              <w:t>淬火油12t/a</w:t>
            </w:r>
            <w:r>
              <w:rPr>
                <w:rFonts w:hint="default" w:ascii="Times New Roman" w:hAnsi="Times New Roman" w:eastAsia="宋体" w:cs="Times New Roman"/>
                <w:color w:val="auto"/>
                <w:kern w:val="0"/>
                <w:sz w:val="24"/>
              </w:rPr>
              <w:t>，</w:t>
            </w:r>
            <w:r>
              <w:rPr>
                <w:rFonts w:hint="default" w:ascii="Times New Roman" w:hAnsi="Times New Roman" w:cs="Times New Roman"/>
                <w:color w:val="auto"/>
                <w:kern w:val="0"/>
                <w:sz w:val="24"/>
                <w:lang w:val="en-US" w:eastAsia="zh-CN"/>
              </w:rPr>
              <w:t>均</w:t>
            </w:r>
            <w:r>
              <w:rPr>
                <w:rFonts w:hint="default" w:ascii="Times New Roman" w:hAnsi="Times New Roman" w:eastAsia="宋体" w:cs="Times New Roman"/>
                <w:color w:val="auto"/>
                <w:kern w:val="0"/>
                <w:sz w:val="24"/>
              </w:rPr>
              <w:t>采用</w:t>
            </w:r>
            <w:r>
              <w:rPr>
                <w:rFonts w:hint="default" w:ascii="Times New Roman" w:hAnsi="Times New Roman" w:eastAsia="宋体" w:cs="Times New Roman"/>
                <w:color w:val="auto"/>
                <w:kern w:val="0"/>
                <w:sz w:val="24"/>
                <w:lang w:val="en-US" w:eastAsia="zh-CN"/>
              </w:rPr>
              <w:t>2</w:t>
            </w:r>
            <w:r>
              <w:rPr>
                <w:rFonts w:hint="default" w:ascii="Times New Roman" w:hAnsi="Times New Roman" w:eastAsia="宋体" w:cs="Times New Roman"/>
                <w:color w:val="auto"/>
                <w:kern w:val="0"/>
                <w:sz w:val="24"/>
              </w:rPr>
              <w:t>0</w:t>
            </w:r>
            <w:r>
              <w:rPr>
                <w:rFonts w:hint="default" w:ascii="Times New Roman" w:hAnsi="Times New Roman" w:eastAsia="宋体" w:cs="Times New Roman"/>
                <w:color w:val="auto"/>
                <w:kern w:val="0"/>
                <w:sz w:val="24"/>
                <w:lang w:val="en-US" w:eastAsia="zh-CN"/>
              </w:rPr>
              <w:t>0</w:t>
            </w:r>
            <w:r>
              <w:rPr>
                <w:rFonts w:hint="default" w:ascii="Times New Roman" w:hAnsi="Times New Roman" w:eastAsia="宋体" w:cs="Times New Roman"/>
                <w:color w:val="auto"/>
                <w:kern w:val="0"/>
                <w:sz w:val="24"/>
              </w:rPr>
              <w:t>kg/桶</w:t>
            </w:r>
            <w:r>
              <w:rPr>
                <w:rFonts w:hint="default"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lang w:val="en-US" w:eastAsia="zh-CN"/>
              </w:rPr>
              <w:t>桶重15kg</w:t>
            </w:r>
            <w:r>
              <w:rPr>
                <w:rFonts w:hint="default"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rPr>
              <w:t>储存，经计算，</w:t>
            </w:r>
            <w:r>
              <w:rPr>
                <w:rFonts w:hint="default" w:ascii="Times New Roman" w:hAnsi="Times New Roman" w:eastAsia="宋体" w:cs="Times New Roman"/>
                <w:color w:val="auto"/>
                <w:sz w:val="24"/>
                <w:szCs w:val="24"/>
              </w:rPr>
              <w:t>废包装桶</w:t>
            </w:r>
            <w:r>
              <w:rPr>
                <w:rFonts w:hint="default" w:ascii="Times New Roman" w:hAnsi="Times New Roman" w:eastAsia="宋体" w:cs="Times New Roman"/>
                <w:color w:val="auto"/>
                <w:kern w:val="0"/>
                <w:sz w:val="24"/>
              </w:rPr>
              <w:t>产生量为</w:t>
            </w:r>
            <w:r>
              <w:rPr>
                <w:rFonts w:hint="default" w:ascii="Times New Roman" w:hAnsi="Times New Roman" w:eastAsia="宋体" w:cs="Times New Roman"/>
                <w:color w:val="auto"/>
                <w:kern w:val="0"/>
                <w:sz w:val="24"/>
                <w:lang w:val="en-US" w:eastAsia="zh-CN"/>
              </w:rPr>
              <w:t>0.</w:t>
            </w:r>
            <w:r>
              <w:rPr>
                <w:rFonts w:hint="default" w:ascii="Times New Roman" w:hAnsi="Times New Roman" w:cs="Times New Roman"/>
                <w:color w:val="auto"/>
                <w:kern w:val="0"/>
                <w:sz w:val="24"/>
                <w:lang w:val="en-US" w:eastAsia="zh-CN"/>
              </w:rPr>
              <w:t>93</w:t>
            </w:r>
            <w:r>
              <w:rPr>
                <w:rFonts w:hint="default" w:ascii="Times New Roman" w:hAnsi="Times New Roman" w:eastAsia="宋体" w:cs="Times New Roman"/>
                <w:color w:val="auto"/>
                <w:kern w:val="0"/>
                <w:sz w:val="24"/>
                <w:lang w:val="en-US" w:eastAsia="zh-CN"/>
              </w:rPr>
              <w:t>t/a</w:t>
            </w:r>
            <w:r>
              <w:rPr>
                <w:rFonts w:hint="default" w:ascii="Times New Roman" w:hAnsi="Times New Roman" w:eastAsia="宋体" w:cs="Times New Roman"/>
                <w:color w:val="auto"/>
                <w:kern w:val="0"/>
                <w:sz w:val="24"/>
              </w:rPr>
              <w:t>。</w:t>
            </w:r>
            <w:r>
              <w:rPr>
                <w:rFonts w:hint="default" w:ascii="Times New Roman" w:hAnsi="Times New Roman" w:eastAsia="宋体" w:cs="Times New Roman"/>
                <w:color w:val="auto"/>
              </w:rPr>
              <w:t>经查</w:t>
            </w:r>
            <w:r>
              <w:rPr>
                <w:rFonts w:hint="default" w:ascii="Times New Roman" w:hAnsi="Times New Roman" w:cs="Times New Roman"/>
                <w:color w:val="auto"/>
              </w:rPr>
              <w:t>《国家危险废物名录》（202</w:t>
            </w:r>
            <w:r>
              <w:rPr>
                <w:rFonts w:hint="default" w:ascii="Times New Roman" w:hAnsi="Times New Roman" w:cs="Times New Roman"/>
                <w:color w:val="auto"/>
                <w:lang w:val="en-US" w:eastAsia="zh-CN"/>
              </w:rPr>
              <w:t>5</w:t>
            </w:r>
            <w:r>
              <w:rPr>
                <w:rFonts w:hint="default" w:ascii="Times New Roman" w:hAnsi="Times New Roman" w:cs="Times New Roman"/>
                <w:color w:val="auto"/>
              </w:rPr>
              <w:t>年版），</w:t>
            </w:r>
            <w:r>
              <w:rPr>
                <w:rFonts w:hint="default" w:ascii="Times New Roman" w:hAnsi="Times New Roman" w:eastAsia="宋体" w:cs="Times New Roman"/>
                <w:color w:val="auto"/>
                <w:sz w:val="24"/>
                <w:szCs w:val="24"/>
              </w:rPr>
              <w:t>废包装桶</w:t>
            </w:r>
            <w:r>
              <w:rPr>
                <w:rFonts w:hint="default" w:ascii="Times New Roman" w:hAnsi="Times New Roman" w:eastAsia="宋体" w:cs="Times New Roman"/>
                <w:color w:val="auto"/>
              </w:rPr>
              <w:t>属于危险废物，危废编号HW08废矿物油与含矿物油废物，废物代码为900-249-08（其他生产、销售、使用过程中产生的废矿物油及含矿物油</w:t>
            </w:r>
            <w:r>
              <w:rPr>
                <w:rFonts w:hint="default" w:ascii="Times New Roman" w:hAnsi="Times New Roman" w:cs="Times New Roman"/>
                <w:color w:val="auto"/>
                <w:lang w:val="en-US" w:eastAsia="zh-CN"/>
              </w:rPr>
              <w:t>的废弃包装物</w:t>
            </w:r>
            <w:r>
              <w:rPr>
                <w:rFonts w:hint="default" w:ascii="Times New Roman" w:hAnsi="Times New Roman" w:eastAsia="宋体" w:cs="Times New Roman"/>
                <w:color w:val="auto"/>
              </w:rPr>
              <w:t>）；存储于</w:t>
            </w:r>
            <w:r>
              <w:rPr>
                <w:rFonts w:hint="default" w:ascii="Times New Roman" w:hAnsi="Times New Roman" w:eastAsia="宋体" w:cs="Times New Roman"/>
                <w:color w:val="auto"/>
                <w:lang w:eastAsia="zh-CN"/>
              </w:rPr>
              <w:t>危废暂存</w:t>
            </w:r>
            <w:r>
              <w:rPr>
                <w:rFonts w:hint="default" w:ascii="Times New Roman" w:hAnsi="Times New Roman" w:cs="Times New Roman"/>
                <w:color w:val="auto"/>
                <w:lang w:val="en-US" w:eastAsia="zh-CN"/>
              </w:rPr>
              <w:t>间</w:t>
            </w:r>
            <w:r>
              <w:rPr>
                <w:rFonts w:hint="default" w:ascii="Times New Roman" w:hAnsi="Times New Roman" w:eastAsia="宋体" w:cs="Times New Roman"/>
                <w:color w:val="auto"/>
              </w:rPr>
              <w:t>，定期委托</w:t>
            </w:r>
            <w:r>
              <w:rPr>
                <w:rFonts w:hint="default" w:ascii="Times New Roman" w:hAnsi="Times New Roman" w:cs="Times New Roman"/>
                <w:color w:val="auto"/>
              </w:rPr>
              <w:t>有资质单位处置。</w:t>
            </w:r>
            <w:r>
              <w:rPr>
                <w:rFonts w:hint="default" w:ascii="Times New Roman" w:hAnsi="Times New Roman" w:cs="Times New Roman"/>
                <w:color w:val="auto"/>
                <w:lang w:val="en-US" w:eastAsia="zh-CN"/>
              </w:rPr>
              <w:t xml:space="preserve"> </w:t>
            </w:r>
            <w:r>
              <w:rPr>
                <w:rFonts w:hint="eastAsia"/>
                <w:color w:val="auto"/>
                <w:lang w:val="en-US" w:eastAsia="zh-CN"/>
              </w:rPr>
              <w:t xml:space="preserve">  </w:t>
            </w:r>
          </w:p>
          <w:p w14:paraId="183085BF">
            <w:pPr>
              <w:keepNext w:val="0"/>
              <w:keepLines w:val="0"/>
              <w:suppressLineNumbers w:val="0"/>
              <w:spacing w:before="0" w:beforeAutospacing="0" w:after="0" w:afterAutospacing="0" w:line="440" w:lineRule="exact"/>
              <w:ind w:left="0" w:right="0" w:firstLine="480" w:firstLineChars="200"/>
              <w:rPr>
                <w:rFonts w:hint="default" w:ascii="Times New Roman" w:hAnsi="Times New Roman" w:eastAsia="Times New Roman" w:cs="Times New Roman"/>
                <w:color w:val="auto"/>
                <w:sz w:val="24"/>
                <w:szCs w:val="24"/>
              </w:rPr>
            </w:pPr>
            <w:r>
              <w:rPr>
                <w:rFonts w:hint="default" w:ascii="Times New Roman" w:hAnsi="Times New Roman" w:cs="Times New Roman"/>
                <w:color w:val="auto"/>
                <w:sz w:val="24"/>
                <w:szCs w:val="24"/>
              </w:rPr>
              <w:t>⑦</w:t>
            </w:r>
            <w:r>
              <w:rPr>
                <w:rFonts w:hint="default" w:ascii="Times New Roman" w:hAnsi="Times New Roman" w:eastAsia="Times New Roman" w:cs="Times New Roman"/>
                <w:color w:val="auto"/>
                <w:sz w:val="24"/>
                <w:szCs w:val="24"/>
              </w:rPr>
              <w:t>废过滤棉</w:t>
            </w:r>
          </w:p>
          <w:p w14:paraId="3E672B97">
            <w:pPr>
              <w:pStyle w:val="62"/>
              <w:keepNext w:val="0"/>
              <w:keepLines w:val="0"/>
              <w:suppressLineNumbers w:val="0"/>
              <w:bidi w:val="0"/>
              <w:spacing w:before="0" w:beforeAutospacing="0" w:after="0" w:afterAutospacing="0"/>
              <w:ind w:left="0" w:right="0"/>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项目</w:t>
            </w:r>
            <w:r>
              <w:rPr>
                <w:rStyle w:val="67"/>
                <w:rFonts w:hint="default" w:ascii="Times New Roman" w:hAnsi="Times New Roman" w:cs="Times New Roman"/>
                <w:color w:val="auto"/>
                <w:sz w:val="24"/>
                <w:szCs w:val="24"/>
              </w:rPr>
              <w:t>三级干式过滤器</w:t>
            </w:r>
            <w:r>
              <w:rPr>
                <w:rFonts w:hint="default" w:ascii="Times New Roman" w:hAnsi="Times New Roman" w:eastAsia="Times New Roman" w:cs="Times New Roman"/>
                <w:color w:val="auto"/>
                <w:sz w:val="24"/>
                <w:szCs w:val="24"/>
              </w:rPr>
              <w:t>内置过滤棉</w:t>
            </w:r>
            <w:r>
              <w:rPr>
                <w:rFonts w:hint="default" w:ascii="Times New Roman" w:hAnsi="Times New Roman" w:eastAsia="宋体" w:cs="Times New Roman"/>
                <w:color w:val="auto"/>
                <w:sz w:val="24"/>
                <w:szCs w:val="24"/>
                <w:lang w:val="en-US" w:eastAsia="zh-CN"/>
              </w:rPr>
              <w:t>吸附</w:t>
            </w:r>
            <w:r>
              <w:rPr>
                <w:rFonts w:hint="default" w:ascii="Times New Roman" w:hAnsi="Times New Roman" w:eastAsia="Times New Roman" w:cs="Times New Roman"/>
                <w:color w:val="auto"/>
                <w:sz w:val="24"/>
                <w:szCs w:val="24"/>
              </w:rPr>
              <w:t>，过滤棉重量约为250g/m</w:t>
            </w:r>
            <w:r>
              <w:rPr>
                <w:rFonts w:hint="default" w:ascii="Times New Roman" w:hAnsi="Times New Roman" w:eastAsia="Times New Roman" w:cs="Times New Roman"/>
                <w:color w:val="auto"/>
                <w:sz w:val="24"/>
                <w:szCs w:val="24"/>
                <w:vertAlign w:val="superscript"/>
              </w:rPr>
              <w:t>2</w:t>
            </w:r>
            <w:r>
              <w:rPr>
                <w:rFonts w:hint="default" w:ascii="Times New Roman" w:hAnsi="Times New Roman" w:eastAsia="Times New Roman" w:cs="Times New Roman"/>
                <w:color w:val="auto"/>
                <w:sz w:val="24"/>
                <w:szCs w:val="24"/>
              </w:rPr>
              <w:t>。过滤棉吸附</w:t>
            </w:r>
            <w:r>
              <w:rPr>
                <w:rFonts w:hint="default" w:ascii="Times New Roman" w:hAnsi="Times New Roman" w:eastAsia="宋体" w:cs="Times New Roman"/>
                <w:color w:val="auto"/>
                <w:sz w:val="24"/>
                <w:szCs w:val="24"/>
                <w:lang w:val="en-US" w:eastAsia="zh-CN"/>
              </w:rPr>
              <w:t>油</w:t>
            </w:r>
            <w:r>
              <w:rPr>
                <w:rFonts w:hint="default" w:ascii="Times New Roman" w:hAnsi="Times New Roman" w:eastAsia="Times New Roman" w:cs="Times New Roman"/>
                <w:color w:val="auto"/>
                <w:sz w:val="24"/>
                <w:szCs w:val="24"/>
              </w:rPr>
              <w:t>雾的能力1-2kg/m</w:t>
            </w:r>
            <w:r>
              <w:rPr>
                <w:rFonts w:hint="default" w:ascii="Times New Roman" w:hAnsi="Times New Roman" w:eastAsia="Times New Roman" w:cs="Times New Roman"/>
                <w:color w:val="auto"/>
                <w:sz w:val="24"/>
                <w:szCs w:val="24"/>
                <w:vertAlign w:val="superscript"/>
              </w:rPr>
              <w:t>2</w:t>
            </w:r>
            <w:r>
              <w:rPr>
                <w:rFonts w:hint="default" w:ascii="Times New Roman" w:hAnsi="Times New Roman" w:eastAsia="Times New Roman" w:cs="Times New Roman"/>
                <w:color w:val="auto"/>
                <w:sz w:val="24"/>
                <w:szCs w:val="24"/>
              </w:rPr>
              <w:t>过滤棉，本项目按</w:t>
            </w:r>
            <w:r>
              <w:rPr>
                <w:rFonts w:hint="default" w:ascii="Times New Roman" w:hAnsi="Times New Roman" w:eastAsia="宋体" w:cs="Times New Roman"/>
                <w:color w:val="auto"/>
                <w:sz w:val="24"/>
                <w:szCs w:val="24"/>
                <w:lang w:val="en-US" w:eastAsia="zh-CN"/>
              </w:rPr>
              <w:t>2</w:t>
            </w:r>
            <w:r>
              <w:rPr>
                <w:rFonts w:hint="default" w:ascii="Times New Roman" w:hAnsi="Times New Roman" w:eastAsia="Times New Roman" w:cs="Times New Roman"/>
                <w:color w:val="auto"/>
                <w:sz w:val="24"/>
                <w:szCs w:val="24"/>
              </w:rPr>
              <w:t>kg/m</w:t>
            </w:r>
            <w:r>
              <w:rPr>
                <w:rFonts w:hint="default" w:ascii="Times New Roman" w:hAnsi="Times New Roman" w:eastAsia="Times New Roman" w:cs="Times New Roman"/>
                <w:color w:val="auto"/>
                <w:sz w:val="24"/>
                <w:szCs w:val="24"/>
                <w:vertAlign w:val="superscript"/>
              </w:rPr>
              <w:t>2</w:t>
            </w:r>
            <w:r>
              <w:rPr>
                <w:rFonts w:hint="default" w:ascii="Times New Roman" w:hAnsi="Times New Roman" w:eastAsia="Times New Roman" w:cs="Times New Roman"/>
                <w:color w:val="auto"/>
                <w:sz w:val="24"/>
                <w:szCs w:val="24"/>
              </w:rPr>
              <w:t>计。根据</w:t>
            </w:r>
            <w:r>
              <w:rPr>
                <w:rFonts w:hint="default" w:ascii="Times New Roman" w:hAnsi="Times New Roman" w:eastAsia="宋体" w:cs="Times New Roman"/>
                <w:color w:val="auto"/>
                <w:sz w:val="24"/>
                <w:szCs w:val="24"/>
                <w:lang w:val="en-US" w:eastAsia="zh-CN"/>
              </w:rPr>
              <w:t>计算</w:t>
            </w:r>
            <w:r>
              <w:rPr>
                <w:rFonts w:hint="default" w:ascii="Times New Roman" w:hAnsi="Times New Roman" w:eastAsia="Times New Roman" w:cs="Times New Roman"/>
                <w:color w:val="auto"/>
                <w:sz w:val="24"/>
                <w:szCs w:val="24"/>
              </w:rPr>
              <w:t>，本项目过滤棉吸附</w:t>
            </w:r>
            <w:r>
              <w:rPr>
                <w:rFonts w:hint="default" w:ascii="Times New Roman" w:hAnsi="Times New Roman" w:eastAsia="宋体" w:cs="Times New Roman"/>
                <w:color w:val="auto"/>
                <w:sz w:val="24"/>
                <w:szCs w:val="24"/>
                <w:lang w:val="en-US" w:eastAsia="zh-CN"/>
              </w:rPr>
              <w:t>油雾</w:t>
            </w:r>
            <w:r>
              <w:rPr>
                <w:rFonts w:hint="default" w:ascii="Times New Roman" w:hAnsi="Times New Roman" w:eastAsia="Times New Roman" w:cs="Times New Roman"/>
                <w:color w:val="auto"/>
                <w:sz w:val="24"/>
                <w:szCs w:val="24"/>
              </w:rPr>
              <w:t>量共约为</w:t>
            </w:r>
            <w:r>
              <w:rPr>
                <w:rFonts w:hint="default" w:ascii="Times New Roman" w:hAnsi="Times New Roman" w:eastAsia="Times New Roman" w:cs="Times New Roman"/>
                <w:color w:val="auto"/>
                <w:sz w:val="24"/>
                <w:szCs w:val="24"/>
                <w:lang w:val="en-US" w:eastAsia="zh-CN"/>
              </w:rPr>
              <w:t>0.2</w:t>
            </w:r>
            <w:r>
              <w:rPr>
                <w:rFonts w:hint="default" w:ascii="Times New Roman" w:hAnsi="Times New Roman" w:eastAsia="Times New Roman" w:cs="Times New Roman"/>
                <w:color w:val="auto"/>
                <w:sz w:val="24"/>
                <w:szCs w:val="24"/>
              </w:rPr>
              <w:t>t/a，则过滤棉使用量约为</w:t>
            </w:r>
            <w:r>
              <w:rPr>
                <w:rFonts w:hint="default" w:ascii="Times New Roman" w:hAnsi="Times New Roman" w:eastAsia="Times New Roman" w:cs="Times New Roman"/>
                <w:color w:val="auto"/>
                <w:sz w:val="24"/>
                <w:szCs w:val="24"/>
                <w:lang w:val="en-US" w:eastAsia="zh-CN"/>
              </w:rPr>
              <w:t>100</w:t>
            </w:r>
            <w:r>
              <w:rPr>
                <w:rFonts w:hint="default" w:ascii="Times New Roman" w:hAnsi="Times New Roman" w:eastAsia="Times New Roman" w:cs="Times New Roman"/>
                <w:color w:val="auto"/>
                <w:sz w:val="24"/>
                <w:szCs w:val="24"/>
              </w:rPr>
              <w:t>m</w:t>
            </w:r>
            <w:r>
              <w:rPr>
                <w:rFonts w:hint="default" w:ascii="Times New Roman" w:hAnsi="Times New Roman" w:eastAsia="Times New Roman" w:cs="Times New Roman"/>
                <w:color w:val="auto"/>
                <w:sz w:val="24"/>
                <w:szCs w:val="24"/>
                <w:vertAlign w:val="superscript"/>
              </w:rPr>
              <w:t>2</w:t>
            </w:r>
            <w:r>
              <w:rPr>
                <w:rFonts w:hint="default" w:ascii="Times New Roman" w:hAnsi="Times New Roman" w:eastAsia="Times New Roman" w:cs="Times New Roman"/>
                <w:color w:val="auto"/>
                <w:sz w:val="24"/>
                <w:szCs w:val="24"/>
              </w:rPr>
              <w:t>/a（0.</w:t>
            </w:r>
            <w:r>
              <w:rPr>
                <w:rFonts w:hint="default" w:ascii="Times New Roman" w:hAnsi="Times New Roman" w:eastAsia="Times New Roman" w:cs="Times New Roman"/>
                <w:color w:val="auto"/>
                <w:sz w:val="24"/>
                <w:szCs w:val="24"/>
                <w:lang w:val="en-US" w:eastAsia="zh-CN"/>
              </w:rPr>
              <w:t>025</w:t>
            </w:r>
            <w:r>
              <w:rPr>
                <w:rFonts w:hint="default" w:ascii="Times New Roman" w:hAnsi="Times New Roman" w:eastAsia="Times New Roman" w:cs="Times New Roman"/>
                <w:color w:val="auto"/>
                <w:sz w:val="24"/>
                <w:szCs w:val="24"/>
              </w:rPr>
              <w:t>t/a），则废过滤棉产生量约为</w:t>
            </w:r>
            <w:r>
              <w:rPr>
                <w:rFonts w:hint="default" w:ascii="Times New Roman" w:hAnsi="Times New Roman" w:eastAsia="Times New Roman" w:cs="Times New Roman"/>
                <w:color w:val="auto"/>
                <w:sz w:val="24"/>
                <w:szCs w:val="24"/>
                <w:lang w:val="en-US" w:eastAsia="zh-CN"/>
              </w:rPr>
              <w:t>0.225</w:t>
            </w:r>
            <w:r>
              <w:rPr>
                <w:rFonts w:hint="default" w:ascii="Times New Roman" w:hAnsi="Times New Roman" w:eastAsia="Times New Roman" w:cs="Times New Roman"/>
                <w:color w:val="auto"/>
                <w:sz w:val="24"/>
                <w:szCs w:val="24"/>
              </w:rPr>
              <w:t>t/a。经查《国家危险废物名录》（202</w:t>
            </w:r>
            <w:r>
              <w:rPr>
                <w:rFonts w:hint="default" w:ascii="Times New Roman" w:hAnsi="Times New Roman" w:eastAsia="宋体" w:cs="Times New Roman"/>
                <w:color w:val="auto"/>
                <w:sz w:val="24"/>
                <w:szCs w:val="24"/>
                <w:lang w:val="en-US" w:eastAsia="zh-CN"/>
              </w:rPr>
              <w:t>5</w:t>
            </w:r>
            <w:r>
              <w:rPr>
                <w:rFonts w:hint="default" w:ascii="Times New Roman" w:hAnsi="Times New Roman" w:eastAsia="Times New Roman" w:cs="Times New Roman"/>
                <w:color w:val="auto"/>
                <w:sz w:val="24"/>
                <w:szCs w:val="24"/>
              </w:rPr>
              <w:t>年版），</w:t>
            </w:r>
            <w:r>
              <w:rPr>
                <w:rFonts w:hint="default" w:ascii="Times New Roman" w:hAnsi="Times New Roman" w:eastAsia="宋体" w:cs="Times New Roman"/>
                <w:color w:val="auto"/>
                <w:sz w:val="24"/>
                <w:szCs w:val="24"/>
                <w:lang w:val="en-US" w:eastAsia="zh-CN"/>
              </w:rPr>
              <w:t>废过滤棉</w:t>
            </w:r>
            <w:r>
              <w:rPr>
                <w:rFonts w:hint="default" w:ascii="Times New Roman" w:hAnsi="Times New Roman" w:eastAsia="宋体" w:cs="Times New Roman"/>
                <w:bCs/>
                <w:color w:val="auto"/>
                <w:sz w:val="24"/>
                <w:szCs w:val="24"/>
                <w:lang w:val="en-US" w:eastAsia="zh-CN"/>
              </w:rPr>
              <w:t>属于《国家危险废物名录》（2025年版）HW09油/水、烃/水混合物或者乳化液，废物代码为900-007-09。暂存于危废暂存场所，定期交由有资质的单位处置。</w:t>
            </w:r>
          </w:p>
          <w:p w14:paraId="724D540B">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lang w:val="en-US" w:eastAsia="zh-CN"/>
              </w:rPr>
            </w:pPr>
            <w:r>
              <w:rPr>
                <w:rFonts w:hint="eastAsia"/>
                <w:color w:val="auto"/>
                <w:lang w:val="en-US" w:eastAsia="zh-CN"/>
              </w:rPr>
              <w:t>⑧</w:t>
            </w:r>
            <w:r>
              <w:rPr>
                <w:rFonts w:hint="default" w:ascii="Times New Roman" w:hAnsi="Times New Roman" w:eastAsia="宋体" w:cs="Times New Roman"/>
                <w:color w:val="auto"/>
                <w:lang w:val="en-US" w:eastAsia="zh-CN"/>
              </w:rPr>
              <w:t>生活垃圾</w:t>
            </w:r>
          </w:p>
          <w:p w14:paraId="6F9B2CFD">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rPr>
            </w:pPr>
            <w:r>
              <w:rPr>
                <w:rFonts w:hint="default"/>
                <w:color w:val="auto"/>
              </w:rPr>
              <w:t>本</w:t>
            </w:r>
            <w:r>
              <w:rPr>
                <w:rFonts w:hint="default"/>
                <w:color w:val="auto"/>
                <w:lang w:val="en-US" w:eastAsia="zh-CN"/>
              </w:rPr>
              <w:t>次劳动</w:t>
            </w:r>
            <w:r>
              <w:rPr>
                <w:rFonts w:hint="eastAsia"/>
                <w:color w:val="auto"/>
                <w:lang w:val="en-US" w:eastAsia="zh-CN"/>
              </w:rPr>
              <w:t>定</w:t>
            </w:r>
            <w:r>
              <w:rPr>
                <w:rFonts w:hint="default"/>
                <w:color w:val="auto"/>
                <w:lang w:val="en-US" w:eastAsia="zh-CN"/>
              </w:rPr>
              <w:t>员</w:t>
            </w:r>
            <w:r>
              <w:rPr>
                <w:rFonts w:hint="eastAsia"/>
                <w:color w:val="auto"/>
                <w:lang w:val="en-US" w:eastAsia="zh-CN"/>
              </w:rPr>
              <w:t>20</w:t>
            </w:r>
            <w:r>
              <w:rPr>
                <w:rFonts w:hint="default"/>
                <w:color w:val="auto"/>
              </w:rPr>
              <w:t>人，年工作3</w:t>
            </w:r>
            <w:r>
              <w:rPr>
                <w:rFonts w:hint="default"/>
                <w:color w:val="auto"/>
                <w:lang w:val="en-US" w:eastAsia="zh-CN"/>
              </w:rPr>
              <w:t>0</w:t>
            </w:r>
            <w:r>
              <w:rPr>
                <w:rFonts w:hint="default"/>
                <w:color w:val="auto"/>
              </w:rPr>
              <w:t>0天，职工生活垃圾以每人每天0.5kg计，则生活垃圾</w:t>
            </w:r>
            <w:r>
              <w:rPr>
                <w:rFonts w:hint="eastAsia"/>
                <w:color w:val="auto"/>
                <w:lang w:val="en-US" w:eastAsia="zh-CN"/>
              </w:rPr>
              <w:t>产生</w:t>
            </w:r>
            <w:r>
              <w:rPr>
                <w:rFonts w:hint="default"/>
                <w:color w:val="auto"/>
              </w:rPr>
              <w:t>量为</w:t>
            </w:r>
            <w:r>
              <w:rPr>
                <w:rFonts w:hint="eastAsia"/>
                <w:color w:val="auto"/>
                <w:lang w:val="en-US" w:eastAsia="zh-CN"/>
              </w:rPr>
              <w:t>3</w:t>
            </w:r>
            <w:r>
              <w:rPr>
                <w:rFonts w:hint="default"/>
                <w:color w:val="auto"/>
              </w:rPr>
              <w:t>t/a，生活垃圾集中收集后由环卫部门统一清运。</w:t>
            </w:r>
          </w:p>
          <w:p w14:paraId="2491EDEE">
            <w:pPr>
              <w:keepNext w:val="0"/>
              <w:keepLines w:val="0"/>
              <w:suppressLineNumbers w:val="0"/>
              <w:spacing w:before="0" w:beforeAutospacing="0" w:after="0" w:afterAutospacing="0" w:line="460" w:lineRule="exact"/>
              <w:ind w:left="0" w:right="0" w:firstLine="422" w:firstLineChars="20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表4-</w:t>
            </w:r>
            <w:r>
              <w:rPr>
                <w:rFonts w:hint="eastAsia" w:ascii="Times New Roman" w:hAnsi="Times New Roman" w:cs="Times New Roman"/>
                <w:b/>
                <w:bCs/>
                <w:color w:val="auto"/>
                <w:lang w:val="en-US" w:eastAsia="zh-CN"/>
              </w:rPr>
              <w:t>22</w:t>
            </w:r>
            <w:r>
              <w:rPr>
                <w:rFonts w:hint="default" w:ascii="Times New Roman" w:hAnsi="Times New Roman" w:eastAsia="宋体" w:cs="Times New Roman"/>
                <w:b/>
                <w:bCs/>
                <w:color w:val="auto"/>
              </w:rPr>
              <w:t xml:space="preserve">  本项目固废产生及处置情况  单位：t/a</w:t>
            </w:r>
          </w:p>
          <w:tbl>
            <w:tblPr>
              <w:tblStyle w:val="52"/>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8"/>
              <w:gridCol w:w="1131"/>
              <w:gridCol w:w="868"/>
              <w:gridCol w:w="690"/>
              <w:gridCol w:w="1131"/>
              <w:gridCol w:w="2070"/>
              <w:gridCol w:w="1629"/>
            </w:tblGrid>
            <w:tr w14:paraId="692A1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16" w:type="pct"/>
                  <w:noWrap w:val="0"/>
                  <w:vAlign w:val="center"/>
                </w:tcPr>
                <w:p w14:paraId="234582F3">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分类</w:t>
                  </w:r>
                </w:p>
              </w:tc>
              <w:tc>
                <w:tcPr>
                  <w:tcW w:w="659" w:type="pct"/>
                  <w:noWrap w:val="0"/>
                  <w:vAlign w:val="center"/>
                </w:tcPr>
                <w:p w14:paraId="40CFF863">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名称</w:t>
                  </w:r>
                </w:p>
              </w:tc>
              <w:tc>
                <w:tcPr>
                  <w:tcW w:w="506" w:type="pct"/>
                  <w:noWrap w:val="0"/>
                  <w:vAlign w:val="center"/>
                </w:tcPr>
                <w:p w14:paraId="39BE0031">
                  <w:pPr>
                    <w:pStyle w:val="64"/>
                    <w:keepNext w:val="0"/>
                    <w:keepLines w:val="0"/>
                    <w:suppressLineNumbers w:val="0"/>
                    <w:tabs>
                      <w:tab w:val="center" w:pos="0"/>
                    </w:tabs>
                    <w:snapToGrid/>
                    <w:spacing w:before="0" w:beforeLines="0" w:beforeAutospacing="0" w:after="0" w:afterLines="0" w:afterAutospacing="0" w:line="280" w:lineRule="exact"/>
                    <w:ind w:left="380" w:leftChars="-20" w:right="-42" w:rightChars="-20"/>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产生量</w:t>
                  </w:r>
                </w:p>
              </w:tc>
              <w:tc>
                <w:tcPr>
                  <w:tcW w:w="402" w:type="pct"/>
                  <w:noWrap w:val="0"/>
                  <w:vAlign w:val="center"/>
                </w:tcPr>
                <w:p w14:paraId="36542888">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状态</w:t>
                  </w:r>
                </w:p>
              </w:tc>
              <w:tc>
                <w:tcPr>
                  <w:tcW w:w="659" w:type="pct"/>
                  <w:noWrap w:val="0"/>
                  <w:vAlign w:val="center"/>
                </w:tcPr>
                <w:p w14:paraId="56E92796">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存放地点</w:t>
                  </w:r>
                </w:p>
              </w:tc>
              <w:tc>
                <w:tcPr>
                  <w:tcW w:w="1206" w:type="pct"/>
                  <w:noWrap w:val="0"/>
                  <w:vAlign w:val="center"/>
                </w:tcPr>
                <w:p w14:paraId="758631D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代码</w:t>
                  </w:r>
                </w:p>
              </w:tc>
              <w:tc>
                <w:tcPr>
                  <w:tcW w:w="949" w:type="pct"/>
                  <w:noWrap w:val="0"/>
                  <w:vAlign w:val="center"/>
                </w:tcPr>
                <w:p w14:paraId="53EA78B2">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处理处置措施</w:t>
                  </w:r>
                </w:p>
              </w:tc>
            </w:tr>
            <w:tr w14:paraId="6554E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616" w:type="pct"/>
                  <w:noWrap w:val="0"/>
                  <w:vAlign w:val="center"/>
                </w:tcPr>
                <w:p w14:paraId="306C35C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生活垃圾</w:t>
                  </w:r>
                </w:p>
              </w:tc>
              <w:tc>
                <w:tcPr>
                  <w:tcW w:w="659" w:type="pct"/>
                  <w:noWrap w:val="0"/>
                  <w:vAlign w:val="center"/>
                </w:tcPr>
                <w:p w14:paraId="48FEFB3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生活垃圾</w:t>
                  </w:r>
                </w:p>
              </w:tc>
              <w:tc>
                <w:tcPr>
                  <w:tcW w:w="506" w:type="pct"/>
                  <w:noWrap w:val="0"/>
                  <w:vAlign w:val="center"/>
                </w:tcPr>
                <w:p w14:paraId="3AD8DF22">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1"/>
                      <w:szCs w:val="21"/>
                      <w:lang w:val="en-US"/>
                    </w:rPr>
                  </w:pPr>
                  <w:r>
                    <w:rPr>
                      <w:rFonts w:hint="eastAsia" w:ascii="Times New Roman" w:hAnsi="Times New Roman" w:cs="Times New Roman"/>
                      <w:color w:val="auto"/>
                      <w:sz w:val="21"/>
                      <w:szCs w:val="21"/>
                      <w:lang w:val="en-US" w:eastAsia="zh-CN"/>
                    </w:rPr>
                    <w:t>3</w:t>
                  </w:r>
                </w:p>
              </w:tc>
              <w:tc>
                <w:tcPr>
                  <w:tcW w:w="402" w:type="pct"/>
                  <w:noWrap w:val="0"/>
                  <w:vAlign w:val="center"/>
                </w:tcPr>
                <w:p w14:paraId="112F0970">
                  <w:pPr>
                    <w:keepNext w:val="0"/>
                    <w:keepLines w:val="0"/>
                    <w:suppressLineNumbers w:val="0"/>
                    <w:spacing w:before="0" w:beforeAutospacing="0" w:after="0" w:afterAutospacing="0" w:line="280" w:lineRule="exact"/>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固态</w:t>
                  </w:r>
                </w:p>
              </w:tc>
              <w:tc>
                <w:tcPr>
                  <w:tcW w:w="659" w:type="pct"/>
                  <w:noWrap w:val="0"/>
                  <w:vAlign w:val="center"/>
                </w:tcPr>
                <w:p w14:paraId="32D4CBA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厂区垃圾桶</w:t>
                  </w:r>
                </w:p>
              </w:tc>
              <w:tc>
                <w:tcPr>
                  <w:tcW w:w="1206" w:type="pct"/>
                  <w:noWrap w:val="0"/>
                  <w:vAlign w:val="center"/>
                </w:tcPr>
                <w:p w14:paraId="5EDF3B3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w:t>
                  </w:r>
                </w:p>
              </w:tc>
              <w:tc>
                <w:tcPr>
                  <w:tcW w:w="949" w:type="pct"/>
                  <w:noWrap w:val="0"/>
                  <w:vAlign w:val="center"/>
                </w:tcPr>
                <w:p w14:paraId="768D7A2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由环卫部门统一处置</w:t>
                  </w:r>
                </w:p>
              </w:tc>
            </w:tr>
            <w:tr w14:paraId="5CEB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616" w:type="pct"/>
                  <w:noWrap w:val="0"/>
                  <w:vAlign w:val="center"/>
                </w:tcPr>
                <w:p w14:paraId="669F865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一般固废</w:t>
                  </w:r>
                </w:p>
              </w:tc>
              <w:tc>
                <w:tcPr>
                  <w:tcW w:w="659" w:type="pct"/>
                  <w:noWrap w:val="0"/>
                  <w:vAlign w:val="center"/>
                </w:tcPr>
                <w:p w14:paraId="0CBB7D9F">
                  <w:pPr>
                    <w:pStyle w:val="144"/>
                    <w:keepNext w:val="0"/>
                    <w:keepLines w:val="0"/>
                    <w:suppressLineNumbers w:val="0"/>
                    <w:spacing w:before="0" w:beforeAutospacing="0" w:after="0" w:afterAutospacing="0"/>
                    <w:ind w:left="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rPr>
                    <w:t>不合格品</w:t>
                  </w:r>
                </w:p>
              </w:tc>
              <w:tc>
                <w:tcPr>
                  <w:tcW w:w="506" w:type="pct"/>
                  <w:noWrap w:val="0"/>
                  <w:vAlign w:val="center"/>
                </w:tcPr>
                <w:p w14:paraId="08B40A45">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1"/>
                      <w:szCs w:val="21"/>
                      <w:lang w:val="en-US"/>
                    </w:rPr>
                  </w:pPr>
                  <w:r>
                    <w:rPr>
                      <w:rFonts w:hint="eastAsia" w:ascii="Times New Roman" w:hAnsi="Times New Roman" w:cs="Times New Roman"/>
                      <w:color w:val="auto"/>
                      <w:sz w:val="21"/>
                      <w:szCs w:val="21"/>
                      <w:lang w:val="en-US" w:eastAsia="zh-CN"/>
                    </w:rPr>
                    <w:t>3.5</w:t>
                  </w:r>
                </w:p>
              </w:tc>
              <w:tc>
                <w:tcPr>
                  <w:tcW w:w="402" w:type="pct"/>
                  <w:noWrap w:val="0"/>
                  <w:vAlign w:val="center"/>
                </w:tcPr>
                <w:p w14:paraId="7B100A89">
                  <w:pPr>
                    <w:keepNext w:val="0"/>
                    <w:keepLines w:val="0"/>
                    <w:suppressLineNumbers w:val="0"/>
                    <w:spacing w:before="0" w:beforeAutospacing="0" w:after="0" w:afterAutospacing="0" w:line="280" w:lineRule="exact"/>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固态</w:t>
                  </w:r>
                </w:p>
              </w:tc>
              <w:tc>
                <w:tcPr>
                  <w:tcW w:w="659" w:type="pct"/>
                  <w:noWrap w:val="0"/>
                  <w:vAlign w:val="center"/>
                </w:tcPr>
                <w:p w14:paraId="23FD108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一般固废</w:t>
                  </w:r>
                  <w:r>
                    <w:rPr>
                      <w:rFonts w:hint="default" w:ascii="Times New Roman" w:hAnsi="Times New Roman" w:eastAsia="宋体" w:cs="Times New Roman"/>
                      <w:color w:val="auto"/>
                      <w:sz w:val="21"/>
                      <w:szCs w:val="21"/>
                      <w:lang w:val="en-US" w:eastAsia="zh-CN"/>
                    </w:rPr>
                    <w:t>暂存间</w:t>
                  </w:r>
                </w:p>
              </w:tc>
              <w:tc>
                <w:tcPr>
                  <w:tcW w:w="1206" w:type="pct"/>
                  <w:noWrap w:val="0"/>
                  <w:vAlign w:val="center"/>
                </w:tcPr>
                <w:p w14:paraId="6902901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u w:val="none" w:color="auto"/>
                      <w:lang w:val="en-US" w:eastAsia="zh-CN"/>
                    </w:rPr>
                    <w:t>900-001-S17</w:t>
                  </w:r>
                </w:p>
              </w:tc>
              <w:tc>
                <w:tcPr>
                  <w:tcW w:w="949" w:type="pct"/>
                  <w:noWrap w:val="0"/>
                  <w:vAlign w:val="center"/>
                </w:tcPr>
                <w:p w14:paraId="44F2FC56">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Times New Roman" w:cs="Times New Roman"/>
                      <w:bCs/>
                      <w:color w:val="auto"/>
                      <w:sz w:val="21"/>
                      <w:szCs w:val="21"/>
                      <w:lang w:val="en-US" w:eastAsia="zh-CN"/>
                    </w:rPr>
                    <w:t>收集外售</w:t>
                  </w:r>
                </w:p>
              </w:tc>
            </w:tr>
            <w:tr w14:paraId="7DA71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616" w:type="pct"/>
                  <w:vMerge w:val="restart"/>
                  <w:noWrap w:val="0"/>
                  <w:vAlign w:val="center"/>
                </w:tcPr>
                <w:p w14:paraId="07A9F10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危险废物</w:t>
                  </w:r>
                </w:p>
              </w:tc>
              <w:tc>
                <w:tcPr>
                  <w:tcW w:w="659" w:type="pct"/>
                  <w:noWrap w:val="0"/>
                  <w:vAlign w:val="center"/>
                </w:tcPr>
                <w:p w14:paraId="3E5DF2DE">
                  <w:pPr>
                    <w:pStyle w:val="144"/>
                    <w:keepNext w:val="0"/>
                    <w:keepLines w:val="0"/>
                    <w:suppressLineNumbers w:val="0"/>
                    <w:spacing w:before="0" w:beforeAutospacing="0" w:after="0" w:afterAutospacing="0"/>
                    <w:ind w:left="0" w:right="0" w:rightChars="0"/>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油污</w:t>
                  </w:r>
                </w:p>
              </w:tc>
              <w:tc>
                <w:tcPr>
                  <w:tcW w:w="506" w:type="pct"/>
                  <w:noWrap w:val="0"/>
                  <w:vAlign w:val="center"/>
                </w:tcPr>
                <w:p w14:paraId="273833B2">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1.94</w:t>
                  </w:r>
                </w:p>
              </w:tc>
              <w:tc>
                <w:tcPr>
                  <w:tcW w:w="402" w:type="pct"/>
                  <w:noWrap w:val="0"/>
                  <w:vAlign w:val="center"/>
                </w:tcPr>
                <w:p w14:paraId="18E61DC3">
                  <w:pPr>
                    <w:keepNext w:val="0"/>
                    <w:keepLines w:val="0"/>
                    <w:suppressLineNumbers w:val="0"/>
                    <w:spacing w:before="0" w:beforeAutospacing="0" w:after="0" w:afterAutospacing="0" w:line="280" w:lineRule="exact"/>
                    <w:ind w:left="-105" w:leftChars="-50" w:right="-105" w:rightChars="-5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固</w:t>
                  </w:r>
                  <w:r>
                    <w:rPr>
                      <w:rFonts w:hint="default" w:ascii="Times New Roman" w:hAnsi="Times New Roman" w:eastAsia="宋体" w:cs="Times New Roman"/>
                      <w:color w:val="auto"/>
                      <w:sz w:val="21"/>
                      <w:szCs w:val="21"/>
                      <w:lang w:val="en-US" w:eastAsia="zh-CN"/>
                    </w:rPr>
                    <w:t>态</w:t>
                  </w:r>
                </w:p>
              </w:tc>
              <w:tc>
                <w:tcPr>
                  <w:tcW w:w="659" w:type="pct"/>
                  <w:vMerge w:val="restart"/>
                  <w:noWrap w:val="0"/>
                  <w:vAlign w:val="center"/>
                </w:tcPr>
                <w:p w14:paraId="3294535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危废</w:t>
                  </w:r>
                  <w:r>
                    <w:rPr>
                      <w:rFonts w:hint="default" w:ascii="Times New Roman" w:hAnsi="Times New Roman" w:eastAsia="宋体" w:cs="Times New Roman"/>
                      <w:color w:val="auto"/>
                      <w:sz w:val="21"/>
                      <w:szCs w:val="21"/>
                      <w:lang w:val="en-US" w:eastAsia="zh-CN"/>
                    </w:rPr>
                    <w:t>暂存间</w:t>
                  </w:r>
                </w:p>
              </w:tc>
              <w:tc>
                <w:tcPr>
                  <w:tcW w:w="2070" w:type="dxa"/>
                  <w:noWrap w:val="0"/>
                  <w:vAlign w:val="center"/>
                </w:tcPr>
                <w:p w14:paraId="27E31C4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lang w:val="en-US" w:eastAsia="zh-CN"/>
                    </w:rPr>
                    <w:t>HW09</w:t>
                  </w:r>
                  <w:r>
                    <w:rPr>
                      <w:rFonts w:hint="eastAsia" w:ascii="Times New Roman" w:hAnsi="Times New Roman" w:eastAsia="宋体" w:cs="Times New Roman"/>
                      <w:color w:val="auto"/>
                      <w:sz w:val="21"/>
                      <w:szCs w:val="21"/>
                      <w:u w:val="none" w:color="auto"/>
                      <w:lang w:val="en-US" w:eastAsia="zh-CN"/>
                    </w:rPr>
                    <w:t>/</w:t>
                  </w:r>
                  <w:r>
                    <w:rPr>
                      <w:rFonts w:hint="default" w:ascii="Times New Roman" w:hAnsi="Times New Roman" w:eastAsia="宋体" w:cs="Times New Roman"/>
                      <w:color w:val="auto"/>
                      <w:sz w:val="21"/>
                      <w:szCs w:val="21"/>
                      <w:u w:val="none" w:color="auto"/>
                      <w:lang w:val="en-US" w:eastAsia="zh-CN"/>
                    </w:rPr>
                    <w:t>900-007-09</w:t>
                  </w:r>
                </w:p>
              </w:tc>
              <w:tc>
                <w:tcPr>
                  <w:tcW w:w="949" w:type="pct"/>
                  <w:vMerge w:val="restart"/>
                  <w:noWrap w:val="0"/>
                  <w:vAlign w:val="center"/>
                </w:tcPr>
                <w:p w14:paraId="6B9F6312">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FF"/>
                      <w:sz w:val="21"/>
                      <w:szCs w:val="21"/>
                    </w:rPr>
                  </w:pPr>
                  <w:r>
                    <w:rPr>
                      <w:rFonts w:hint="default" w:ascii="Times New Roman" w:hAnsi="Times New Roman" w:eastAsia="宋体" w:cs="Times New Roman"/>
                      <w:bCs/>
                      <w:color w:val="auto"/>
                      <w:sz w:val="21"/>
                      <w:szCs w:val="21"/>
                    </w:rPr>
                    <w:t>收集贮存于危废</w:t>
                  </w:r>
                  <w:r>
                    <w:rPr>
                      <w:rFonts w:hint="default" w:ascii="Times New Roman" w:hAnsi="Times New Roman" w:eastAsia="宋体" w:cs="Times New Roman"/>
                      <w:bCs/>
                      <w:color w:val="auto"/>
                      <w:sz w:val="21"/>
                      <w:szCs w:val="21"/>
                      <w:lang w:val="en-US" w:eastAsia="zh-CN"/>
                    </w:rPr>
                    <w:t>暂存间</w:t>
                  </w:r>
                  <w:r>
                    <w:rPr>
                      <w:rFonts w:hint="default" w:ascii="Times New Roman" w:hAnsi="Times New Roman" w:eastAsia="宋体" w:cs="Times New Roman"/>
                      <w:bCs/>
                      <w:color w:val="auto"/>
                      <w:sz w:val="21"/>
                      <w:szCs w:val="21"/>
                    </w:rPr>
                    <w:t>，</w:t>
                  </w:r>
                  <w:r>
                    <w:rPr>
                      <w:rFonts w:hint="default" w:ascii="Times New Roman" w:hAnsi="Times New Roman" w:eastAsia="宋体" w:cs="Times New Roman"/>
                      <w:color w:val="auto"/>
                      <w:sz w:val="21"/>
                      <w:szCs w:val="21"/>
                    </w:rPr>
                    <w:t>委托有资质单位处理</w:t>
                  </w:r>
                </w:p>
              </w:tc>
            </w:tr>
            <w:tr w14:paraId="1FA0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616" w:type="pct"/>
                  <w:vMerge w:val="continue"/>
                  <w:noWrap w:val="0"/>
                  <w:vAlign w:val="center"/>
                </w:tcPr>
                <w:p w14:paraId="334BA85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FF"/>
                      <w:sz w:val="21"/>
                      <w:szCs w:val="21"/>
                    </w:rPr>
                  </w:pPr>
                </w:p>
              </w:tc>
              <w:tc>
                <w:tcPr>
                  <w:tcW w:w="659" w:type="pct"/>
                  <w:noWrap w:val="0"/>
                  <w:vAlign w:val="center"/>
                </w:tcPr>
                <w:p w14:paraId="2DE1A5D7">
                  <w:pPr>
                    <w:pStyle w:val="144"/>
                    <w:keepNext w:val="0"/>
                    <w:keepLines w:val="0"/>
                    <w:suppressLineNumbers w:val="0"/>
                    <w:spacing w:before="0" w:beforeAutospacing="0" w:after="0" w:afterAutospacing="0"/>
                    <w:ind w:left="0" w:right="0" w:rightChars="0"/>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油泥</w:t>
                  </w:r>
                </w:p>
              </w:tc>
              <w:tc>
                <w:tcPr>
                  <w:tcW w:w="506" w:type="pct"/>
                  <w:noWrap w:val="0"/>
                  <w:vAlign w:val="center"/>
                </w:tcPr>
                <w:p w14:paraId="5335CAE2">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0.5</w:t>
                  </w:r>
                </w:p>
              </w:tc>
              <w:tc>
                <w:tcPr>
                  <w:tcW w:w="402" w:type="pct"/>
                  <w:noWrap w:val="0"/>
                  <w:vAlign w:val="center"/>
                </w:tcPr>
                <w:p w14:paraId="66A1F9C4">
                  <w:pPr>
                    <w:keepNext w:val="0"/>
                    <w:keepLines w:val="0"/>
                    <w:suppressLineNumbers w:val="0"/>
                    <w:spacing w:before="0" w:beforeAutospacing="0" w:after="0" w:afterAutospacing="0" w:line="280" w:lineRule="exact"/>
                    <w:ind w:left="-105" w:leftChars="-50" w:right="-105" w:rightChars="-5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固</w:t>
                  </w:r>
                  <w:r>
                    <w:rPr>
                      <w:rFonts w:hint="default" w:ascii="Times New Roman" w:hAnsi="Times New Roman" w:eastAsia="宋体" w:cs="Times New Roman"/>
                      <w:color w:val="auto"/>
                      <w:sz w:val="21"/>
                      <w:szCs w:val="21"/>
                      <w:lang w:val="en-US" w:eastAsia="zh-CN"/>
                    </w:rPr>
                    <w:t>态</w:t>
                  </w:r>
                </w:p>
              </w:tc>
              <w:tc>
                <w:tcPr>
                  <w:tcW w:w="659" w:type="pct"/>
                  <w:vMerge w:val="continue"/>
                  <w:noWrap w:val="0"/>
                  <w:vAlign w:val="center"/>
                </w:tcPr>
                <w:p w14:paraId="4E69EFD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070" w:type="dxa"/>
                  <w:noWrap w:val="0"/>
                  <w:vAlign w:val="center"/>
                </w:tcPr>
                <w:p w14:paraId="6E246BB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lang w:val="en-US" w:eastAsia="zh-CN"/>
                    </w:rPr>
                    <w:t>HW08</w:t>
                  </w:r>
                  <w:r>
                    <w:rPr>
                      <w:rFonts w:hint="eastAsia" w:ascii="Times New Roman" w:hAnsi="Times New Roman" w:eastAsia="宋体" w:cs="Times New Roman"/>
                      <w:color w:val="auto"/>
                      <w:sz w:val="21"/>
                      <w:szCs w:val="21"/>
                      <w:u w:val="none" w:color="auto"/>
                      <w:lang w:val="en-US" w:eastAsia="zh-CN"/>
                    </w:rPr>
                    <w:t>/</w:t>
                  </w:r>
                  <w:r>
                    <w:rPr>
                      <w:rFonts w:hint="default" w:ascii="Times New Roman" w:hAnsi="Times New Roman" w:eastAsia="宋体" w:cs="Times New Roman"/>
                      <w:color w:val="auto"/>
                      <w:sz w:val="21"/>
                      <w:szCs w:val="21"/>
                      <w:u w:val="none" w:color="auto"/>
                      <w:lang w:val="en-US" w:eastAsia="zh-CN"/>
                    </w:rPr>
                    <w:t>900-203-08</w:t>
                  </w:r>
                </w:p>
              </w:tc>
              <w:tc>
                <w:tcPr>
                  <w:tcW w:w="949" w:type="pct"/>
                  <w:vMerge w:val="continue"/>
                  <w:noWrap w:val="0"/>
                  <w:vAlign w:val="center"/>
                </w:tcPr>
                <w:p w14:paraId="3FDDCFD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FF"/>
                      <w:sz w:val="21"/>
                      <w:szCs w:val="21"/>
                    </w:rPr>
                  </w:pPr>
                </w:p>
              </w:tc>
            </w:tr>
            <w:tr w14:paraId="3A146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616" w:type="pct"/>
                  <w:vMerge w:val="continue"/>
                  <w:noWrap w:val="0"/>
                  <w:vAlign w:val="center"/>
                </w:tcPr>
                <w:p w14:paraId="121AA91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FF"/>
                      <w:sz w:val="21"/>
                      <w:szCs w:val="21"/>
                    </w:rPr>
                  </w:pPr>
                </w:p>
              </w:tc>
              <w:tc>
                <w:tcPr>
                  <w:tcW w:w="659" w:type="pct"/>
                  <w:noWrap w:val="0"/>
                  <w:vAlign w:val="center"/>
                </w:tcPr>
                <w:p w14:paraId="167BCC49">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lang w:val="en-US"/>
                    </w:rPr>
                  </w:pPr>
                  <w:r>
                    <w:rPr>
                      <w:rFonts w:hint="default" w:ascii="Times New Roman" w:hAnsi="Times New Roman" w:eastAsia="宋体" w:cs="Times New Roman"/>
                      <w:color w:val="auto"/>
                      <w:sz w:val="21"/>
                    </w:rPr>
                    <w:t>废活性炭</w:t>
                  </w:r>
                </w:p>
              </w:tc>
              <w:tc>
                <w:tcPr>
                  <w:tcW w:w="506" w:type="pct"/>
                  <w:noWrap w:val="0"/>
                  <w:vAlign w:val="center"/>
                </w:tcPr>
                <w:p w14:paraId="1E084E36">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1"/>
                      <w:szCs w:val="21"/>
                      <w:lang w:val="en-US" w:eastAsia="zh-CN"/>
                    </w:rPr>
                  </w:pPr>
                  <w:r>
                    <w:rPr>
                      <w:rFonts w:hint="eastAsia" w:ascii="Times New Roman" w:hAnsi="Times New Roman" w:eastAsia="Times New Roman" w:cs="Times New Roman"/>
                      <w:color w:val="auto"/>
                      <w:sz w:val="21"/>
                      <w:szCs w:val="21"/>
                      <w:lang w:val="en-US" w:eastAsia="zh-CN"/>
                    </w:rPr>
                    <w:t>2.23</w:t>
                  </w:r>
                </w:p>
              </w:tc>
              <w:tc>
                <w:tcPr>
                  <w:tcW w:w="402" w:type="pct"/>
                  <w:noWrap w:val="0"/>
                  <w:vAlign w:val="center"/>
                </w:tcPr>
                <w:p w14:paraId="5C1DD0AF">
                  <w:pPr>
                    <w:keepNext w:val="0"/>
                    <w:keepLines w:val="0"/>
                    <w:suppressLineNumbers w:val="0"/>
                    <w:spacing w:before="0" w:beforeAutospacing="0" w:after="0" w:afterAutospacing="0" w:line="280" w:lineRule="exact"/>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固态</w:t>
                  </w:r>
                </w:p>
              </w:tc>
              <w:tc>
                <w:tcPr>
                  <w:tcW w:w="659" w:type="pct"/>
                  <w:vMerge w:val="continue"/>
                  <w:noWrap w:val="0"/>
                  <w:vAlign w:val="center"/>
                </w:tcPr>
                <w:p w14:paraId="0A94267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1206" w:type="pct"/>
                  <w:noWrap w:val="0"/>
                  <w:vAlign w:val="center"/>
                </w:tcPr>
                <w:p w14:paraId="23E9EC8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u w:val="none" w:color="auto"/>
                      <w:lang w:val="en-US" w:eastAsia="zh-CN"/>
                    </w:rPr>
                    <w:t>HW49/900-0</w:t>
                  </w:r>
                  <w:r>
                    <w:rPr>
                      <w:rFonts w:hint="eastAsia" w:ascii="Times New Roman" w:hAnsi="Times New Roman" w:eastAsia="宋体" w:cs="Times New Roman"/>
                      <w:color w:val="auto"/>
                      <w:sz w:val="21"/>
                      <w:szCs w:val="21"/>
                      <w:u w:val="none" w:color="auto"/>
                      <w:lang w:val="en-US" w:eastAsia="zh-CN"/>
                    </w:rPr>
                    <w:t>39</w:t>
                  </w:r>
                  <w:r>
                    <w:rPr>
                      <w:rFonts w:hint="default" w:ascii="Times New Roman" w:hAnsi="Times New Roman" w:eastAsia="宋体" w:cs="Times New Roman"/>
                      <w:color w:val="auto"/>
                      <w:sz w:val="21"/>
                      <w:szCs w:val="21"/>
                      <w:u w:val="none" w:color="auto"/>
                      <w:lang w:val="en-US" w:eastAsia="zh-CN"/>
                    </w:rPr>
                    <w:t>-49</w:t>
                  </w:r>
                </w:p>
              </w:tc>
              <w:tc>
                <w:tcPr>
                  <w:tcW w:w="949" w:type="pct"/>
                  <w:vMerge w:val="continue"/>
                  <w:noWrap w:val="0"/>
                  <w:vAlign w:val="center"/>
                </w:tcPr>
                <w:p w14:paraId="7DF4492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FF"/>
                      <w:sz w:val="21"/>
                      <w:szCs w:val="21"/>
                    </w:rPr>
                  </w:pPr>
                </w:p>
              </w:tc>
            </w:tr>
            <w:tr w14:paraId="01BD2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616" w:type="pct"/>
                  <w:vMerge w:val="continue"/>
                  <w:noWrap w:val="0"/>
                  <w:vAlign w:val="center"/>
                </w:tcPr>
                <w:p w14:paraId="087DB84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FF"/>
                      <w:sz w:val="21"/>
                      <w:szCs w:val="21"/>
                    </w:rPr>
                  </w:pPr>
                </w:p>
              </w:tc>
              <w:tc>
                <w:tcPr>
                  <w:tcW w:w="659" w:type="pct"/>
                  <w:noWrap w:val="0"/>
                  <w:vAlign w:val="center"/>
                </w:tcPr>
                <w:p w14:paraId="794C3E31">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rPr>
                    <w:t>废</w:t>
                  </w:r>
                  <w:r>
                    <w:rPr>
                      <w:rFonts w:hint="default" w:ascii="Times New Roman" w:hAnsi="Times New Roman" w:eastAsia="宋体" w:cs="Times New Roman"/>
                      <w:color w:val="auto"/>
                      <w:sz w:val="21"/>
                      <w:lang w:val="en-US" w:eastAsia="zh-CN"/>
                    </w:rPr>
                    <w:t>润滑油</w:t>
                  </w:r>
                </w:p>
              </w:tc>
              <w:tc>
                <w:tcPr>
                  <w:tcW w:w="506" w:type="pct"/>
                  <w:noWrap w:val="0"/>
                  <w:vAlign w:val="center"/>
                </w:tcPr>
                <w:p w14:paraId="1A7D1AF8">
                  <w:pPr>
                    <w:pStyle w:val="217"/>
                    <w:keepNext w:val="0"/>
                    <w:keepLines w:val="0"/>
                    <w:suppressLineNumbers w:val="0"/>
                    <w:spacing w:before="0" w:beforeAutospacing="0" w:after="0" w:afterAutospacing="0"/>
                    <w:ind w:left="-105" w:leftChars="-50" w:right="-105" w:rightChars="-50"/>
                    <w:rPr>
                      <w:rFonts w:hint="default" w:ascii="Times New Roman" w:hAnsi="Times New Roman" w:eastAsia="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0.24</w:t>
                  </w:r>
                </w:p>
              </w:tc>
              <w:tc>
                <w:tcPr>
                  <w:tcW w:w="402" w:type="pct"/>
                  <w:noWrap w:val="0"/>
                  <w:vAlign w:val="center"/>
                </w:tcPr>
                <w:p w14:paraId="036272B9">
                  <w:pPr>
                    <w:keepNext w:val="0"/>
                    <w:keepLines w:val="0"/>
                    <w:suppressLineNumbers w:val="0"/>
                    <w:spacing w:before="0" w:beforeAutospacing="0" w:after="0" w:afterAutospacing="0" w:line="280" w:lineRule="exact"/>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液</w:t>
                  </w:r>
                  <w:r>
                    <w:rPr>
                      <w:rFonts w:hint="default" w:ascii="Times New Roman" w:hAnsi="Times New Roman" w:eastAsia="宋体" w:cs="Times New Roman"/>
                      <w:color w:val="auto"/>
                      <w:sz w:val="21"/>
                      <w:szCs w:val="21"/>
                      <w:lang w:val="en-US" w:eastAsia="zh-CN"/>
                    </w:rPr>
                    <w:t>态</w:t>
                  </w:r>
                </w:p>
              </w:tc>
              <w:tc>
                <w:tcPr>
                  <w:tcW w:w="659" w:type="pct"/>
                  <w:vMerge w:val="continue"/>
                  <w:noWrap w:val="0"/>
                  <w:vAlign w:val="center"/>
                </w:tcPr>
                <w:p w14:paraId="0983164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1206" w:type="pct"/>
                  <w:noWrap w:val="0"/>
                  <w:vAlign w:val="center"/>
                </w:tcPr>
                <w:p w14:paraId="1C492CD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HW08</w:t>
                  </w:r>
                  <w:r>
                    <w:rPr>
                      <w:rFonts w:hint="eastAsia" w:ascii="Times New Roman" w:hAnsi="Times New Roman" w:eastAsia="宋体" w:cs="Times New Roman"/>
                      <w:color w:val="auto"/>
                      <w:sz w:val="21"/>
                      <w:szCs w:val="21"/>
                      <w:u w:val="none" w:color="auto"/>
                      <w:lang w:val="en-US" w:eastAsia="zh-CN"/>
                    </w:rPr>
                    <w:t>/</w:t>
                  </w:r>
                  <w:r>
                    <w:rPr>
                      <w:rFonts w:hint="default" w:ascii="Times New Roman" w:hAnsi="Times New Roman" w:eastAsia="Times New Roman" w:cs="Times New Roman"/>
                      <w:color w:val="auto"/>
                      <w:sz w:val="21"/>
                      <w:szCs w:val="21"/>
                    </w:rPr>
                    <w:t>900-2</w:t>
                  </w:r>
                  <w:r>
                    <w:rPr>
                      <w:rFonts w:hint="default" w:ascii="Times New Roman" w:hAnsi="Times New Roman" w:eastAsia="Times New Roman" w:cs="Times New Roman"/>
                      <w:color w:val="auto"/>
                      <w:sz w:val="21"/>
                      <w:szCs w:val="21"/>
                      <w:lang w:val="en-US" w:eastAsia="zh-CN"/>
                    </w:rPr>
                    <w:t>49</w:t>
                  </w:r>
                  <w:r>
                    <w:rPr>
                      <w:rFonts w:hint="default" w:ascii="Times New Roman" w:hAnsi="Times New Roman" w:eastAsia="Times New Roman" w:cs="Times New Roman"/>
                      <w:color w:val="auto"/>
                      <w:sz w:val="21"/>
                      <w:szCs w:val="21"/>
                    </w:rPr>
                    <w:t>-08</w:t>
                  </w:r>
                </w:p>
              </w:tc>
              <w:tc>
                <w:tcPr>
                  <w:tcW w:w="949" w:type="pct"/>
                  <w:vMerge w:val="continue"/>
                  <w:noWrap w:val="0"/>
                  <w:vAlign w:val="center"/>
                </w:tcPr>
                <w:p w14:paraId="04ED9A5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FF"/>
                      <w:sz w:val="21"/>
                      <w:szCs w:val="21"/>
                    </w:rPr>
                  </w:pPr>
                </w:p>
              </w:tc>
            </w:tr>
            <w:tr w14:paraId="4190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616" w:type="pct"/>
                  <w:vMerge w:val="continue"/>
                  <w:noWrap w:val="0"/>
                  <w:vAlign w:val="center"/>
                </w:tcPr>
                <w:p w14:paraId="6B7A8BB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FF"/>
                      <w:sz w:val="21"/>
                      <w:szCs w:val="21"/>
                    </w:rPr>
                  </w:pPr>
                </w:p>
              </w:tc>
              <w:tc>
                <w:tcPr>
                  <w:tcW w:w="659" w:type="pct"/>
                  <w:noWrap w:val="0"/>
                  <w:vAlign w:val="center"/>
                </w:tcPr>
                <w:p w14:paraId="59737F14">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废包装桶</w:t>
                  </w:r>
                </w:p>
              </w:tc>
              <w:tc>
                <w:tcPr>
                  <w:tcW w:w="506" w:type="pct"/>
                  <w:noWrap w:val="0"/>
                  <w:vAlign w:val="center"/>
                </w:tcPr>
                <w:p w14:paraId="71F802FB">
                  <w:pPr>
                    <w:pStyle w:val="217"/>
                    <w:keepNext w:val="0"/>
                    <w:keepLines w:val="0"/>
                    <w:suppressLineNumbers w:val="0"/>
                    <w:spacing w:before="0" w:beforeAutospacing="0" w:after="0" w:afterAutospacing="0"/>
                    <w:ind w:left="-105" w:leftChars="-50" w:right="-105" w:rightChars="-50"/>
                    <w:rPr>
                      <w:rFonts w:hint="default" w:ascii="Times New Roman" w:hAnsi="Times New Roman" w:eastAsia="Times New Roman" w:cs="Times New Roman"/>
                      <w:color w:val="auto"/>
                      <w:sz w:val="21"/>
                      <w:szCs w:val="21"/>
                      <w:lang w:val="en-US" w:eastAsia="zh-CN"/>
                    </w:rPr>
                  </w:pPr>
                  <w:r>
                    <w:rPr>
                      <w:rFonts w:hint="eastAsia" w:ascii="Times New Roman" w:hAnsi="Times New Roman" w:eastAsia="Times New Roman" w:cs="Times New Roman"/>
                      <w:color w:val="auto"/>
                      <w:sz w:val="21"/>
                      <w:szCs w:val="21"/>
                      <w:lang w:val="en-US" w:eastAsia="zh-CN"/>
                    </w:rPr>
                    <w:t>0.93</w:t>
                  </w:r>
                </w:p>
              </w:tc>
              <w:tc>
                <w:tcPr>
                  <w:tcW w:w="402" w:type="pct"/>
                  <w:noWrap w:val="0"/>
                  <w:vAlign w:val="center"/>
                </w:tcPr>
                <w:p w14:paraId="3A5CB812">
                  <w:pPr>
                    <w:keepNext w:val="0"/>
                    <w:keepLines w:val="0"/>
                    <w:suppressLineNumbers w:val="0"/>
                    <w:spacing w:before="0" w:beforeAutospacing="0" w:after="0" w:afterAutospacing="0" w:line="280" w:lineRule="exact"/>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固态</w:t>
                  </w:r>
                </w:p>
              </w:tc>
              <w:tc>
                <w:tcPr>
                  <w:tcW w:w="659" w:type="pct"/>
                  <w:vMerge w:val="continue"/>
                  <w:noWrap w:val="0"/>
                  <w:vAlign w:val="center"/>
                </w:tcPr>
                <w:p w14:paraId="343F26D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1206" w:type="pct"/>
                  <w:noWrap w:val="0"/>
                  <w:vAlign w:val="center"/>
                </w:tcPr>
                <w:p w14:paraId="6982D67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HW08</w:t>
                  </w:r>
                  <w:r>
                    <w:rPr>
                      <w:rFonts w:hint="eastAsia" w:ascii="Times New Roman" w:hAnsi="Times New Roman" w:eastAsia="宋体" w:cs="Times New Roman"/>
                      <w:color w:val="auto"/>
                      <w:sz w:val="21"/>
                      <w:szCs w:val="21"/>
                      <w:u w:val="none" w:color="auto"/>
                      <w:lang w:val="en-US" w:eastAsia="zh-CN"/>
                    </w:rPr>
                    <w:t>/</w:t>
                  </w:r>
                  <w:r>
                    <w:rPr>
                      <w:rFonts w:hint="default" w:ascii="Times New Roman" w:hAnsi="Times New Roman" w:eastAsia="Times New Roman" w:cs="Times New Roman"/>
                      <w:color w:val="auto"/>
                      <w:sz w:val="21"/>
                      <w:szCs w:val="21"/>
                    </w:rPr>
                    <w:t>900-2</w:t>
                  </w:r>
                  <w:r>
                    <w:rPr>
                      <w:rFonts w:hint="default" w:ascii="Times New Roman" w:hAnsi="Times New Roman" w:eastAsia="Times New Roman" w:cs="Times New Roman"/>
                      <w:color w:val="auto"/>
                      <w:sz w:val="21"/>
                      <w:szCs w:val="21"/>
                      <w:lang w:val="en-US" w:eastAsia="zh-CN"/>
                    </w:rPr>
                    <w:t>49</w:t>
                  </w:r>
                  <w:r>
                    <w:rPr>
                      <w:rFonts w:hint="default" w:ascii="Times New Roman" w:hAnsi="Times New Roman" w:eastAsia="Times New Roman" w:cs="Times New Roman"/>
                      <w:color w:val="auto"/>
                      <w:sz w:val="21"/>
                      <w:szCs w:val="21"/>
                    </w:rPr>
                    <w:t>-08</w:t>
                  </w:r>
                </w:p>
              </w:tc>
              <w:tc>
                <w:tcPr>
                  <w:tcW w:w="949" w:type="pct"/>
                  <w:vMerge w:val="continue"/>
                  <w:noWrap w:val="0"/>
                  <w:vAlign w:val="center"/>
                </w:tcPr>
                <w:p w14:paraId="7874878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FF"/>
                      <w:sz w:val="21"/>
                      <w:szCs w:val="21"/>
                    </w:rPr>
                  </w:pPr>
                </w:p>
              </w:tc>
            </w:tr>
            <w:tr w14:paraId="3F82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616" w:type="pct"/>
                  <w:vMerge w:val="continue"/>
                  <w:noWrap w:val="0"/>
                  <w:vAlign w:val="center"/>
                </w:tcPr>
                <w:p w14:paraId="029EDCD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FF"/>
                      <w:sz w:val="21"/>
                      <w:szCs w:val="21"/>
                    </w:rPr>
                  </w:pPr>
                </w:p>
              </w:tc>
              <w:tc>
                <w:tcPr>
                  <w:tcW w:w="659" w:type="pct"/>
                  <w:noWrap w:val="0"/>
                  <w:vAlign w:val="center"/>
                </w:tcPr>
                <w:p w14:paraId="138E6296">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废过滤棉</w:t>
                  </w:r>
                </w:p>
              </w:tc>
              <w:tc>
                <w:tcPr>
                  <w:tcW w:w="506" w:type="pct"/>
                  <w:noWrap w:val="0"/>
                  <w:vAlign w:val="center"/>
                </w:tcPr>
                <w:p w14:paraId="31C21BC5">
                  <w:pPr>
                    <w:pStyle w:val="217"/>
                    <w:keepNext w:val="0"/>
                    <w:keepLines w:val="0"/>
                    <w:suppressLineNumbers w:val="0"/>
                    <w:spacing w:before="0" w:beforeAutospacing="0" w:after="0" w:afterAutospacing="0"/>
                    <w:ind w:left="-105" w:leftChars="-50" w:right="-105" w:rightChars="-50"/>
                    <w:rPr>
                      <w:rFonts w:hint="default" w:ascii="Times New Roman" w:hAnsi="Times New Roman" w:eastAsia="Times New Roman" w:cs="Times New Roman"/>
                      <w:color w:val="auto"/>
                      <w:sz w:val="21"/>
                      <w:szCs w:val="21"/>
                      <w:lang w:val="en-US" w:eastAsia="zh-CN"/>
                    </w:rPr>
                  </w:pPr>
                  <w:r>
                    <w:rPr>
                      <w:rFonts w:hint="eastAsia" w:ascii="Times New Roman" w:hAnsi="Times New Roman" w:eastAsia="Times New Roman" w:cs="Times New Roman"/>
                      <w:color w:val="auto"/>
                      <w:sz w:val="21"/>
                      <w:szCs w:val="21"/>
                      <w:lang w:val="en-US" w:eastAsia="zh-CN"/>
                    </w:rPr>
                    <w:t>0.225</w:t>
                  </w:r>
                </w:p>
              </w:tc>
              <w:tc>
                <w:tcPr>
                  <w:tcW w:w="402" w:type="pct"/>
                  <w:noWrap w:val="0"/>
                  <w:vAlign w:val="center"/>
                </w:tcPr>
                <w:p w14:paraId="78F98B1E">
                  <w:pPr>
                    <w:keepNext w:val="0"/>
                    <w:keepLines w:val="0"/>
                    <w:suppressLineNumbers w:val="0"/>
                    <w:spacing w:before="0" w:beforeAutospacing="0" w:after="0" w:afterAutospacing="0" w:line="280" w:lineRule="exact"/>
                    <w:ind w:left="-105" w:leftChars="-50" w:right="-105" w:rightChars="-5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固</w:t>
                  </w:r>
                  <w:r>
                    <w:rPr>
                      <w:rFonts w:hint="default" w:ascii="Times New Roman" w:hAnsi="Times New Roman" w:eastAsia="宋体" w:cs="Times New Roman"/>
                      <w:color w:val="auto"/>
                      <w:sz w:val="21"/>
                      <w:szCs w:val="21"/>
                      <w:lang w:val="en-US" w:eastAsia="zh-CN"/>
                    </w:rPr>
                    <w:t>态</w:t>
                  </w:r>
                </w:p>
              </w:tc>
              <w:tc>
                <w:tcPr>
                  <w:tcW w:w="659" w:type="pct"/>
                  <w:vMerge w:val="continue"/>
                  <w:noWrap w:val="0"/>
                  <w:vAlign w:val="center"/>
                </w:tcPr>
                <w:p w14:paraId="1105E93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1206" w:type="pct"/>
                  <w:noWrap w:val="0"/>
                  <w:vAlign w:val="center"/>
                </w:tcPr>
                <w:p w14:paraId="7C6DD84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lang w:val="en-US" w:eastAsia="zh-CN"/>
                    </w:rPr>
                    <w:t>HW09</w:t>
                  </w:r>
                  <w:r>
                    <w:rPr>
                      <w:rFonts w:hint="eastAsia" w:ascii="Times New Roman" w:hAnsi="Times New Roman" w:eastAsia="宋体" w:cs="Times New Roman"/>
                      <w:color w:val="auto"/>
                      <w:sz w:val="21"/>
                      <w:szCs w:val="21"/>
                      <w:u w:val="none" w:color="auto"/>
                      <w:lang w:val="en-US" w:eastAsia="zh-CN"/>
                    </w:rPr>
                    <w:t>/</w:t>
                  </w:r>
                  <w:r>
                    <w:rPr>
                      <w:rFonts w:hint="default" w:ascii="Times New Roman" w:hAnsi="Times New Roman" w:eastAsia="宋体" w:cs="Times New Roman"/>
                      <w:color w:val="auto"/>
                      <w:sz w:val="21"/>
                      <w:szCs w:val="21"/>
                      <w:u w:val="none" w:color="auto"/>
                      <w:lang w:val="en-US" w:eastAsia="zh-CN"/>
                    </w:rPr>
                    <w:t>900-007-09</w:t>
                  </w:r>
                </w:p>
              </w:tc>
              <w:tc>
                <w:tcPr>
                  <w:tcW w:w="949" w:type="pct"/>
                  <w:vMerge w:val="continue"/>
                  <w:noWrap w:val="0"/>
                  <w:vAlign w:val="center"/>
                </w:tcPr>
                <w:p w14:paraId="36764CE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FF"/>
                      <w:sz w:val="21"/>
                      <w:szCs w:val="21"/>
                    </w:rPr>
                  </w:pPr>
                </w:p>
              </w:tc>
            </w:tr>
          </w:tbl>
          <w:p w14:paraId="5B67ADA7">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sz w:val="24"/>
              </w:rPr>
              <w:t>根据环境保护部2017年第43号公告《建设项目危险废物环境影响评价指南》，针对危险废物列明危险废物的名称、数量、类别、形态、危险特性和污染防治措施等内容，项目建成后危险废物汇总表如下：</w:t>
            </w:r>
          </w:p>
          <w:p w14:paraId="3EC38A5D">
            <w:pPr>
              <w:pStyle w:val="63"/>
              <w:keepNext w:val="0"/>
              <w:keepLines w:val="0"/>
              <w:suppressLineNumbers w:val="0"/>
              <w:bidi w:val="0"/>
              <w:spacing w:before="0" w:beforeAutospacing="0" w:after="0" w:afterAutospacing="0"/>
              <w:ind w:left="0" w:right="0"/>
              <w:rPr>
                <w:rFonts w:hint="default" w:ascii="Times New Roman" w:hAnsi="Times New Roman" w:eastAsia="宋体" w:cs="Times New Roman"/>
                <w:color w:val="0000FF"/>
              </w:rPr>
            </w:pPr>
            <w:r>
              <w:rPr>
                <w:rFonts w:hint="default" w:ascii="Times New Roman" w:hAnsi="Times New Roman" w:eastAsia="宋体" w:cs="Times New Roman"/>
                <w:color w:val="auto"/>
              </w:rPr>
              <w:t>表4-</w:t>
            </w:r>
            <w:r>
              <w:rPr>
                <w:rFonts w:hint="eastAsia" w:cs="Times New Roman"/>
                <w:color w:val="auto"/>
                <w:lang w:val="en-US" w:eastAsia="zh-CN"/>
              </w:rPr>
              <w:t>23</w:t>
            </w:r>
            <w:r>
              <w:rPr>
                <w:rFonts w:hint="default" w:ascii="Times New Roman" w:hAnsi="Times New Roman" w:eastAsia="宋体" w:cs="Times New Roman"/>
                <w:color w:val="auto"/>
              </w:rPr>
              <w:t xml:space="preserve">  项目危险废物汇总表</w:t>
            </w:r>
            <w:r>
              <w:rPr>
                <w:rFonts w:hint="default" w:ascii="Times New Roman" w:hAnsi="Times New Roman" w:eastAsia="宋体" w:cs="Times New Roman"/>
                <w:color w:val="0000FF"/>
              </w:rPr>
              <w:t xml:space="preserve"> </w:t>
            </w:r>
          </w:p>
          <w:tbl>
            <w:tblPr>
              <w:tblStyle w:val="5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840"/>
              <w:gridCol w:w="825"/>
              <w:gridCol w:w="1305"/>
              <w:gridCol w:w="910"/>
              <w:gridCol w:w="427"/>
              <w:gridCol w:w="853"/>
              <w:gridCol w:w="760"/>
              <w:gridCol w:w="709"/>
              <w:gridCol w:w="695"/>
              <w:gridCol w:w="767"/>
            </w:tblGrid>
            <w:tr w14:paraId="73FE3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86" w:type="pct"/>
                  <w:noWrap w:val="0"/>
                  <w:vAlign w:val="center"/>
                </w:tcPr>
                <w:p w14:paraId="0B771FB1">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489" w:type="pct"/>
                  <w:noWrap w:val="0"/>
                  <w:vAlign w:val="center"/>
                </w:tcPr>
                <w:p w14:paraId="6C29C861">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危险废物名称</w:t>
                  </w:r>
                </w:p>
              </w:tc>
              <w:tc>
                <w:tcPr>
                  <w:tcW w:w="480" w:type="pct"/>
                  <w:noWrap w:val="0"/>
                  <w:vAlign w:val="center"/>
                </w:tcPr>
                <w:p w14:paraId="3537151D">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危险废物类别</w:t>
                  </w:r>
                </w:p>
              </w:tc>
              <w:tc>
                <w:tcPr>
                  <w:tcW w:w="760" w:type="pct"/>
                  <w:noWrap w:val="0"/>
                  <w:vAlign w:val="center"/>
                </w:tcPr>
                <w:p w14:paraId="6B8169D6">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危险废物代码</w:t>
                  </w:r>
                </w:p>
              </w:tc>
              <w:tc>
                <w:tcPr>
                  <w:tcW w:w="530" w:type="pct"/>
                  <w:noWrap w:val="0"/>
                  <w:vAlign w:val="center"/>
                </w:tcPr>
                <w:p w14:paraId="1FB53A58">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产生量(t/a)</w:t>
                  </w:r>
                </w:p>
              </w:tc>
              <w:tc>
                <w:tcPr>
                  <w:tcW w:w="248" w:type="pct"/>
                  <w:noWrap w:val="0"/>
                  <w:vAlign w:val="center"/>
                </w:tcPr>
                <w:p w14:paraId="562A8224">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形态</w:t>
                  </w:r>
                </w:p>
              </w:tc>
              <w:tc>
                <w:tcPr>
                  <w:tcW w:w="496" w:type="pct"/>
                  <w:noWrap w:val="0"/>
                  <w:vAlign w:val="center"/>
                </w:tcPr>
                <w:p w14:paraId="101D5459">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主要</w:t>
                  </w:r>
                </w:p>
                <w:p w14:paraId="2336CC11">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成分</w:t>
                  </w:r>
                </w:p>
              </w:tc>
              <w:tc>
                <w:tcPr>
                  <w:tcW w:w="442" w:type="pct"/>
                  <w:noWrap w:val="0"/>
                  <w:vAlign w:val="center"/>
                </w:tcPr>
                <w:p w14:paraId="1961D8EC">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有害</w:t>
                  </w:r>
                </w:p>
                <w:p w14:paraId="3B097E19">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成分</w:t>
                  </w:r>
                </w:p>
              </w:tc>
              <w:tc>
                <w:tcPr>
                  <w:tcW w:w="413" w:type="pct"/>
                  <w:noWrap w:val="0"/>
                  <w:vAlign w:val="center"/>
                </w:tcPr>
                <w:p w14:paraId="5992D672">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产废</w:t>
                  </w:r>
                </w:p>
                <w:p w14:paraId="7C971FE4">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周期</w:t>
                  </w:r>
                </w:p>
              </w:tc>
              <w:tc>
                <w:tcPr>
                  <w:tcW w:w="404" w:type="pct"/>
                  <w:noWrap w:val="0"/>
                  <w:vAlign w:val="center"/>
                </w:tcPr>
                <w:p w14:paraId="364F9F9B">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危险</w:t>
                  </w:r>
                </w:p>
                <w:p w14:paraId="1F337B0A">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特性</w:t>
                  </w:r>
                </w:p>
              </w:tc>
              <w:tc>
                <w:tcPr>
                  <w:tcW w:w="446" w:type="pct"/>
                  <w:noWrap w:val="0"/>
                  <w:vAlign w:val="center"/>
                </w:tcPr>
                <w:p w14:paraId="697D8112">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污染防治措施</w:t>
                  </w:r>
                </w:p>
              </w:tc>
            </w:tr>
            <w:tr w14:paraId="02803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noWrap w:val="0"/>
                  <w:vAlign w:val="center"/>
                </w:tcPr>
                <w:p w14:paraId="49C68B93">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w:t>
                  </w:r>
                </w:p>
              </w:tc>
              <w:tc>
                <w:tcPr>
                  <w:tcW w:w="489" w:type="pct"/>
                  <w:noWrap w:val="0"/>
                  <w:vAlign w:val="center"/>
                </w:tcPr>
                <w:p w14:paraId="03B6FD44">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kern w:val="0"/>
                      <w:sz w:val="21"/>
                      <w:szCs w:val="21"/>
                      <w:lang w:val="en-US" w:eastAsia="zh-CN"/>
                    </w:rPr>
                    <w:t>油污</w:t>
                  </w:r>
                </w:p>
              </w:tc>
              <w:tc>
                <w:tcPr>
                  <w:tcW w:w="480" w:type="pct"/>
                  <w:noWrap w:val="0"/>
                  <w:vAlign w:val="center"/>
                </w:tcPr>
                <w:p w14:paraId="020AD0FE">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HW09</w:t>
                  </w:r>
                </w:p>
              </w:tc>
              <w:tc>
                <w:tcPr>
                  <w:tcW w:w="760" w:type="pct"/>
                  <w:noWrap w:val="0"/>
                  <w:vAlign w:val="center"/>
                </w:tcPr>
                <w:p w14:paraId="35DF3CF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u w:val="none" w:color="auto"/>
                      <w:lang w:val="en-US" w:eastAsia="zh-CN"/>
                    </w:rPr>
                    <w:t>900-007-09</w:t>
                  </w:r>
                </w:p>
              </w:tc>
              <w:tc>
                <w:tcPr>
                  <w:tcW w:w="530" w:type="pct"/>
                  <w:noWrap w:val="0"/>
                  <w:vAlign w:val="center"/>
                </w:tcPr>
                <w:p w14:paraId="17DCFFDD">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1"/>
                      <w:szCs w:val="21"/>
                      <w:lang w:val="en-US"/>
                    </w:rPr>
                  </w:pPr>
                  <w:r>
                    <w:rPr>
                      <w:rFonts w:hint="default" w:ascii="Times New Roman" w:hAnsi="Times New Roman" w:cs="Times New Roman"/>
                      <w:color w:val="auto"/>
                      <w:sz w:val="21"/>
                      <w:szCs w:val="21"/>
                      <w:lang w:val="en-US" w:eastAsia="zh-CN"/>
                    </w:rPr>
                    <w:t>1.94</w:t>
                  </w:r>
                </w:p>
              </w:tc>
              <w:tc>
                <w:tcPr>
                  <w:tcW w:w="248" w:type="pct"/>
                  <w:noWrap w:val="0"/>
                  <w:vAlign w:val="center"/>
                </w:tcPr>
                <w:p w14:paraId="35B534B7">
                  <w:pPr>
                    <w:keepNext w:val="0"/>
                    <w:keepLines w:val="0"/>
                    <w:suppressLineNumbers w:val="0"/>
                    <w:spacing w:before="0" w:beforeAutospacing="0" w:after="0" w:afterAutospacing="0" w:line="280" w:lineRule="exact"/>
                    <w:ind w:left="-105" w:leftChars="-50" w:right="-105" w:rightChars="-5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lang w:val="en-US" w:eastAsia="zh-CN"/>
                    </w:rPr>
                    <w:t>固态</w:t>
                  </w:r>
                </w:p>
              </w:tc>
              <w:tc>
                <w:tcPr>
                  <w:tcW w:w="496" w:type="pct"/>
                  <w:noWrap w:val="0"/>
                  <w:vAlign w:val="center"/>
                </w:tcPr>
                <w:p w14:paraId="6D2D8052">
                  <w:pPr>
                    <w:pStyle w:val="217"/>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淬火油</w:t>
                  </w:r>
                </w:p>
              </w:tc>
              <w:tc>
                <w:tcPr>
                  <w:tcW w:w="442" w:type="pct"/>
                  <w:noWrap w:val="0"/>
                  <w:vAlign w:val="center"/>
                </w:tcPr>
                <w:p w14:paraId="4D59B6C9">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Cs/>
                      <w:color w:val="auto"/>
                      <w:sz w:val="21"/>
                      <w:szCs w:val="21"/>
                    </w:rPr>
                  </w:pPr>
                  <w:r>
                    <w:rPr>
                      <w:rFonts w:hint="default" w:ascii="Times New Roman" w:hAnsi="Times New Roman" w:cs="Times New Roman"/>
                      <w:bCs/>
                      <w:color w:val="auto"/>
                      <w:sz w:val="21"/>
                      <w:szCs w:val="21"/>
                      <w:lang w:val="en-US" w:eastAsia="zh-CN"/>
                    </w:rPr>
                    <w:t>淬火油</w:t>
                  </w:r>
                </w:p>
              </w:tc>
              <w:tc>
                <w:tcPr>
                  <w:tcW w:w="413" w:type="pct"/>
                  <w:noWrap w:val="0"/>
                  <w:vAlign w:val="center"/>
                </w:tcPr>
                <w:p w14:paraId="0BCAE9DC">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75工作日</w:t>
                  </w:r>
                </w:p>
              </w:tc>
              <w:tc>
                <w:tcPr>
                  <w:tcW w:w="404" w:type="pct"/>
                  <w:noWrap w:val="0"/>
                  <w:vAlign w:val="center"/>
                </w:tcPr>
                <w:p w14:paraId="5DC974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T</w:t>
                  </w:r>
                </w:p>
              </w:tc>
              <w:tc>
                <w:tcPr>
                  <w:tcW w:w="446" w:type="pct"/>
                  <w:vMerge w:val="restart"/>
                  <w:noWrap w:val="0"/>
                  <w:vAlign w:val="center"/>
                </w:tcPr>
                <w:p w14:paraId="3A8B9DDA">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委托有危废处置资质单位进行处理。</w:t>
                  </w:r>
                </w:p>
              </w:tc>
            </w:tr>
            <w:tr w14:paraId="07086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86" w:type="pct"/>
                  <w:noWrap w:val="0"/>
                  <w:vAlign w:val="center"/>
                </w:tcPr>
                <w:p w14:paraId="12F4847B">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w:t>
                  </w:r>
                </w:p>
              </w:tc>
              <w:tc>
                <w:tcPr>
                  <w:tcW w:w="489" w:type="pct"/>
                  <w:noWrap w:val="0"/>
                  <w:vAlign w:val="center"/>
                </w:tcPr>
                <w:p w14:paraId="20BC8FC0">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rPr>
                    <w:t>油泥</w:t>
                  </w:r>
                </w:p>
              </w:tc>
              <w:tc>
                <w:tcPr>
                  <w:tcW w:w="480" w:type="pct"/>
                  <w:noWrap w:val="0"/>
                  <w:vAlign w:val="center"/>
                </w:tcPr>
                <w:p w14:paraId="1276C51D">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HW08</w:t>
                  </w:r>
                </w:p>
              </w:tc>
              <w:tc>
                <w:tcPr>
                  <w:tcW w:w="760" w:type="pct"/>
                  <w:noWrap w:val="0"/>
                  <w:vAlign w:val="center"/>
                </w:tcPr>
                <w:p w14:paraId="45BC025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u w:val="none" w:color="auto"/>
                      <w:lang w:val="en-US" w:eastAsia="zh-CN"/>
                    </w:rPr>
                    <w:t>900-203-08</w:t>
                  </w:r>
                </w:p>
              </w:tc>
              <w:tc>
                <w:tcPr>
                  <w:tcW w:w="530" w:type="pct"/>
                  <w:noWrap w:val="0"/>
                  <w:vAlign w:val="center"/>
                </w:tcPr>
                <w:p w14:paraId="0A77D93A">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1"/>
                      <w:szCs w:val="21"/>
                      <w:lang w:val="en-US"/>
                    </w:rPr>
                  </w:pPr>
                  <w:r>
                    <w:rPr>
                      <w:rFonts w:hint="default" w:ascii="Times New Roman" w:hAnsi="Times New Roman" w:cs="Times New Roman"/>
                      <w:color w:val="auto"/>
                      <w:sz w:val="21"/>
                      <w:szCs w:val="21"/>
                      <w:lang w:val="en-US" w:eastAsia="zh-CN"/>
                    </w:rPr>
                    <w:t>0.5</w:t>
                  </w:r>
                </w:p>
              </w:tc>
              <w:tc>
                <w:tcPr>
                  <w:tcW w:w="248" w:type="pct"/>
                  <w:noWrap w:val="0"/>
                  <w:vAlign w:val="center"/>
                </w:tcPr>
                <w:p w14:paraId="7227EDFF">
                  <w:pPr>
                    <w:keepNext w:val="0"/>
                    <w:keepLines w:val="0"/>
                    <w:suppressLineNumbers w:val="0"/>
                    <w:spacing w:before="0" w:beforeAutospacing="0" w:after="0" w:afterAutospacing="0" w:line="280" w:lineRule="exact"/>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固态</w:t>
                  </w:r>
                </w:p>
              </w:tc>
              <w:tc>
                <w:tcPr>
                  <w:tcW w:w="496" w:type="pct"/>
                  <w:noWrap w:val="0"/>
                  <w:vAlign w:val="center"/>
                </w:tcPr>
                <w:p w14:paraId="6A7A4D49">
                  <w:pPr>
                    <w:pStyle w:val="217"/>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rPr>
                      <w:rFonts w:hint="default" w:ascii="Times New Roman" w:hAnsi="Times New Roman" w:eastAsia="宋体" w:cs="Times New Roman"/>
                      <w:color w:val="auto"/>
                      <w:sz w:val="21"/>
                      <w:szCs w:val="21"/>
                      <w:lang w:val="en-US"/>
                    </w:rPr>
                  </w:pPr>
                  <w:r>
                    <w:rPr>
                      <w:rFonts w:hint="default" w:ascii="Times New Roman" w:hAnsi="Times New Roman" w:cs="Times New Roman"/>
                      <w:bCs/>
                      <w:color w:val="auto"/>
                      <w:sz w:val="21"/>
                      <w:szCs w:val="21"/>
                      <w:lang w:val="en-US" w:eastAsia="zh-CN"/>
                    </w:rPr>
                    <w:t>淬火油</w:t>
                  </w:r>
                </w:p>
              </w:tc>
              <w:tc>
                <w:tcPr>
                  <w:tcW w:w="442" w:type="pct"/>
                  <w:noWrap w:val="0"/>
                  <w:vAlign w:val="center"/>
                </w:tcPr>
                <w:p w14:paraId="419A5E9A">
                  <w:pPr>
                    <w:pStyle w:val="217"/>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rPr>
                      <w:rFonts w:hint="default" w:ascii="Times New Roman" w:hAnsi="Times New Roman" w:eastAsia="宋体" w:cs="Times New Roman"/>
                      <w:bCs/>
                      <w:color w:val="auto"/>
                      <w:sz w:val="21"/>
                      <w:szCs w:val="21"/>
                    </w:rPr>
                  </w:pPr>
                  <w:r>
                    <w:rPr>
                      <w:rFonts w:hint="default" w:ascii="Times New Roman" w:hAnsi="Times New Roman" w:cs="Times New Roman"/>
                      <w:bCs/>
                      <w:color w:val="auto"/>
                      <w:sz w:val="21"/>
                      <w:szCs w:val="21"/>
                      <w:lang w:val="en-US" w:eastAsia="zh-CN"/>
                    </w:rPr>
                    <w:t>淬火油</w:t>
                  </w:r>
                </w:p>
              </w:tc>
              <w:tc>
                <w:tcPr>
                  <w:tcW w:w="413" w:type="pct"/>
                  <w:noWrap w:val="0"/>
                  <w:vAlign w:val="center"/>
                </w:tcPr>
                <w:p w14:paraId="73A6BA50">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sz w:val="21"/>
                      <w:szCs w:val="21"/>
                      <w:lang w:val="en-US" w:eastAsia="zh-CN"/>
                    </w:rPr>
                    <w:t>一年</w:t>
                  </w:r>
                </w:p>
              </w:tc>
              <w:tc>
                <w:tcPr>
                  <w:tcW w:w="404" w:type="pct"/>
                  <w:noWrap w:val="0"/>
                  <w:vAlign w:val="center"/>
                </w:tcPr>
                <w:p w14:paraId="0B5599C8">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cs="Times New Roman"/>
                      <w:bCs/>
                      <w:color w:val="auto"/>
                      <w:sz w:val="21"/>
                      <w:szCs w:val="21"/>
                      <w:lang w:val="en-US" w:eastAsia="zh-CN"/>
                    </w:rPr>
                    <w:t>T</w:t>
                  </w:r>
                </w:p>
              </w:tc>
              <w:tc>
                <w:tcPr>
                  <w:tcW w:w="446" w:type="pct"/>
                  <w:vMerge w:val="continue"/>
                  <w:noWrap w:val="0"/>
                  <w:vAlign w:val="center"/>
                </w:tcPr>
                <w:p w14:paraId="569553DA">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Cs/>
                      <w:color w:val="auto"/>
                      <w:sz w:val="21"/>
                      <w:szCs w:val="21"/>
                    </w:rPr>
                  </w:pPr>
                </w:p>
              </w:tc>
            </w:tr>
            <w:tr w14:paraId="3EA8F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86" w:type="pct"/>
                  <w:noWrap w:val="0"/>
                  <w:vAlign w:val="center"/>
                </w:tcPr>
                <w:p w14:paraId="30D9288F">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3</w:t>
                  </w:r>
                </w:p>
              </w:tc>
              <w:tc>
                <w:tcPr>
                  <w:tcW w:w="489" w:type="pct"/>
                  <w:noWrap w:val="0"/>
                  <w:vAlign w:val="center"/>
                </w:tcPr>
                <w:p w14:paraId="29164313">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废活性炭</w:t>
                  </w:r>
                </w:p>
              </w:tc>
              <w:tc>
                <w:tcPr>
                  <w:tcW w:w="480" w:type="pct"/>
                  <w:noWrap w:val="0"/>
                  <w:vAlign w:val="center"/>
                </w:tcPr>
                <w:p w14:paraId="098E99E0">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HW</w:t>
                  </w:r>
                  <w:r>
                    <w:rPr>
                      <w:rFonts w:hint="default" w:ascii="Times New Roman" w:hAnsi="Times New Roman" w:eastAsia="宋体" w:cs="Times New Roman"/>
                      <w:color w:val="auto"/>
                      <w:sz w:val="21"/>
                      <w:szCs w:val="21"/>
                      <w:lang w:val="en-US" w:eastAsia="zh-CN"/>
                    </w:rPr>
                    <w:t>49</w:t>
                  </w:r>
                </w:p>
              </w:tc>
              <w:tc>
                <w:tcPr>
                  <w:tcW w:w="760" w:type="pct"/>
                  <w:noWrap w:val="0"/>
                  <w:vAlign w:val="center"/>
                </w:tcPr>
                <w:p w14:paraId="757AC3C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Times New Roman" w:cs="Times New Roman"/>
                      <w:bCs/>
                      <w:color w:val="auto"/>
                      <w:sz w:val="21"/>
                      <w:szCs w:val="21"/>
                    </w:rPr>
                    <w:t>900-0</w:t>
                  </w:r>
                  <w:r>
                    <w:rPr>
                      <w:rFonts w:hint="default" w:ascii="Times New Roman" w:hAnsi="Times New Roman" w:eastAsia="Times New Roman" w:cs="Times New Roman"/>
                      <w:bCs/>
                      <w:color w:val="auto"/>
                      <w:sz w:val="21"/>
                      <w:szCs w:val="21"/>
                      <w:lang w:val="en-US" w:eastAsia="zh-CN"/>
                    </w:rPr>
                    <w:t>39</w:t>
                  </w:r>
                  <w:r>
                    <w:rPr>
                      <w:rFonts w:hint="default" w:ascii="Times New Roman" w:hAnsi="Times New Roman" w:eastAsia="Times New Roman" w:cs="Times New Roman"/>
                      <w:bCs/>
                      <w:color w:val="auto"/>
                      <w:sz w:val="21"/>
                      <w:szCs w:val="21"/>
                    </w:rPr>
                    <w:t>-</w:t>
                  </w:r>
                  <w:r>
                    <w:rPr>
                      <w:rFonts w:hint="default" w:ascii="Times New Roman" w:hAnsi="Times New Roman" w:eastAsia="Times New Roman" w:cs="Times New Roman"/>
                      <w:bCs/>
                      <w:color w:val="auto"/>
                      <w:sz w:val="21"/>
                      <w:szCs w:val="21"/>
                      <w:lang w:val="en-US" w:eastAsia="zh-CN"/>
                    </w:rPr>
                    <w:t>4</w:t>
                  </w:r>
                  <w:r>
                    <w:rPr>
                      <w:rFonts w:hint="default" w:ascii="Times New Roman" w:hAnsi="Times New Roman" w:eastAsia="Times New Roman" w:cs="Times New Roman"/>
                      <w:bCs/>
                      <w:color w:val="auto"/>
                      <w:sz w:val="21"/>
                      <w:szCs w:val="21"/>
                    </w:rPr>
                    <w:t>9</w:t>
                  </w:r>
                </w:p>
              </w:tc>
              <w:tc>
                <w:tcPr>
                  <w:tcW w:w="530" w:type="pct"/>
                  <w:noWrap w:val="0"/>
                  <w:vAlign w:val="center"/>
                </w:tcPr>
                <w:p w14:paraId="05AE12AC">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1"/>
                      <w:szCs w:val="21"/>
                      <w:lang w:val="en-US"/>
                    </w:rPr>
                  </w:pPr>
                  <w:r>
                    <w:rPr>
                      <w:rFonts w:hint="default" w:ascii="Times New Roman" w:hAnsi="Times New Roman" w:eastAsia="Times New Roman" w:cs="Times New Roman"/>
                      <w:color w:val="auto"/>
                      <w:sz w:val="21"/>
                      <w:szCs w:val="21"/>
                      <w:lang w:val="en-US" w:eastAsia="zh-CN"/>
                    </w:rPr>
                    <w:t>2.23</w:t>
                  </w:r>
                </w:p>
              </w:tc>
              <w:tc>
                <w:tcPr>
                  <w:tcW w:w="248" w:type="pct"/>
                  <w:noWrap w:val="0"/>
                  <w:vAlign w:val="center"/>
                </w:tcPr>
                <w:p w14:paraId="26428927">
                  <w:pPr>
                    <w:keepNext w:val="0"/>
                    <w:keepLines w:val="0"/>
                    <w:suppressLineNumbers w:val="0"/>
                    <w:spacing w:before="0" w:beforeAutospacing="0" w:after="0" w:afterAutospacing="0" w:line="280" w:lineRule="exact"/>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固态</w:t>
                  </w:r>
                </w:p>
              </w:tc>
              <w:tc>
                <w:tcPr>
                  <w:tcW w:w="496" w:type="pct"/>
                  <w:noWrap w:val="0"/>
                  <w:vAlign w:val="center"/>
                </w:tcPr>
                <w:p w14:paraId="0B6C92F5">
                  <w:pPr>
                    <w:pStyle w:val="217"/>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rPr>
                      <w:rFonts w:hint="default" w:ascii="Times New Roman" w:hAnsi="Times New Roman" w:eastAsia="宋体" w:cs="Times New Roman"/>
                      <w:color w:val="auto"/>
                      <w:sz w:val="21"/>
                      <w:szCs w:val="21"/>
                      <w:lang w:val="en-US"/>
                    </w:rPr>
                  </w:pPr>
                  <w:r>
                    <w:rPr>
                      <w:rFonts w:hint="default" w:ascii="Times New Roman" w:hAnsi="Times New Roman" w:eastAsia="Times New Roman" w:cs="Times New Roman"/>
                      <w:color w:val="auto"/>
                      <w:sz w:val="21"/>
                      <w:szCs w:val="21"/>
                    </w:rPr>
                    <w:t>活性炭、有机物</w:t>
                  </w:r>
                </w:p>
              </w:tc>
              <w:tc>
                <w:tcPr>
                  <w:tcW w:w="442" w:type="pct"/>
                  <w:noWrap w:val="0"/>
                  <w:vAlign w:val="center"/>
                </w:tcPr>
                <w:p w14:paraId="0EF49744">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Times New Roman" w:cs="Times New Roman"/>
                      <w:color w:val="auto"/>
                      <w:sz w:val="21"/>
                      <w:szCs w:val="21"/>
                    </w:rPr>
                    <w:t>有机物</w:t>
                  </w:r>
                </w:p>
              </w:tc>
              <w:tc>
                <w:tcPr>
                  <w:tcW w:w="413" w:type="pct"/>
                  <w:noWrap w:val="0"/>
                  <w:vAlign w:val="center"/>
                </w:tcPr>
                <w:p w14:paraId="42DE35FC">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sz w:val="21"/>
                      <w:szCs w:val="21"/>
                      <w:lang w:val="en-US" w:eastAsia="zh-CN"/>
                    </w:rPr>
                    <w:t>75工作日</w:t>
                  </w:r>
                </w:p>
              </w:tc>
              <w:tc>
                <w:tcPr>
                  <w:tcW w:w="404" w:type="pct"/>
                  <w:noWrap w:val="0"/>
                  <w:vAlign w:val="center"/>
                </w:tcPr>
                <w:p w14:paraId="2A4B4D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Times New Roman" w:cs="Times New Roman"/>
                      <w:color w:val="auto"/>
                      <w:kern w:val="0"/>
                      <w:sz w:val="21"/>
                      <w:szCs w:val="21"/>
                      <w:lang w:val="en-US" w:eastAsia="zh-CN"/>
                    </w:rPr>
                    <w:t>T/ln</w:t>
                  </w:r>
                </w:p>
              </w:tc>
              <w:tc>
                <w:tcPr>
                  <w:tcW w:w="446" w:type="pct"/>
                  <w:vMerge w:val="continue"/>
                  <w:noWrap w:val="0"/>
                  <w:vAlign w:val="center"/>
                </w:tcPr>
                <w:p w14:paraId="4724448F">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Cs/>
                      <w:color w:val="auto"/>
                      <w:sz w:val="21"/>
                      <w:szCs w:val="21"/>
                    </w:rPr>
                  </w:pPr>
                </w:p>
              </w:tc>
            </w:tr>
            <w:tr w14:paraId="3C0BC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86" w:type="pct"/>
                  <w:noWrap w:val="0"/>
                  <w:vAlign w:val="center"/>
                </w:tcPr>
                <w:p w14:paraId="6B96597B">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4</w:t>
                  </w:r>
                </w:p>
              </w:tc>
              <w:tc>
                <w:tcPr>
                  <w:tcW w:w="489" w:type="pct"/>
                  <w:noWrap w:val="0"/>
                  <w:vAlign w:val="center"/>
                </w:tcPr>
                <w:p w14:paraId="018B3597">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w:t>
                  </w:r>
                  <w:r>
                    <w:rPr>
                      <w:rFonts w:hint="default" w:ascii="Times New Roman" w:hAnsi="Times New Roman" w:eastAsia="宋体" w:cs="Times New Roman"/>
                      <w:color w:val="auto"/>
                      <w:sz w:val="21"/>
                      <w:szCs w:val="21"/>
                      <w:lang w:val="en-US" w:eastAsia="zh-CN"/>
                    </w:rPr>
                    <w:t>润滑油</w:t>
                  </w:r>
                </w:p>
              </w:tc>
              <w:tc>
                <w:tcPr>
                  <w:tcW w:w="480" w:type="pct"/>
                  <w:noWrap w:val="0"/>
                  <w:vAlign w:val="center"/>
                </w:tcPr>
                <w:p w14:paraId="3C5A994B">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HW</w:t>
                  </w:r>
                  <w:r>
                    <w:rPr>
                      <w:rFonts w:hint="default" w:ascii="Times New Roman" w:hAnsi="Times New Roman" w:eastAsia="宋体" w:cs="Times New Roman"/>
                      <w:color w:val="auto"/>
                      <w:sz w:val="21"/>
                      <w:szCs w:val="21"/>
                      <w:lang w:val="en-US" w:eastAsia="zh-CN"/>
                    </w:rPr>
                    <w:t>08</w:t>
                  </w:r>
                </w:p>
              </w:tc>
              <w:tc>
                <w:tcPr>
                  <w:tcW w:w="760" w:type="pct"/>
                  <w:noWrap w:val="0"/>
                  <w:vAlign w:val="center"/>
                </w:tcPr>
                <w:p w14:paraId="6E9B223D">
                  <w:pPr>
                    <w:keepNext w:val="0"/>
                    <w:keepLines w:val="0"/>
                    <w:suppressLineNumbers w:val="0"/>
                    <w:spacing w:before="0" w:beforeAutospacing="0" w:after="0" w:afterAutospacing="0"/>
                    <w:ind w:left="0" w:leftChars="0" w:right="0" w:rightChars="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900-2</w:t>
                  </w:r>
                  <w:r>
                    <w:rPr>
                      <w:rFonts w:hint="default" w:ascii="Times New Roman" w:hAnsi="Times New Roman" w:eastAsia="Times New Roman" w:cs="Times New Roman"/>
                      <w:color w:val="auto"/>
                      <w:sz w:val="21"/>
                      <w:szCs w:val="21"/>
                      <w:lang w:val="en-US" w:eastAsia="zh-CN"/>
                    </w:rPr>
                    <w:t>49</w:t>
                  </w:r>
                  <w:r>
                    <w:rPr>
                      <w:rFonts w:hint="default" w:ascii="Times New Roman" w:hAnsi="Times New Roman" w:eastAsia="Times New Roman" w:cs="Times New Roman"/>
                      <w:color w:val="auto"/>
                      <w:sz w:val="21"/>
                      <w:szCs w:val="21"/>
                    </w:rPr>
                    <w:t>-08</w:t>
                  </w:r>
                </w:p>
              </w:tc>
              <w:tc>
                <w:tcPr>
                  <w:tcW w:w="530" w:type="pct"/>
                  <w:noWrap w:val="0"/>
                  <w:vAlign w:val="center"/>
                </w:tcPr>
                <w:p w14:paraId="53C7E222">
                  <w:pPr>
                    <w:pStyle w:val="217"/>
                    <w:keepNext w:val="0"/>
                    <w:keepLines w:val="0"/>
                    <w:suppressLineNumbers w:val="0"/>
                    <w:spacing w:before="0" w:beforeAutospacing="0" w:after="0" w:afterAutospacing="0"/>
                    <w:ind w:left="-105" w:leftChars="-50" w:right="-105" w:rightChars="-50"/>
                    <w:rPr>
                      <w:rFonts w:hint="default" w:ascii="Times New Roman" w:hAnsi="Times New Roman" w:eastAsia="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0.24</w:t>
                  </w:r>
                </w:p>
              </w:tc>
              <w:tc>
                <w:tcPr>
                  <w:tcW w:w="248" w:type="pct"/>
                  <w:noWrap w:val="0"/>
                  <w:vAlign w:val="center"/>
                </w:tcPr>
                <w:p w14:paraId="3F6F6365">
                  <w:pPr>
                    <w:keepNext w:val="0"/>
                    <w:keepLines w:val="0"/>
                    <w:suppressLineNumbers w:val="0"/>
                    <w:spacing w:before="0" w:beforeAutospacing="0" w:after="0" w:afterAutospacing="0" w:line="280" w:lineRule="exact"/>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液态</w:t>
                  </w:r>
                </w:p>
              </w:tc>
              <w:tc>
                <w:tcPr>
                  <w:tcW w:w="496" w:type="pct"/>
                  <w:noWrap w:val="0"/>
                  <w:vAlign w:val="center"/>
                </w:tcPr>
                <w:p w14:paraId="46C99A45">
                  <w:pPr>
                    <w:pStyle w:val="217"/>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润滑油</w:t>
                  </w:r>
                </w:p>
              </w:tc>
              <w:tc>
                <w:tcPr>
                  <w:tcW w:w="442" w:type="pct"/>
                  <w:noWrap w:val="0"/>
                  <w:vAlign w:val="center"/>
                </w:tcPr>
                <w:p w14:paraId="2D4AB76E">
                  <w:pPr>
                    <w:pStyle w:val="217"/>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润滑油</w:t>
                  </w:r>
                </w:p>
              </w:tc>
              <w:tc>
                <w:tcPr>
                  <w:tcW w:w="413" w:type="pct"/>
                  <w:noWrap w:val="0"/>
                  <w:vAlign w:val="center"/>
                </w:tcPr>
                <w:p w14:paraId="145FE694">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75工作日</w:t>
                  </w:r>
                </w:p>
              </w:tc>
              <w:tc>
                <w:tcPr>
                  <w:tcW w:w="404" w:type="pct"/>
                  <w:noWrap w:val="0"/>
                  <w:vAlign w:val="center"/>
                </w:tcPr>
                <w:p w14:paraId="6552A714">
                  <w:pPr>
                    <w:keepNext w:val="0"/>
                    <w:keepLines w:val="0"/>
                    <w:widowControl/>
                    <w:suppressLineNumbers w:val="0"/>
                    <w:spacing w:before="0" w:beforeAutospacing="0" w:after="0" w:afterAutospacing="0" w:line="360" w:lineRule="exact"/>
                    <w:ind w:left="0" w:leftChars="0" w:right="0" w:rightChars="0"/>
                    <w:jc w:val="center"/>
                    <w:rPr>
                      <w:rFonts w:hint="default" w:ascii="Times New Roman" w:hAnsi="Times New Roman" w:eastAsia="Times New Roman" w:cs="Times New Roman"/>
                      <w:color w:val="auto"/>
                      <w:kern w:val="0"/>
                      <w:sz w:val="21"/>
                      <w:szCs w:val="21"/>
                      <w:lang w:val="en-US" w:eastAsia="zh-CN"/>
                    </w:rPr>
                  </w:pPr>
                  <w:r>
                    <w:rPr>
                      <w:rFonts w:hint="default" w:ascii="Times New Roman" w:hAnsi="Times New Roman" w:eastAsia="Times New Roman" w:cs="Times New Roman"/>
                      <w:color w:val="auto"/>
                      <w:kern w:val="0"/>
                      <w:sz w:val="21"/>
                      <w:szCs w:val="21"/>
                      <w:lang w:val="en-US" w:eastAsia="zh-CN"/>
                    </w:rPr>
                    <w:t>T，I</w:t>
                  </w:r>
                </w:p>
              </w:tc>
              <w:tc>
                <w:tcPr>
                  <w:tcW w:w="446" w:type="pct"/>
                  <w:vMerge w:val="continue"/>
                  <w:noWrap w:val="0"/>
                  <w:vAlign w:val="center"/>
                </w:tcPr>
                <w:p w14:paraId="3FBAD294">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Cs/>
                      <w:color w:val="auto"/>
                      <w:sz w:val="21"/>
                      <w:szCs w:val="21"/>
                    </w:rPr>
                  </w:pPr>
                </w:p>
              </w:tc>
            </w:tr>
            <w:tr w14:paraId="3F258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86" w:type="pct"/>
                  <w:noWrap w:val="0"/>
                  <w:vAlign w:val="center"/>
                </w:tcPr>
                <w:p w14:paraId="13F29B00">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5</w:t>
                  </w:r>
                </w:p>
              </w:tc>
              <w:tc>
                <w:tcPr>
                  <w:tcW w:w="489" w:type="pct"/>
                  <w:noWrap w:val="0"/>
                  <w:vAlign w:val="center"/>
                </w:tcPr>
                <w:p w14:paraId="4BF4E9D6">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废包装桶</w:t>
                  </w:r>
                </w:p>
              </w:tc>
              <w:tc>
                <w:tcPr>
                  <w:tcW w:w="480" w:type="pct"/>
                  <w:noWrap w:val="0"/>
                  <w:vAlign w:val="center"/>
                </w:tcPr>
                <w:p w14:paraId="4ABC17F2">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HW</w:t>
                  </w:r>
                  <w:r>
                    <w:rPr>
                      <w:rFonts w:hint="default" w:ascii="Times New Roman" w:hAnsi="Times New Roman" w:eastAsia="宋体" w:cs="Times New Roman"/>
                      <w:color w:val="auto"/>
                      <w:sz w:val="21"/>
                      <w:szCs w:val="21"/>
                      <w:lang w:val="en-US" w:eastAsia="zh-CN"/>
                    </w:rPr>
                    <w:t>08</w:t>
                  </w:r>
                </w:p>
              </w:tc>
              <w:tc>
                <w:tcPr>
                  <w:tcW w:w="760" w:type="pct"/>
                  <w:noWrap w:val="0"/>
                  <w:vAlign w:val="center"/>
                </w:tcPr>
                <w:p w14:paraId="12324DA4">
                  <w:pPr>
                    <w:keepNext w:val="0"/>
                    <w:keepLines w:val="0"/>
                    <w:suppressLineNumbers w:val="0"/>
                    <w:spacing w:before="0" w:beforeAutospacing="0" w:after="0" w:afterAutospacing="0"/>
                    <w:ind w:left="0" w:leftChars="0" w:right="0" w:rightChars="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900-2</w:t>
                  </w:r>
                  <w:r>
                    <w:rPr>
                      <w:rFonts w:hint="default" w:ascii="Times New Roman" w:hAnsi="Times New Roman" w:eastAsia="Times New Roman" w:cs="Times New Roman"/>
                      <w:color w:val="auto"/>
                      <w:sz w:val="21"/>
                      <w:szCs w:val="21"/>
                      <w:lang w:val="en-US" w:eastAsia="zh-CN"/>
                    </w:rPr>
                    <w:t>49</w:t>
                  </w:r>
                  <w:r>
                    <w:rPr>
                      <w:rFonts w:hint="default" w:ascii="Times New Roman" w:hAnsi="Times New Roman" w:eastAsia="Times New Roman" w:cs="Times New Roman"/>
                      <w:color w:val="auto"/>
                      <w:sz w:val="21"/>
                      <w:szCs w:val="21"/>
                    </w:rPr>
                    <w:t>-08</w:t>
                  </w:r>
                </w:p>
              </w:tc>
              <w:tc>
                <w:tcPr>
                  <w:tcW w:w="530" w:type="pct"/>
                  <w:noWrap w:val="0"/>
                  <w:vAlign w:val="center"/>
                </w:tcPr>
                <w:p w14:paraId="123D0A47">
                  <w:pPr>
                    <w:pStyle w:val="217"/>
                    <w:keepNext w:val="0"/>
                    <w:keepLines w:val="0"/>
                    <w:suppressLineNumbers w:val="0"/>
                    <w:spacing w:before="0" w:beforeAutospacing="0" w:after="0" w:afterAutospacing="0"/>
                    <w:ind w:left="-105" w:leftChars="-50" w:right="-105" w:rightChars="-50"/>
                    <w:rPr>
                      <w:rFonts w:hint="default" w:ascii="Times New Roman" w:hAnsi="Times New Roman" w:eastAsia="Times New Roman" w:cs="Times New Roman"/>
                      <w:color w:val="auto"/>
                      <w:sz w:val="21"/>
                      <w:szCs w:val="21"/>
                      <w:lang w:val="en-US" w:eastAsia="zh-CN"/>
                    </w:rPr>
                  </w:pPr>
                  <w:r>
                    <w:rPr>
                      <w:rFonts w:hint="default" w:ascii="Times New Roman" w:hAnsi="Times New Roman" w:eastAsia="Times New Roman" w:cs="Times New Roman"/>
                      <w:color w:val="auto"/>
                      <w:sz w:val="21"/>
                      <w:szCs w:val="21"/>
                      <w:lang w:val="en-US" w:eastAsia="zh-CN"/>
                    </w:rPr>
                    <w:t>0.93</w:t>
                  </w:r>
                </w:p>
              </w:tc>
              <w:tc>
                <w:tcPr>
                  <w:tcW w:w="248" w:type="pct"/>
                  <w:noWrap w:val="0"/>
                  <w:vAlign w:val="center"/>
                </w:tcPr>
                <w:p w14:paraId="67B9E0E6">
                  <w:pPr>
                    <w:keepNext w:val="0"/>
                    <w:keepLines w:val="0"/>
                    <w:suppressLineNumbers w:val="0"/>
                    <w:spacing w:before="0" w:beforeAutospacing="0" w:after="0" w:afterAutospacing="0" w:line="280" w:lineRule="exact"/>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固态</w:t>
                  </w:r>
                </w:p>
              </w:tc>
              <w:tc>
                <w:tcPr>
                  <w:tcW w:w="496" w:type="pct"/>
                  <w:noWrap w:val="0"/>
                  <w:vAlign w:val="center"/>
                </w:tcPr>
                <w:p w14:paraId="7D112234">
                  <w:pPr>
                    <w:pStyle w:val="217"/>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润滑油、</w:t>
                  </w:r>
                  <w:r>
                    <w:rPr>
                      <w:rFonts w:hint="default" w:ascii="Times New Roman" w:hAnsi="Times New Roman" w:cs="Times New Roman"/>
                      <w:bCs/>
                      <w:color w:val="auto"/>
                      <w:sz w:val="21"/>
                      <w:szCs w:val="21"/>
                      <w:lang w:val="en-US" w:eastAsia="zh-CN"/>
                    </w:rPr>
                    <w:t>淬火油</w:t>
                  </w:r>
                </w:p>
              </w:tc>
              <w:tc>
                <w:tcPr>
                  <w:tcW w:w="442" w:type="pct"/>
                  <w:noWrap w:val="0"/>
                  <w:vAlign w:val="center"/>
                </w:tcPr>
                <w:p w14:paraId="53DA9208">
                  <w:pPr>
                    <w:pStyle w:val="217"/>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润滑油</w:t>
                  </w:r>
                </w:p>
              </w:tc>
              <w:tc>
                <w:tcPr>
                  <w:tcW w:w="413" w:type="pct"/>
                  <w:noWrap w:val="0"/>
                  <w:vAlign w:val="center"/>
                </w:tcPr>
                <w:p w14:paraId="0B55D205">
                  <w:pPr>
                    <w:keepNext w:val="0"/>
                    <w:keepLines w:val="0"/>
                    <w:pageBreakBefore w:val="0"/>
                    <w:suppressLineNumbers w:val="0"/>
                    <w:kinsoku/>
                    <w:wordWrap/>
                    <w:overflowPunct/>
                    <w:topLinePunct w:val="0"/>
                    <w:bidi w:val="0"/>
                    <w:spacing w:before="0" w:beforeAutospacing="0" w:after="0" w:afterAutospacing="0"/>
                    <w:ind w:left="0" w:leftChars="0" w:right="-21" w:rightChars="-10"/>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30</w:t>
                  </w:r>
                  <w:r>
                    <w:rPr>
                      <w:rFonts w:hint="default" w:ascii="Times New Roman" w:hAnsi="Times New Roman" w:eastAsia="宋体" w:cs="Times New Roman"/>
                      <w:bCs/>
                      <w:color w:val="auto"/>
                      <w:sz w:val="21"/>
                      <w:szCs w:val="21"/>
                      <w:lang w:val="en-US" w:eastAsia="zh-CN"/>
                    </w:rPr>
                    <w:t>工作日</w:t>
                  </w:r>
                </w:p>
              </w:tc>
              <w:tc>
                <w:tcPr>
                  <w:tcW w:w="404" w:type="pct"/>
                  <w:noWrap w:val="0"/>
                  <w:vAlign w:val="center"/>
                </w:tcPr>
                <w:p w14:paraId="23CB6B2A">
                  <w:pPr>
                    <w:keepNext w:val="0"/>
                    <w:keepLines w:val="0"/>
                    <w:widowControl/>
                    <w:suppressLineNumbers w:val="0"/>
                    <w:spacing w:before="0" w:beforeAutospacing="0" w:after="0" w:afterAutospacing="0" w:line="360" w:lineRule="exact"/>
                    <w:ind w:left="0" w:leftChars="0" w:right="0" w:rightChars="0"/>
                    <w:jc w:val="center"/>
                    <w:rPr>
                      <w:rFonts w:hint="default" w:ascii="Times New Roman" w:hAnsi="Times New Roman" w:eastAsia="Times New Roman" w:cs="Times New Roman"/>
                      <w:color w:val="auto"/>
                      <w:kern w:val="0"/>
                      <w:sz w:val="21"/>
                      <w:szCs w:val="21"/>
                      <w:lang w:val="en-US" w:eastAsia="zh-CN"/>
                    </w:rPr>
                  </w:pPr>
                  <w:r>
                    <w:rPr>
                      <w:rFonts w:hint="default" w:ascii="Times New Roman" w:hAnsi="Times New Roman" w:eastAsia="Times New Roman" w:cs="Times New Roman"/>
                      <w:color w:val="auto"/>
                      <w:kern w:val="0"/>
                      <w:sz w:val="21"/>
                      <w:szCs w:val="21"/>
                      <w:lang w:val="en-US" w:eastAsia="zh-CN"/>
                    </w:rPr>
                    <w:t>T，I</w:t>
                  </w:r>
                </w:p>
              </w:tc>
              <w:tc>
                <w:tcPr>
                  <w:tcW w:w="446" w:type="pct"/>
                  <w:vMerge w:val="continue"/>
                  <w:noWrap w:val="0"/>
                  <w:vAlign w:val="center"/>
                </w:tcPr>
                <w:p w14:paraId="4E21A25E">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Cs/>
                      <w:color w:val="auto"/>
                      <w:sz w:val="21"/>
                      <w:szCs w:val="21"/>
                    </w:rPr>
                  </w:pPr>
                </w:p>
              </w:tc>
            </w:tr>
            <w:tr w14:paraId="285BF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86" w:type="pct"/>
                  <w:noWrap w:val="0"/>
                  <w:vAlign w:val="center"/>
                </w:tcPr>
                <w:p w14:paraId="3A794D1E">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6</w:t>
                  </w:r>
                </w:p>
              </w:tc>
              <w:tc>
                <w:tcPr>
                  <w:tcW w:w="489" w:type="pct"/>
                  <w:noWrap w:val="0"/>
                  <w:vAlign w:val="center"/>
                </w:tcPr>
                <w:p w14:paraId="1DC026D4">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kern w:val="0"/>
                      <w:sz w:val="21"/>
                      <w:szCs w:val="21"/>
                      <w:lang w:val="en-US" w:eastAsia="zh-CN"/>
                    </w:rPr>
                    <w:t>废过滤棉</w:t>
                  </w:r>
                </w:p>
              </w:tc>
              <w:tc>
                <w:tcPr>
                  <w:tcW w:w="480" w:type="pct"/>
                  <w:noWrap w:val="0"/>
                  <w:vAlign w:val="center"/>
                </w:tcPr>
                <w:p w14:paraId="2283F1E3">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HW09</w:t>
                  </w:r>
                </w:p>
              </w:tc>
              <w:tc>
                <w:tcPr>
                  <w:tcW w:w="760" w:type="pct"/>
                  <w:noWrap w:val="0"/>
                  <w:vAlign w:val="center"/>
                </w:tcPr>
                <w:p w14:paraId="7022AF13">
                  <w:pPr>
                    <w:keepNext w:val="0"/>
                    <w:keepLines w:val="0"/>
                    <w:suppressLineNumbers w:val="0"/>
                    <w:spacing w:before="0" w:beforeAutospacing="0" w:after="0" w:afterAutospacing="0"/>
                    <w:ind w:left="0" w:leftChars="0" w:right="0" w:rightChars="0"/>
                    <w:jc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color w:val="auto"/>
                      <w:sz w:val="21"/>
                      <w:szCs w:val="21"/>
                      <w:u w:val="none" w:color="auto"/>
                      <w:lang w:val="en-US" w:eastAsia="zh-CN"/>
                    </w:rPr>
                    <w:t>900-007-09</w:t>
                  </w:r>
                </w:p>
              </w:tc>
              <w:tc>
                <w:tcPr>
                  <w:tcW w:w="530" w:type="pct"/>
                  <w:noWrap w:val="0"/>
                  <w:vAlign w:val="center"/>
                </w:tcPr>
                <w:p w14:paraId="1A21BF4B">
                  <w:pPr>
                    <w:pStyle w:val="217"/>
                    <w:keepNext w:val="0"/>
                    <w:keepLines w:val="0"/>
                    <w:suppressLineNumbers w:val="0"/>
                    <w:spacing w:before="0" w:beforeAutospacing="0" w:after="0" w:afterAutospacing="0"/>
                    <w:ind w:left="-105" w:leftChars="-50" w:right="-105" w:rightChars="-50"/>
                    <w:rPr>
                      <w:rFonts w:hint="default" w:ascii="Times New Roman" w:hAnsi="Times New Roman" w:eastAsia="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0.225</w:t>
                  </w:r>
                </w:p>
              </w:tc>
              <w:tc>
                <w:tcPr>
                  <w:tcW w:w="248" w:type="pct"/>
                  <w:noWrap w:val="0"/>
                  <w:vAlign w:val="center"/>
                </w:tcPr>
                <w:p w14:paraId="0B781EA1">
                  <w:pPr>
                    <w:keepNext w:val="0"/>
                    <w:keepLines w:val="0"/>
                    <w:suppressLineNumbers w:val="0"/>
                    <w:spacing w:before="0" w:beforeAutospacing="0" w:after="0" w:afterAutospacing="0" w:line="280" w:lineRule="exact"/>
                    <w:ind w:left="-105" w:leftChars="-50" w:right="-105" w:rightChars="-5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固态</w:t>
                  </w:r>
                </w:p>
              </w:tc>
              <w:tc>
                <w:tcPr>
                  <w:tcW w:w="496" w:type="pct"/>
                  <w:noWrap w:val="0"/>
                  <w:vAlign w:val="center"/>
                </w:tcPr>
                <w:p w14:paraId="3CAD139A">
                  <w:pPr>
                    <w:pStyle w:val="217"/>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cs="Times New Roman"/>
                      <w:bCs/>
                      <w:color w:val="auto"/>
                      <w:sz w:val="21"/>
                      <w:szCs w:val="21"/>
                      <w:lang w:val="en-US" w:eastAsia="zh-CN"/>
                    </w:rPr>
                    <w:t>淬火油</w:t>
                  </w:r>
                </w:p>
              </w:tc>
              <w:tc>
                <w:tcPr>
                  <w:tcW w:w="442" w:type="pct"/>
                  <w:noWrap w:val="0"/>
                  <w:vAlign w:val="center"/>
                </w:tcPr>
                <w:p w14:paraId="210FC38E">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bCs/>
                      <w:color w:val="auto"/>
                      <w:sz w:val="21"/>
                      <w:szCs w:val="21"/>
                      <w:lang w:val="en-US" w:eastAsia="zh-CN"/>
                    </w:rPr>
                    <w:t>淬火油</w:t>
                  </w:r>
                </w:p>
              </w:tc>
              <w:tc>
                <w:tcPr>
                  <w:tcW w:w="413" w:type="pct"/>
                  <w:noWrap w:val="0"/>
                  <w:vAlign w:val="center"/>
                </w:tcPr>
                <w:p w14:paraId="32A93F4A">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eastAsia"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75工作日</w:t>
                  </w:r>
                </w:p>
              </w:tc>
              <w:tc>
                <w:tcPr>
                  <w:tcW w:w="404" w:type="pct"/>
                  <w:noWrap w:val="0"/>
                  <w:vAlign w:val="center"/>
                </w:tcPr>
                <w:p w14:paraId="71693C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firstLine="0" w:firstLineChars="0"/>
                    <w:jc w:val="center"/>
                    <w:textAlignment w:val="auto"/>
                    <w:rPr>
                      <w:rFonts w:hint="default" w:ascii="Times New Roman" w:hAnsi="Times New Roman" w:eastAsia="Times New Roman" w:cs="Times New Roman"/>
                      <w:color w:val="auto"/>
                      <w:kern w:val="0"/>
                      <w:sz w:val="21"/>
                      <w:szCs w:val="21"/>
                      <w:lang w:val="en-US" w:eastAsia="zh-CN"/>
                    </w:rPr>
                  </w:pPr>
                  <w:r>
                    <w:rPr>
                      <w:rFonts w:hint="default" w:ascii="Times New Roman" w:hAnsi="Times New Roman" w:cs="Times New Roman"/>
                      <w:bCs/>
                      <w:color w:val="auto"/>
                      <w:sz w:val="21"/>
                      <w:szCs w:val="21"/>
                      <w:lang w:val="en-US" w:eastAsia="zh-CN"/>
                    </w:rPr>
                    <w:t>T</w:t>
                  </w:r>
                </w:p>
              </w:tc>
              <w:tc>
                <w:tcPr>
                  <w:tcW w:w="446" w:type="pct"/>
                  <w:vMerge w:val="continue"/>
                  <w:noWrap w:val="0"/>
                  <w:vAlign w:val="center"/>
                </w:tcPr>
                <w:p w14:paraId="720E4EE4">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Cs/>
                      <w:color w:val="auto"/>
                      <w:sz w:val="21"/>
                      <w:szCs w:val="21"/>
                    </w:rPr>
                  </w:pPr>
                </w:p>
              </w:tc>
            </w:tr>
          </w:tbl>
          <w:p w14:paraId="198F88BF">
            <w:pPr>
              <w:keepNext w:val="0"/>
              <w:keepLines w:val="0"/>
              <w:suppressLineNumbers w:val="0"/>
              <w:spacing w:before="0" w:beforeAutospacing="0" w:after="0" w:afterAutospacing="0" w:line="440" w:lineRule="exact"/>
              <w:ind w:left="0" w:right="0" w:firstLine="482" w:firstLineChars="200"/>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w:t>
            </w:r>
            <w:r>
              <w:rPr>
                <w:rFonts w:hint="eastAsia" w:ascii="Times New Roman" w:hAnsi="Times New Roman" w:eastAsia="宋体" w:cs="Times New Roman"/>
                <w:b/>
                <w:color w:val="auto"/>
                <w:sz w:val="24"/>
                <w:lang w:val="en-US" w:eastAsia="zh-CN"/>
              </w:rPr>
              <w:t>2</w:t>
            </w:r>
            <w:r>
              <w:rPr>
                <w:rFonts w:hint="default" w:ascii="Times New Roman" w:hAnsi="Times New Roman" w:eastAsia="宋体" w:cs="Times New Roman"/>
                <w:b/>
                <w:color w:val="auto"/>
                <w:sz w:val="24"/>
              </w:rPr>
              <w:t>）固废处置环境管理要求</w:t>
            </w:r>
          </w:p>
          <w:p w14:paraId="62047E35">
            <w:pPr>
              <w:keepNext w:val="0"/>
              <w:keepLines w:val="0"/>
              <w:suppressLineNumbers w:val="0"/>
              <w:adjustRightInd w:val="0"/>
              <w:spacing w:before="0" w:beforeAutospacing="0" w:after="0" w:afterAutospacing="0" w:line="440" w:lineRule="exact"/>
              <w:ind w:left="0" w:right="0" w:firstLine="482"/>
              <w:jc w:val="left"/>
              <w:rPr>
                <w:rFonts w:hint="default" w:ascii="Times New Roman" w:hAnsi="Times New Roman" w:eastAsia="宋体" w:cs="Times New Roman"/>
                <w:b/>
                <w:bCs/>
                <w:color w:val="auto"/>
                <w:sz w:val="24"/>
              </w:rPr>
            </w:pPr>
            <w:r>
              <w:rPr>
                <w:rFonts w:hint="default" w:ascii="Times New Roman" w:hAnsi="Times New Roman" w:eastAsia="宋体" w:cs="Times New Roman"/>
                <w:b/>
                <w:color w:val="auto"/>
                <w:sz w:val="24"/>
              </w:rPr>
              <w:t>1）</w:t>
            </w:r>
            <w:r>
              <w:rPr>
                <w:rFonts w:hint="default" w:ascii="Times New Roman" w:hAnsi="Times New Roman" w:eastAsia="宋体" w:cs="Times New Roman"/>
                <w:b/>
                <w:bCs/>
                <w:color w:val="auto"/>
                <w:sz w:val="24"/>
              </w:rPr>
              <w:t>一般固废暂存要求</w:t>
            </w:r>
          </w:p>
          <w:p w14:paraId="301BAE99">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40" w:lineRule="exact"/>
              <w:ind w:left="0" w:right="0" w:firstLine="480" w:firstLineChars="200"/>
              <w:textAlignment w:val="auto"/>
              <w:rPr>
                <w:rFonts w:hint="default" w:eastAsia="宋体"/>
                <w:color w:val="auto"/>
                <w:sz w:val="24"/>
              </w:rPr>
            </w:pPr>
            <w:r>
              <w:rPr>
                <w:rFonts w:hint="eastAsia" w:hAnsi="宋体" w:eastAsia="宋体"/>
                <w:color w:val="auto"/>
                <w:sz w:val="24"/>
                <w:lang w:val="en-US" w:eastAsia="zh-CN"/>
              </w:rPr>
              <w:t>项目于厂房内</w:t>
            </w:r>
            <w:r>
              <w:rPr>
                <w:rFonts w:hint="eastAsia" w:hAnsi="宋体"/>
                <w:color w:val="auto"/>
                <w:sz w:val="24"/>
                <w:lang w:val="en-US" w:eastAsia="zh-CN"/>
              </w:rPr>
              <w:t>南</w:t>
            </w:r>
            <w:r>
              <w:rPr>
                <w:rFonts w:hint="eastAsia" w:hAnsi="宋体" w:eastAsia="宋体"/>
                <w:color w:val="auto"/>
                <w:sz w:val="24"/>
                <w:lang w:val="en-US" w:eastAsia="zh-CN"/>
              </w:rPr>
              <w:t>侧设置一个面积</w:t>
            </w:r>
            <w:r>
              <w:rPr>
                <w:rFonts w:hint="default" w:ascii="Times New Roman" w:hAnsi="Times New Roman" w:eastAsia="宋体" w:cs="Times New Roman"/>
                <w:color w:val="auto"/>
                <w:sz w:val="24"/>
                <w:lang w:val="en-US" w:eastAsia="zh-CN"/>
              </w:rPr>
              <w:t>为</w:t>
            </w:r>
            <w:r>
              <w:rPr>
                <w:rFonts w:hint="eastAsia" w:ascii="Times New Roman" w:hAnsi="Times New Roman" w:cs="Times New Roman"/>
                <w:color w:val="auto"/>
                <w:sz w:val="24"/>
                <w:lang w:val="en-US" w:eastAsia="zh-CN"/>
              </w:rPr>
              <w:t>20</w:t>
            </w:r>
            <w:r>
              <w:rPr>
                <w:rFonts w:hint="default" w:ascii="Times New Roman" w:hAnsi="Times New Roman" w:eastAsia="宋体" w:cs="Times New Roman"/>
                <w:color w:val="auto"/>
                <w:sz w:val="24"/>
              </w:rPr>
              <w:t>m</w:t>
            </w:r>
            <w:r>
              <w:rPr>
                <w:rFonts w:hint="default" w:ascii="Times New Roman" w:hAnsi="Times New Roman" w:eastAsia="宋体" w:cs="Times New Roman"/>
                <w:color w:val="auto"/>
                <w:sz w:val="24"/>
                <w:vertAlign w:val="superscript"/>
              </w:rPr>
              <w:t>2</w:t>
            </w:r>
            <w:r>
              <w:rPr>
                <w:rFonts w:hint="default" w:ascii="Times New Roman" w:hAnsi="Times New Roman" w:eastAsia="宋体" w:cs="Times New Roman"/>
                <w:color w:val="auto"/>
                <w:sz w:val="24"/>
              </w:rPr>
              <w:t>一般固废</w:t>
            </w:r>
            <w:r>
              <w:rPr>
                <w:rFonts w:hint="default" w:ascii="Times New Roman" w:hAnsi="Times New Roman" w:eastAsia="宋体" w:cs="Times New Roman"/>
                <w:color w:val="auto"/>
                <w:sz w:val="24"/>
                <w:lang w:val="en-US" w:eastAsia="zh-CN"/>
              </w:rPr>
              <w:t>暂存间</w:t>
            </w:r>
            <w:r>
              <w:rPr>
                <w:rFonts w:hint="default" w:ascii="Times New Roman" w:hAnsi="Times New Roman" w:eastAsia="宋体" w:cs="Times New Roman"/>
                <w:color w:val="auto"/>
                <w:sz w:val="24"/>
              </w:rPr>
              <w:t>；一般固废收集后</w:t>
            </w:r>
            <w:r>
              <w:rPr>
                <w:rFonts w:hint="eastAsia" w:ascii="Times New Roman" w:hAnsi="Times New Roman" w:cs="Times New Roman"/>
                <w:color w:val="auto"/>
                <w:sz w:val="24"/>
                <w:lang w:val="en-US" w:eastAsia="zh-CN"/>
              </w:rPr>
              <w:t>外售</w:t>
            </w:r>
            <w:r>
              <w:rPr>
                <w:rFonts w:hint="default" w:ascii="Times New Roman" w:hAnsi="Times New Roman" w:eastAsia="宋体" w:cs="Times New Roman"/>
                <w:color w:val="auto"/>
                <w:sz w:val="24"/>
              </w:rPr>
              <w:t>，一般固废暂存间具有挡风、挡雨和防渗措施，可有效防止扬尘对周围环境造成影响。一般固废临时暂存场所按照《一般工业固体废物贮存和填埋污染控制标准》（GB18599-2020）</w:t>
            </w:r>
            <w:r>
              <w:rPr>
                <w:rFonts w:hint="default" w:hAnsi="宋体" w:eastAsia="宋体"/>
                <w:color w:val="auto"/>
                <w:sz w:val="24"/>
              </w:rPr>
              <w:t>的相关要求进行设置，同时，应将入场的一般工业固体废物的种类和数量资料，详细记录在案，长期保存，供随时查阅。</w:t>
            </w:r>
          </w:p>
          <w:p w14:paraId="5D52F563">
            <w:pPr>
              <w:keepNext w:val="0"/>
              <w:keepLines w:val="0"/>
              <w:suppressLineNumbers w:val="0"/>
              <w:adjustRightInd w:val="0"/>
              <w:spacing w:before="0" w:beforeAutospacing="0" w:after="0" w:afterAutospacing="0" w:line="440" w:lineRule="exact"/>
              <w:ind w:left="0" w:right="0" w:firstLine="482"/>
              <w:jc w:val="left"/>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2）危险废物处理处置要求</w:t>
            </w:r>
          </w:p>
          <w:p w14:paraId="0C2179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hAnsi="宋体" w:eastAsia="宋体"/>
                <w:b w:val="0"/>
                <w:bCs/>
                <w:color w:val="auto"/>
                <w:sz w:val="24"/>
              </w:rPr>
            </w:pPr>
            <w:r>
              <w:rPr>
                <w:rFonts w:hint="default" w:hAnsi="宋体" w:eastAsia="宋体"/>
                <w:b w:val="0"/>
                <w:bCs/>
                <w:color w:val="auto"/>
                <w:sz w:val="24"/>
              </w:rPr>
              <w:t>①危险废物暂存</w:t>
            </w:r>
          </w:p>
          <w:p w14:paraId="61C48593">
            <w:pPr>
              <w:pStyle w:val="4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Times New Roman" w:hAnsi="宋体" w:eastAsia="宋体" w:cs="Times New Roman"/>
                <w:color w:val="auto"/>
                <w:kern w:val="2"/>
                <w:sz w:val="24"/>
                <w:szCs w:val="24"/>
                <w:lang w:val="en-US" w:eastAsia="zh-CN" w:bidi="ar-SA"/>
              </w:rPr>
            </w:pPr>
            <w:r>
              <w:rPr>
                <w:rFonts w:hint="eastAsia" w:ascii="Times New Roman" w:hAnsi="宋体" w:eastAsia="宋体" w:cs="Times New Roman"/>
                <w:color w:val="auto"/>
                <w:kern w:val="2"/>
                <w:sz w:val="24"/>
                <w:szCs w:val="24"/>
                <w:lang w:val="en-US" w:eastAsia="zh-CN" w:bidi="ar-SA"/>
              </w:rPr>
              <w:t xml:space="preserve">本评价要求，各危险废物的临时贮存、转移、处置均按《危险废物污染防治技术政策》和《危险废物贮存污染控制标准》（GB18597-2023）有关要求进行。 </w:t>
            </w:r>
          </w:p>
          <w:p w14:paraId="33120F72">
            <w:pPr>
              <w:keepNext w:val="0"/>
              <w:keepLines w:val="0"/>
              <w:pageBreakBefore w:val="0"/>
              <w:widowControl w:val="0"/>
              <w:suppressLineNumbers w:val="0"/>
              <w:tabs>
                <w:tab w:val="left" w:pos="426"/>
              </w:tabs>
              <w:kinsoku/>
              <w:wordWrap/>
              <w:overflowPunct/>
              <w:topLinePunct w:val="0"/>
              <w:autoSpaceDE/>
              <w:autoSpaceDN/>
              <w:bidi w:val="0"/>
              <w:adjustRightInd/>
              <w:snapToGrid/>
              <w:spacing w:before="0" w:beforeAutospacing="0" w:after="0" w:afterAutospacing="0" w:line="440" w:lineRule="exact"/>
              <w:ind w:left="0" w:right="0" w:firstLine="435"/>
              <w:textAlignment w:val="auto"/>
              <w:outlineLvl w:val="9"/>
              <w:rPr>
                <w:rFonts w:hint="eastAsia" w:ascii="Times New Roman" w:hAnsi="Times New Roman" w:eastAsia="宋体" w:cs="Times New Roman"/>
                <w:color w:val="auto"/>
                <w:sz w:val="24"/>
                <w:lang w:val="en-US" w:eastAsia="zh-CN"/>
              </w:rPr>
            </w:pPr>
            <w:r>
              <w:rPr>
                <w:rFonts w:hint="eastAsia" w:ascii="Times New Roman" w:hAnsi="Times New Roman" w:eastAsia="Times New Roman" w:cs="Times New Roman"/>
                <w:color w:val="auto"/>
                <w:sz w:val="24"/>
                <w:szCs w:val="24"/>
                <w:lang w:val="en-US" w:eastAsia="zh-CN"/>
              </w:rPr>
              <w:t>A、</w:t>
            </w:r>
            <w:r>
              <w:rPr>
                <w:rFonts w:hint="default" w:ascii="Times New Roman" w:hAnsi="Times New Roman" w:eastAsia="Times New Roman" w:cs="Times New Roman"/>
                <w:color w:val="auto"/>
                <w:sz w:val="24"/>
              </w:rPr>
              <w:t>贮存设施应根据危险废物的形态、物理化学性质、包装形式和污染物迁移途径，采取必要的防风、防晒、防雨、防漏、防渗、防腐以及其他环境污染防治措施，不应露天堆放危险废物</w:t>
            </w:r>
            <w:r>
              <w:rPr>
                <w:rFonts w:hint="eastAsia" w:ascii="Times New Roman" w:hAnsi="Times New Roman" w:eastAsia="Times New Roman" w:cs="Times New Roman"/>
                <w:color w:val="auto"/>
                <w:sz w:val="24"/>
                <w:lang w:eastAsia="zh-CN"/>
              </w:rPr>
              <w:t>；</w:t>
            </w:r>
            <w:r>
              <w:rPr>
                <w:rFonts w:hint="eastAsia" w:ascii="Times New Roman" w:hAnsi="Times New Roman" w:eastAsia="Times New Roman" w:cs="Times New Roman"/>
                <w:color w:val="auto"/>
                <w:sz w:val="24"/>
                <w:lang w:val="en-US" w:eastAsia="zh-CN"/>
              </w:rPr>
              <w:t>贮存设施应按照要求设置标识牌</w:t>
            </w:r>
            <w:r>
              <w:rPr>
                <w:rFonts w:hint="default" w:ascii="Times New Roman" w:hAnsi="Times New Roman" w:eastAsia="Times New Roman" w:cs="Times New Roman"/>
                <w:color w:val="auto"/>
                <w:sz w:val="24"/>
              </w:rPr>
              <w:t>。</w:t>
            </w:r>
          </w:p>
          <w:p w14:paraId="01AAEBA8">
            <w:pPr>
              <w:keepNext w:val="0"/>
              <w:keepLines w:val="0"/>
              <w:pageBreakBefore w:val="0"/>
              <w:widowControl w:val="0"/>
              <w:suppressLineNumbers w:val="0"/>
              <w:tabs>
                <w:tab w:val="left" w:pos="426"/>
              </w:tabs>
              <w:kinsoku/>
              <w:wordWrap/>
              <w:overflowPunct/>
              <w:topLinePunct w:val="0"/>
              <w:autoSpaceDE/>
              <w:autoSpaceDN/>
              <w:bidi w:val="0"/>
              <w:adjustRightInd/>
              <w:snapToGrid/>
              <w:spacing w:before="0" w:beforeAutospacing="0" w:after="0" w:afterAutospacing="0" w:line="440" w:lineRule="exact"/>
              <w:ind w:left="0" w:right="0" w:firstLine="435"/>
              <w:textAlignment w:val="auto"/>
              <w:outlineLvl w:val="9"/>
              <w:rPr>
                <w:rFonts w:hint="eastAsia" w:ascii="Times New Roman" w:hAnsi="Times New Roman" w:eastAsia="宋体" w:cs="Times New Roman"/>
                <w:color w:val="auto"/>
                <w:sz w:val="24"/>
                <w:lang w:val="en-US" w:eastAsia="zh-CN"/>
              </w:rPr>
            </w:pPr>
            <w:r>
              <w:rPr>
                <w:rFonts w:hint="eastAsia" w:ascii="Times New Roman" w:hAnsi="Times New Roman" w:eastAsia="Times New Roman" w:cs="Times New Roman"/>
                <w:color w:val="auto"/>
                <w:sz w:val="24"/>
                <w:lang w:val="en-US" w:eastAsia="zh-CN"/>
              </w:rPr>
              <w:t>B、贮存设施应根据危险废物的类别、数量、形态、物理化学性质和污染防治等要求设置必要的贮存分区，并设置分区贮存标识牌，避免不相容的危险废物接触、混合。</w:t>
            </w:r>
          </w:p>
          <w:p w14:paraId="19A91A57">
            <w:pPr>
              <w:keepNext w:val="0"/>
              <w:keepLines w:val="0"/>
              <w:pageBreakBefore w:val="0"/>
              <w:widowControl w:val="0"/>
              <w:suppressLineNumbers w:val="0"/>
              <w:tabs>
                <w:tab w:val="left" w:pos="426"/>
              </w:tabs>
              <w:kinsoku/>
              <w:wordWrap/>
              <w:overflowPunct/>
              <w:topLinePunct w:val="0"/>
              <w:autoSpaceDE/>
              <w:autoSpaceDN/>
              <w:bidi w:val="0"/>
              <w:adjustRightInd/>
              <w:snapToGrid/>
              <w:spacing w:before="0" w:beforeAutospacing="0" w:after="0" w:afterAutospacing="0" w:line="440" w:lineRule="exact"/>
              <w:ind w:left="0" w:right="0" w:firstLine="435"/>
              <w:textAlignment w:val="auto"/>
              <w:outlineLvl w:val="9"/>
              <w:rPr>
                <w:rFonts w:hint="eastAsia" w:ascii="Times New Roman" w:hAnsi="Times New Roman" w:eastAsia="Times New Roman" w:cs="Times New Roman"/>
                <w:color w:val="auto"/>
                <w:sz w:val="24"/>
                <w:lang w:val="en-US" w:eastAsia="zh-CN"/>
              </w:rPr>
            </w:pPr>
            <w:r>
              <w:rPr>
                <w:rFonts w:hint="eastAsia" w:ascii="Times New Roman" w:hAnsi="Times New Roman" w:eastAsia="Times New Roman" w:cs="Times New Roman"/>
                <w:color w:val="auto"/>
                <w:sz w:val="24"/>
                <w:lang w:val="en-US" w:eastAsia="zh-CN"/>
              </w:rPr>
              <w:t>C、贮存设施或贮存分区内地面、墙面裙脚、堵截泄漏的围堰、接触危险废物的隔板和墙体等应采用坚固的材料建造，表面无裂缝。</w:t>
            </w:r>
          </w:p>
          <w:p w14:paraId="33617965">
            <w:pPr>
              <w:keepNext w:val="0"/>
              <w:keepLines w:val="0"/>
              <w:pageBreakBefore w:val="0"/>
              <w:widowControl w:val="0"/>
              <w:suppressLineNumbers w:val="0"/>
              <w:tabs>
                <w:tab w:val="left" w:pos="426"/>
              </w:tabs>
              <w:kinsoku/>
              <w:wordWrap/>
              <w:overflowPunct/>
              <w:topLinePunct w:val="0"/>
              <w:autoSpaceDE/>
              <w:autoSpaceDN/>
              <w:bidi w:val="0"/>
              <w:adjustRightInd/>
              <w:snapToGrid/>
              <w:spacing w:before="0" w:beforeAutospacing="0" w:after="0" w:afterAutospacing="0" w:line="440" w:lineRule="exact"/>
              <w:ind w:left="0" w:right="0" w:firstLine="435"/>
              <w:textAlignment w:val="auto"/>
              <w:outlineLvl w:val="9"/>
              <w:rPr>
                <w:rFonts w:hint="default" w:ascii="Times New Roman" w:hAnsi="Times New Roman" w:eastAsia="Times New Roman" w:cs="Times New Roman"/>
                <w:color w:val="auto"/>
                <w:sz w:val="24"/>
              </w:rPr>
            </w:pPr>
            <w:r>
              <w:rPr>
                <w:rFonts w:hint="eastAsia" w:ascii="Times New Roman" w:hAnsi="Times New Roman" w:eastAsia="Times New Roman" w:cs="Times New Roman"/>
                <w:color w:val="auto"/>
                <w:sz w:val="24"/>
                <w:lang w:val="en-US" w:eastAsia="zh-CN"/>
              </w:rPr>
              <w:t>D、</w:t>
            </w:r>
            <w:r>
              <w:rPr>
                <w:rFonts w:hint="default" w:ascii="Times New Roman" w:hAnsi="Times New Roman" w:eastAsia="Times New Roman" w:cs="Times New Roman"/>
                <w:color w:val="auto"/>
                <w:sz w:val="24"/>
              </w:rPr>
              <w:t>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 m厚黏土层（渗透系数不大于10</w:t>
            </w:r>
            <w:r>
              <w:rPr>
                <w:rFonts w:hint="default" w:ascii="Times New Roman" w:hAnsi="Times New Roman" w:eastAsia="Times New Roman" w:cs="Times New Roman"/>
                <w:color w:val="auto"/>
                <w:sz w:val="24"/>
                <w:vertAlign w:val="superscript"/>
              </w:rPr>
              <w:t xml:space="preserve">-7 </w:t>
            </w:r>
            <w:r>
              <w:rPr>
                <w:rFonts w:hint="default" w:ascii="Times New Roman" w:hAnsi="Times New Roman" w:eastAsia="Times New Roman" w:cs="Times New Roman"/>
                <w:color w:val="auto"/>
                <w:sz w:val="24"/>
              </w:rPr>
              <w:t>cm/s），或至少2 mm厚高密度聚乙烯膜等人工防渗材料（渗透系数不大于10</w:t>
            </w:r>
            <w:r>
              <w:rPr>
                <w:rFonts w:hint="default" w:ascii="Times New Roman" w:hAnsi="Times New Roman" w:eastAsia="Times New Roman" w:cs="Times New Roman"/>
                <w:color w:val="auto"/>
                <w:sz w:val="24"/>
                <w:vertAlign w:val="superscript"/>
              </w:rPr>
              <w:t>-10</w:t>
            </w:r>
            <w:r>
              <w:rPr>
                <w:rFonts w:hint="default" w:ascii="Times New Roman" w:hAnsi="Times New Roman" w:eastAsia="Times New Roman" w:cs="Times New Roman"/>
                <w:color w:val="auto"/>
                <w:sz w:val="24"/>
              </w:rPr>
              <w:t xml:space="preserve"> cm/s），或其他防渗性能等效的材料。</w:t>
            </w:r>
          </w:p>
          <w:p w14:paraId="2F9AD22A">
            <w:pPr>
              <w:pStyle w:val="47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jc w:val="both"/>
              <w:textAlignment w:val="auto"/>
              <w:outlineLvl w:val="9"/>
              <w:rPr>
                <w:rFonts w:hint="default" w:ascii="Times New Roman" w:hAnsi="Times New Roman" w:eastAsia="Times New Roman" w:cs="Times New Roman"/>
                <w:color w:val="auto"/>
                <w:sz w:val="24"/>
                <w:szCs w:val="24"/>
                <w:lang w:val="en-US" w:eastAsia="zh-CN"/>
              </w:rPr>
            </w:pPr>
            <w:r>
              <w:rPr>
                <w:rFonts w:hint="eastAsia" w:ascii="Times New Roman" w:hAnsi="Times New Roman" w:eastAsia="Times New Roman" w:cs="Times New Roman"/>
                <w:color w:val="auto"/>
                <w:sz w:val="24"/>
                <w:szCs w:val="24"/>
                <w:lang w:val="en-US" w:eastAsia="zh-CN"/>
              </w:rPr>
              <w:t>E、同一贮存设施宜采用相同的防渗、防腐工艺（包括防渗、防腐结构或材料），防渗、防腐材料应覆盖所有可能与废物及其渗滤液、渗漏液等接触的构筑物表面；采用不同防渗、防腐工艺应分别建设贮存分区。</w:t>
            </w:r>
          </w:p>
          <w:p w14:paraId="09E60572">
            <w:pPr>
              <w:pStyle w:val="47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jc w:val="both"/>
              <w:textAlignment w:val="auto"/>
              <w:outlineLvl w:val="9"/>
              <w:rPr>
                <w:rFonts w:hint="default" w:ascii="Times New Roman" w:hAnsi="Times New Roman" w:eastAsia="Times New Roman" w:cs="Times New Roman"/>
                <w:color w:val="auto"/>
                <w:sz w:val="24"/>
                <w:szCs w:val="24"/>
                <w:lang w:val="en-US" w:eastAsia="zh-CN"/>
              </w:rPr>
            </w:pPr>
            <w:r>
              <w:rPr>
                <w:rFonts w:hint="eastAsia" w:ascii="Times New Roman" w:hAnsi="Times New Roman" w:eastAsia="Times New Roman" w:cs="Times New Roman"/>
                <w:color w:val="auto"/>
                <w:sz w:val="24"/>
                <w:szCs w:val="24"/>
                <w:lang w:val="en-US" w:eastAsia="zh-CN"/>
              </w:rPr>
              <w:t>F、贮存设施应采取技术和管理措施防止无关人员进入。</w:t>
            </w:r>
          </w:p>
          <w:p w14:paraId="07B4909B">
            <w:pPr>
              <w:pStyle w:val="47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jc w:val="both"/>
              <w:textAlignment w:val="auto"/>
              <w:outlineLvl w:val="9"/>
              <w:rPr>
                <w:rFonts w:hint="default" w:ascii="Times New Roman" w:hAnsi="Times New Roman" w:eastAsia="Times New Roman" w:cs="Times New Roman"/>
                <w:color w:val="auto"/>
                <w:sz w:val="24"/>
                <w:szCs w:val="24"/>
                <w:lang w:val="en-US" w:eastAsia="zh-CN"/>
              </w:rPr>
            </w:pPr>
            <w:r>
              <w:rPr>
                <w:rFonts w:hint="eastAsia" w:ascii="Times New Roman" w:hAnsi="Times New Roman" w:eastAsia="Times New Roman" w:cs="Times New Roman"/>
                <w:color w:val="auto"/>
                <w:sz w:val="24"/>
                <w:szCs w:val="24"/>
                <w:lang w:val="en-US" w:eastAsia="zh-CN"/>
              </w:rPr>
              <w:t>G、落实</w:t>
            </w:r>
            <w:r>
              <w:rPr>
                <w:rFonts w:hint="default" w:ascii="Times New Roman" w:hAnsi="Times New Roman" w:eastAsia="Times New Roman" w:cs="Times New Roman"/>
                <w:color w:val="auto"/>
                <w:sz w:val="24"/>
                <w:szCs w:val="24"/>
                <w:lang w:val="en-GB" w:eastAsia="zh-CN"/>
              </w:rPr>
              <w:t>GB18597-20</w:t>
            </w:r>
            <w:r>
              <w:rPr>
                <w:rFonts w:hint="eastAsia" w:ascii="Times New Roman" w:hAnsi="Times New Roman" w:eastAsia="Times New Roman" w:cs="Times New Roman"/>
                <w:color w:val="auto"/>
                <w:sz w:val="24"/>
                <w:szCs w:val="24"/>
                <w:lang w:val="en-US" w:eastAsia="zh-CN"/>
              </w:rPr>
              <w:t>23中其他规定。</w:t>
            </w:r>
          </w:p>
          <w:p w14:paraId="2DD831CA">
            <w:pPr>
              <w:keepNext w:val="0"/>
              <w:keepLines w:val="0"/>
              <w:suppressLineNumbers w:val="0"/>
              <w:spacing w:before="0" w:beforeAutospacing="0" w:after="0" w:afterAutospacing="0" w:line="440" w:lineRule="exact"/>
              <w:ind w:left="0" w:right="0" w:firstLine="480" w:firstLineChars="200"/>
              <w:rPr>
                <w:rFonts w:hint="default" w:ascii="Times New Roman" w:hAnsi="Times New Roman" w:eastAsia="宋体" w:cs="Times New Roman"/>
                <w:bCs/>
                <w:color w:val="0000FF"/>
                <w:sz w:val="24"/>
              </w:rPr>
            </w:pPr>
            <w:r>
              <w:rPr>
                <w:rFonts w:hint="eastAsia" w:ascii="宋体" w:hAnsi="宋体" w:eastAsia="宋体"/>
                <w:color w:val="auto"/>
                <w:sz w:val="24"/>
              </w:rPr>
              <w:t>按照危险废物管理要求，</w:t>
            </w:r>
            <w:r>
              <w:rPr>
                <w:rFonts w:hint="eastAsia" w:ascii="宋体" w:hAnsi="宋体" w:eastAsia="Times New Roman" w:cs="宋体"/>
                <w:color w:val="auto"/>
                <w:sz w:val="24"/>
              </w:rPr>
              <w:t>建设单位应对危险废物的容器和包装物以及贮存场所设置危险废物识别标志，临时危废贮存区应根据不同性质的危废进行分区堆放贮存，并做好防渗漏、防雨淋和消防等措施，以防二次污染，危废贮存必须严格执行《危险废物贮存污染控制标准》（GB18597-20</w:t>
            </w:r>
            <w:r>
              <w:rPr>
                <w:rFonts w:hint="eastAsia" w:ascii="宋体" w:hAnsi="宋体" w:eastAsia="Times New Roman" w:cs="宋体"/>
                <w:color w:val="auto"/>
                <w:sz w:val="24"/>
                <w:lang w:val="en-US" w:eastAsia="zh-CN"/>
              </w:rPr>
              <w:t>23</w:t>
            </w:r>
            <w:r>
              <w:rPr>
                <w:rFonts w:hint="eastAsia" w:ascii="宋体" w:hAnsi="宋体" w:eastAsia="Times New Roman" w:cs="宋体"/>
                <w:color w:val="auto"/>
                <w:sz w:val="24"/>
              </w:rPr>
              <w:t>）有关规定。</w:t>
            </w:r>
            <w:r>
              <w:rPr>
                <w:rFonts w:hint="default" w:hAnsi="宋体" w:eastAsia="宋体"/>
                <w:color w:val="auto"/>
                <w:sz w:val="24"/>
              </w:rPr>
              <w:t>《建设项目危险废物环境影响评价指南》提出应列表明确危险废物贮存场所（设施）的名称、位置、占地面积、贮存方式、贮存容积、贮存周期等，基本情况详见下表：</w:t>
            </w:r>
          </w:p>
          <w:p w14:paraId="3DBCDDC5">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40" w:lineRule="exact"/>
              <w:ind w:left="0" w:right="0"/>
              <w:jc w:val="center"/>
              <w:textAlignment w:val="auto"/>
              <w:rPr>
                <w:rFonts w:hint="default" w:eastAsia="宋体"/>
                <w:b/>
                <w:color w:val="auto"/>
                <w:szCs w:val="21"/>
              </w:rPr>
            </w:pPr>
            <w:r>
              <w:rPr>
                <w:rStyle w:val="66"/>
                <w:color w:val="auto"/>
              </w:rPr>
              <w:t>表4-</w:t>
            </w:r>
            <w:r>
              <w:rPr>
                <w:rStyle w:val="66"/>
                <w:rFonts w:hint="eastAsia"/>
                <w:color w:val="auto"/>
                <w:lang w:val="en-US" w:eastAsia="zh-CN"/>
              </w:rPr>
              <w:t>24</w:t>
            </w:r>
            <w:r>
              <w:rPr>
                <w:rFonts w:hint="eastAsia" w:eastAsia="宋体"/>
                <w:b/>
                <w:bCs/>
                <w:color w:val="auto"/>
                <w:kern w:val="0"/>
                <w:sz w:val="21"/>
                <w:szCs w:val="21"/>
                <w:lang w:val="en-US" w:eastAsia="zh-CN"/>
              </w:rPr>
              <w:t xml:space="preserve">  </w:t>
            </w:r>
            <w:r>
              <w:rPr>
                <w:rFonts w:hint="default" w:hAnsi="宋体" w:eastAsia="宋体"/>
                <w:b/>
                <w:bCs/>
                <w:color w:val="auto"/>
                <w:kern w:val="0"/>
                <w:sz w:val="21"/>
                <w:szCs w:val="21"/>
              </w:rPr>
              <w:t>建设项目危险废物贮存场所基本情况表</w:t>
            </w:r>
            <w:r>
              <w:rPr>
                <w:rFonts w:hint="default" w:eastAsia="宋体"/>
                <w:b/>
                <w:bCs/>
                <w:color w:val="auto"/>
                <w:kern w:val="0"/>
              </w:rPr>
              <w:t xml:space="preserve"> </w:t>
            </w:r>
          </w:p>
          <w:tbl>
            <w:tblPr>
              <w:tblStyle w:val="52"/>
              <w:tblW w:w="4993"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443"/>
              <w:gridCol w:w="822"/>
              <w:gridCol w:w="1050"/>
              <w:gridCol w:w="800"/>
              <w:gridCol w:w="1190"/>
              <w:gridCol w:w="620"/>
              <w:gridCol w:w="700"/>
              <w:gridCol w:w="1130"/>
              <w:gridCol w:w="630"/>
              <w:gridCol w:w="1186"/>
            </w:tblGrid>
            <w:tr w14:paraId="00032F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93" w:hRule="atLeast"/>
                <w:jc w:val="center"/>
              </w:trPr>
              <w:tc>
                <w:tcPr>
                  <w:tcW w:w="258" w:type="pct"/>
                  <w:noWrap w:val="0"/>
                  <w:vAlign w:val="center"/>
                </w:tcPr>
                <w:p w14:paraId="6CA751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序号</w:t>
                  </w:r>
                </w:p>
              </w:tc>
              <w:tc>
                <w:tcPr>
                  <w:tcW w:w="479" w:type="pct"/>
                  <w:noWrap w:val="0"/>
                  <w:vAlign w:val="center"/>
                </w:tcPr>
                <w:p w14:paraId="527E41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贮存场</w:t>
                  </w:r>
                </w:p>
                <w:p w14:paraId="013ABB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所名称</w:t>
                  </w:r>
                </w:p>
              </w:tc>
              <w:tc>
                <w:tcPr>
                  <w:tcW w:w="612" w:type="pct"/>
                  <w:noWrap w:val="0"/>
                  <w:vAlign w:val="center"/>
                </w:tcPr>
                <w:p w14:paraId="326ABB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危险废物</w:t>
                  </w:r>
                </w:p>
                <w:p w14:paraId="753224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名称</w:t>
                  </w:r>
                </w:p>
              </w:tc>
              <w:tc>
                <w:tcPr>
                  <w:tcW w:w="466" w:type="pct"/>
                  <w:noWrap w:val="0"/>
                  <w:vAlign w:val="center"/>
                </w:tcPr>
                <w:p w14:paraId="72232BE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危险废</w:t>
                  </w:r>
                </w:p>
                <w:p w14:paraId="3F95953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物类别</w:t>
                  </w:r>
                </w:p>
              </w:tc>
              <w:tc>
                <w:tcPr>
                  <w:tcW w:w="694" w:type="pct"/>
                  <w:noWrap w:val="0"/>
                  <w:vAlign w:val="center"/>
                </w:tcPr>
                <w:p w14:paraId="5E265F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危险废物</w:t>
                  </w:r>
                </w:p>
                <w:p w14:paraId="15EC0D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代码</w:t>
                  </w:r>
                </w:p>
              </w:tc>
              <w:tc>
                <w:tcPr>
                  <w:tcW w:w="361" w:type="pct"/>
                  <w:noWrap w:val="0"/>
                  <w:vAlign w:val="center"/>
                </w:tcPr>
                <w:p w14:paraId="1F7DC4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位置</w:t>
                  </w:r>
                </w:p>
              </w:tc>
              <w:tc>
                <w:tcPr>
                  <w:tcW w:w="408" w:type="pct"/>
                  <w:noWrap w:val="0"/>
                  <w:vAlign w:val="center"/>
                </w:tcPr>
                <w:p w14:paraId="07D854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占地</w:t>
                  </w:r>
                </w:p>
                <w:p w14:paraId="7C4326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面积</w:t>
                  </w:r>
                </w:p>
              </w:tc>
              <w:tc>
                <w:tcPr>
                  <w:tcW w:w="659" w:type="pct"/>
                  <w:noWrap w:val="0"/>
                  <w:vAlign w:val="center"/>
                </w:tcPr>
                <w:p w14:paraId="4B4154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贮存</w:t>
                  </w:r>
                </w:p>
                <w:p w14:paraId="58D914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方式</w:t>
                  </w:r>
                </w:p>
              </w:tc>
              <w:tc>
                <w:tcPr>
                  <w:tcW w:w="367" w:type="pct"/>
                  <w:noWrap w:val="0"/>
                  <w:vAlign w:val="center"/>
                </w:tcPr>
                <w:p w14:paraId="1A23CA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贮存</w:t>
                  </w:r>
                </w:p>
                <w:p w14:paraId="522817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能力</w:t>
                  </w:r>
                </w:p>
              </w:tc>
              <w:tc>
                <w:tcPr>
                  <w:tcW w:w="691" w:type="pct"/>
                  <w:noWrap w:val="0"/>
                  <w:vAlign w:val="center"/>
                </w:tcPr>
                <w:p w14:paraId="182CF5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贮存</w:t>
                  </w:r>
                </w:p>
                <w:p w14:paraId="6D8B96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周期</w:t>
                  </w:r>
                </w:p>
              </w:tc>
            </w:tr>
            <w:tr w14:paraId="0A9170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6" w:hRule="atLeast"/>
                <w:jc w:val="center"/>
              </w:trPr>
              <w:tc>
                <w:tcPr>
                  <w:tcW w:w="258" w:type="pct"/>
                  <w:noWrap w:val="0"/>
                  <w:vAlign w:val="center"/>
                </w:tcPr>
                <w:p w14:paraId="6CED595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479" w:type="pct"/>
                  <w:vMerge w:val="restart"/>
                  <w:noWrap w:val="0"/>
                  <w:vAlign w:val="center"/>
                </w:tcPr>
                <w:p w14:paraId="3FADDA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kern w:val="0"/>
                      <w:sz w:val="21"/>
                      <w:szCs w:val="21"/>
                    </w:rPr>
                    <w:t>危废暂存</w:t>
                  </w:r>
                  <w:r>
                    <w:rPr>
                      <w:rFonts w:hint="default" w:ascii="Times New Roman" w:hAnsi="Times New Roman" w:eastAsia="宋体" w:cs="Times New Roman"/>
                      <w:color w:val="auto"/>
                      <w:kern w:val="0"/>
                      <w:sz w:val="21"/>
                      <w:szCs w:val="21"/>
                      <w:lang w:val="en-US" w:eastAsia="zh-CN"/>
                    </w:rPr>
                    <w:t>间</w:t>
                  </w:r>
                </w:p>
              </w:tc>
              <w:tc>
                <w:tcPr>
                  <w:tcW w:w="612" w:type="pct"/>
                  <w:noWrap w:val="0"/>
                  <w:vAlign w:val="center"/>
                </w:tcPr>
                <w:p w14:paraId="34A92C6E">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kern w:val="0"/>
                      <w:sz w:val="21"/>
                      <w:szCs w:val="21"/>
                      <w:lang w:val="en-US" w:eastAsia="zh-CN"/>
                    </w:rPr>
                    <w:t>油污</w:t>
                  </w:r>
                </w:p>
              </w:tc>
              <w:tc>
                <w:tcPr>
                  <w:tcW w:w="466" w:type="pct"/>
                  <w:noWrap w:val="0"/>
                  <w:vAlign w:val="center"/>
                </w:tcPr>
                <w:p w14:paraId="5A0940A8">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lang w:val="en-US" w:eastAsia="zh-CN"/>
                    </w:rPr>
                    <w:t>HW09</w:t>
                  </w:r>
                </w:p>
              </w:tc>
              <w:tc>
                <w:tcPr>
                  <w:tcW w:w="694" w:type="pct"/>
                  <w:noWrap w:val="0"/>
                  <w:vAlign w:val="center"/>
                </w:tcPr>
                <w:p w14:paraId="6443126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u w:val="none" w:color="auto"/>
                      <w:lang w:val="en-US" w:eastAsia="zh-CN"/>
                    </w:rPr>
                    <w:t>900-007-09</w:t>
                  </w:r>
                </w:p>
              </w:tc>
              <w:tc>
                <w:tcPr>
                  <w:tcW w:w="361" w:type="pct"/>
                  <w:vMerge w:val="restart"/>
                  <w:noWrap w:val="0"/>
                  <w:vAlign w:val="center"/>
                </w:tcPr>
                <w:p w14:paraId="67C4EB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lang w:val="en-US" w:eastAsia="zh-CN"/>
                    </w:rPr>
                    <w:t>厂房内南侧</w:t>
                  </w:r>
                  <w:r>
                    <w:rPr>
                      <w:rFonts w:hint="default" w:ascii="Times New Roman" w:hAnsi="Times New Roman" w:eastAsia="宋体" w:cs="Times New Roman"/>
                      <w:color w:val="auto"/>
                      <w:kern w:val="0"/>
                      <w:sz w:val="21"/>
                      <w:szCs w:val="21"/>
                    </w:rPr>
                    <w:t xml:space="preserve"> </w:t>
                  </w:r>
                </w:p>
              </w:tc>
              <w:tc>
                <w:tcPr>
                  <w:tcW w:w="408" w:type="pct"/>
                  <w:vMerge w:val="restart"/>
                  <w:noWrap w:val="0"/>
                  <w:vAlign w:val="center"/>
                </w:tcPr>
                <w:p w14:paraId="74CC87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rPr>
                  </w:pPr>
                  <w:r>
                    <w:rPr>
                      <w:rFonts w:hint="eastAsia" w:ascii="Times New Roman" w:hAnsi="Times New Roman" w:cs="Times New Roman"/>
                      <w:color w:val="auto"/>
                      <w:kern w:val="0"/>
                      <w:sz w:val="21"/>
                      <w:szCs w:val="21"/>
                      <w:lang w:val="en-US" w:eastAsia="zh-CN"/>
                    </w:rPr>
                    <w:t>20</w:t>
                  </w:r>
                  <w:r>
                    <w:rPr>
                      <w:rFonts w:hint="default" w:ascii="Times New Roman" w:hAnsi="Times New Roman" w:eastAsia="宋体" w:cs="Times New Roman"/>
                      <w:color w:val="auto"/>
                      <w:kern w:val="0"/>
                      <w:sz w:val="21"/>
                      <w:szCs w:val="21"/>
                    </w:rPr>
                    <w:t>㎡</w:t>
                  </w:r>
                </w:p>
              </w:tc>
              <w:tc>
                <w:tcPr>
                  <w:tcW w:w="659" w:type="pct"/>
                  <w:noWrap w:val="0"/>
                  <w:vAlign w:val="center"/>
                </w:tcPr>
                <w:p w14:paraId="2065FE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桶装加盖</w:t>
                  </w:r>
                </w:p>
              </w:tc>
              <w:tc>
                <w:tcPr>
                  <w:tcW w:w="367" w:type="pct"/>
                  <w:vMerge w:val="restart"/>
                  <w:noWrap w:val="0"/>
                  <w:vAlign w:val="center"/>
                </w:tcPr>
                <w:p w14:paraId="368F66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vertAlign w:val="superscript"/>
                    </w:rPr>
                  </w:pPr>
                  <w:r>
                    <w:rPr>
                      <w:rFonts w:hint="eastAsia" w:ascii="Times New Roman" w:hAnsi="Times New Roman" w:cs="Times New Roman"/>
                      <w:color w:val="auto"/>
                      <w:kern w:val="0"/>
                      <w:sz w:val="21"/>
                      <w:szCs w:val="21"/>
                      <w:lang w:val="en-US" w:eastAsia="zh-CN"/>
                    </w:rPr>
                    <w:t>20</w:t>
                  </w:r>
                  <w:r>
                    <w:rPr>
                      <w:rFonts w:hint="default" w:ascii="Times New Roman" w:hAnsi="Times New Roman" w:eastAsia="宋体" w:cs="Times New Roman"/>
                      <w:color w:val="auto"/>
                      <w:kern w:val="0"/>
                      <w:sz w:val="21"/>
                      <w:szCs w:val="21"/>
                    </w:rPr>
                    <w:t>m</w:t>
                  </w:r>
                  <w:r>
                    <w:rPr>
                      <w:rFonts w:hint="default" w:ascii="Times New Roman" w:hAnsi="Times New Roman" w:eastAsia="宋体" w:cs="Times New Roman"/>
                      <w:color w:val="auto"/>
                      <w:kern w:val="0"/>
                      <w:sz w:val="21"/>
                      <w:szCs w:val="21"/>
                      <w:vertAlign w:val="superscript"/>
                    </w:rPr>
                    <w:t>3</w:t>
                  </w:r>
                </w:p>
              </w:tc>
              <w:tc>
                <w:tcPr>
                  <w:tcW w:w="691" w:type="pct"/>
                  <w:noWrap w:val="0"/>
                  <w:vAlign w:val="center"/>
                </w:tcPr>
                <w:p w14:paraId="3B64FF84">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color w:val="auto"/>
                      <w:kern w:val="0"/>
                      <w:sz w:val="21"/>
                      <w:szCs w:val="21"/>
                      <w:lang w:val="en-US"/>
                    </w:rPr>
                  </w:pPr>
                  <w:r>
                    <w:rPr>
                      <w:rFonts w:hint="default" w:ascii="Times New Roman" w:hAnsi="Times New Roman" w:eastAsia="宋体" w:cs="Times New Roman"/>
                      <w:bCs/>
                      <w:color w:val="auto"/>
                      <w:sz w:val="21"/>
                      <w:szCs w:val="21"/>
                      <w:lang w:val="en-US" w:eastAsia="zh-CN"/>
                    </w:rPr>
                    <w:t>75工作日</w:t>
                  </w:r>
                </w:p>
              </w:tc>
            </w:tr>
            <w:tr w14:paraId="246F6E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6" w:hRule="atLeast"/>
                <w:jc w:val="center"/>
              </w:trPr>
              <w:tc>
                <w:tcPr>
                  <w:tcW w:w="258" w:type="pct"/>
                  <w:noWrap w:val="0"/>
                  <w:vAlign w:val="center"/>
                </w:tcPr>
                <w:p w14:paraId="08D8E2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c>
                <w:tcPr>
                  <w:tcW w:w="479" w:type="pct"/>
                  <w:vMerge w:val="continue"/>
                  <w:noWrap w:val="0"/>
                  <w:vAlign w:val="center"/>
                </w:tcPr>
                <w:p w14:paraId="394BBF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rPr>
                  </w:pPr>
                </w:p>
              </w:tc>
              <w:tc>
                <w:tcPr>
                  <w:tcW w:w="612" w:type="pct"/>
                  <w:noWrap w:val="0"/>
                  <w:vAlign w:val="center"/>
                </w:tcPr>
                <w:p w14:paraId="5E6BB6B2">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color w:val="auto"/>
                      <w:kern w:val="0"/>
                      <w:sz w:val="21"/>
                      <w:szCs w:val="21"/>
                      <w:lang w:val="en-US" w:eastAsia="zh-CN"/>
                    </w:rPr>
                    <w:t>油泥</w:t>
                  </w:r>
                </w:p>
              </w:tc>
              <w:tc>
                <w:tcPr>
                  <w:tcW w:w="466" w:type="pct"/>
                  <w:noWrap w:val="0"/>
                  <w:vAlign w:val="center"/>
                </w:tcPr>
                <w:p w14:paraId="32A5D26F">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HW08</w:t>
                  </w:r>
                </w:p>
              </w:tc>
              <w:tc>
                <w:tcPr>
                  <w:tcW w:w="694" w:type="pct"/>
                  <w:noWrap w:val="0"/>
                  <w:vAlign w:val="center"/>
                </w:tcPr>
                <w:p w14:paraId="196200F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u w:val="none" w:color="auto"/>
                      <w:lang w:val="en-US" w:eastAsia="zh-CN"/>
                    </w:rPr>
                    <w:t>900-203-08</w:t>
                  </w:r>
                </w:p>
              </w:tc>
              <w:tc>
                <w:tcPr>
                  <w:tcW w:w="361" w:type="pct"/>
                  <w:vMerge w:val="continue"/>
                  <w:noWrap w:val="0"/>
                  <w:vAlign w:val="center"/>
                </w:tcPr>
                <w:p w14:paraId="198730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rPr>
                  </w:pPr>
                </w:p>
              </w:tc>
              <w:tc>
                <w:tcPr>
                  <w:tcW w:w="408" w:type="pct"/>
                  <w:vMerge w:val="continue"/>
                  <w:noWrap w:val="0"/>
                  <w:vAlign w:val="center"/>
                </w:tcPr>
                <w:p w14:paraId="281DE5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rPr>
                  </w:pPr>
                </w:p>
              </w:tc>
              <w:tc>
                <w:tcPr>
                  <w:tcW w:w="659" w:type="pct"/>
                  <w:noWrap w:val="0"/>
                  <w:vAlign w:val="center"/>
                </w:tcPr>
                <w:p w14:paraId="7CEE5B1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桶装加盖</w:t>
                  </w:r>
                </w:p>
              </w:tc>
              <w:tc>
                <w:tcPr>
                  <w:tcW w:w="367" w:type="pct"/>
                  <w:vMerge w:val="continue"/>
                  <w:noWrap w:val="0"/>
                  <w:vAlign w:val="center"/>
                </w:tcPr>
                <w:p w14:paraId="04CBDE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rPr>
                  </w:pPr>
                </w:p>
              </w:tc>
              <w:tc>
                <w:tcPr>
                  <w:tcW w:w="691" w:type="pct"/>
                  <w:noWrap w:val="0"/>
                  <w:vAlign w:val="center"/>
                </w:tcPr>
                <w:p w14:paraId="06794912">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lang w:val="en-US" w:eastAsia="zh-CN"/>
                    </w:rPr>
                    <w:t>一年</w:t>
                  </w:r>
                </w:p>
              </w:tc>
            </w:tr>
            <w:tr w14:paraId="21B1DE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6" w:hRule="atLeast"/>
                <w:jc w:val="center"/>
              </w:trPr>
              <w:tc>
                <w:tcPr>
                  <w:tcW w:w="258" w:type="pct"/>
                  <w:noWrap w:val="0"/>
                  <w:vAlign w:val="center"/>
                </w:tcPr>
                <w:p w14:paraId="24373A1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3</w:t>
                  </w:r>
                </w:p>
              </w:tc>
              <w:tc>
                <w:tcPr>
                  <w:tcW w:w="479" w:type="pct"/>
                  <w:vMerge w:val="continue"/>
                  <w:noWrap w:val="0"/>
                  <w:vAlign w:val="center"/>
                </w:tcPr>
                <w:p w14:paraId="7E8FF3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p>
              </w:tc>
              <w:tc>
                <w:tcPr>
                  <w:tcW w:w="612" w:type="pct"/>
                  <w:noWrap w:val="0"/>
                  <w:vAlign w:val="center"/>
                </w:tcPr>
                <w:p w14:paraId="07D503D2">
                  <w:pPr>
                    <w:pStyle w:val="144"/>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kern w:val="2"/>
                      <w:sz w:val="21"/>
                      <w:szCs w:val="21"/>
                      <w:lang w:val="en-US" w:eastAsia="zh-CN" w:bidi="ar-SA"/>
                    </w:rPr>
                  </w:pPr>
                  <w:r>
                    <w:rPr>
                      <w:rFonts w:hint="default" w:ascii="Times New Roman" w:hAnsi="Times New Roman" w:eastAsia="宋体" w:cs="Times New Roman"/>
                      <w:color w:val="auto"/>
                      <w:sz w:val="21"/>
                      <w:szCs w:val="21"/>
                    </w:rPr>
                    <w:t>废活性炭</w:t>
                  </w:r>
                </w:p>
              </w:tc>
              <w:tc>
                <w:tcPr>
                  <w:tcW w:w="466" w:type="pct"/>
                  <w:noWrap w:val="0"/>
                  <w:vAlign w:val="center"/>
                </w:tcPr>
                <w:p w14:paraId="0F930854">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Times New Roman" w:cs="Times New Roman"/>
                      <w:color w:val="auto"/>
                      <w:kern w:val="2"/>
                      <w:sz w:val="21"/>
                      <w:szCs w:val="21"/>
                      <w:lang w:val="en-US" w:eastAsia="zh-CN" w:bidi="ar-SA"/>
                    </w:rPr>
                  </w:pPr>
                  <w:r>
                    <w:rPr>
                      <w:rFonts w:hint="default" w:ascii="Times New Roman" w:hAnsi="Times New Roman" w:eastAsia="宋体" w:cs="Times New Roman"/>
                      <w:color w:val="auto"/>
                      <w:sz w:val="21"/>
                      <w:szCs w:val="21"/>
                    </w:rPr>
                    <w:t>HW</w:t>
                  </w:r>
                  <w:r>
                    <w:rPr>
                      <w:rFonts w:hint="default" w:ascii="Times New Roman" w:hAnsi="Times New Roman" w:eastAsia="宋体" w:cs="Times New Roman"/>
                      <w:color w:val="auto"/>
                      <w:sz w:val="21"/>
                      <w:szCs w:val="21"/>
                      <w:lang w:val="en-US" w:eastAsia="zh-CN"/>
                    </w:rPr>
                    <w:t>49</w:t>
                  </w:r>
                </w:p>
              </w:tc>
              <w:tc>
                <w:tcPr>
                  <w:tcW w:w="694" w:type="pct"/>
                  <w:noWrap w:val="0"/>
                  <w:vAlign w:val="center"/>
                </w:tcPr>
                <w:p w14:paraId="3974C66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Times New Roman" w:cs="Times New Roman"/>
                      <w:bCs/>
                      <w:color w:val="auto"/>
                      <w:sz w:val="21"/>
                      <w:szCs w:val="21"/>
                    </w:rPr>
                    <w:t>900-0</w:t>
                  </w:r>
                  <w:r>
                    <w:rPr>
                      <w:rFonts w:hint="eastAsia" w:ascii="Times New Roman" w:hAnsi="Times New Roman" w:eastAsia="Times New Roman" w:cs="Times New Roman"/>
                      <w:bCs/>
                      <w:color w:val="auto"/>
                      <w:sz w:val="21"/>
                      <w:szCs w:val="21"/>
                      <w:lang w:val="en-US" w:eastAsia="zh-CN"/>
                    </w:rPr>
                    <w:t>39</w:t>
                  </w:r>
                  <w:r>
                    <w:rPr>
                      <w:rFonts w:hint="default" w:ascii="Times New Roman" w:hAnsi="Times New Roman" w:eastAsia="Times New Roman" w:cs="Times New Roman"/>
                      <w:bCs/>
                      <w:color w:val="auto"/>
                      <w:sz w:val="21"/>
                      <w:szCs w:val="21"/>
                    </w:rPr>
                    <w:t>-</w:t>
                  </w:r>
                  <w:r>
                    <w:rPr>
                      <w:rFonts w:hint="default" w:ascii="Times New Roman" w:hAnsi="Times New Roman" w:eastAsia="Times New Roman" w:cs="Times New Roman"/>
                      <w:bCs/>
                      <w:color w:val="auto"/>
                      <w:sz w:val="21"/>
                      <w:szCs w:val="21"/>
                      <w:lang w:val="en-US" w:eastAsia="zh-CN"/>
                    </w:rPr>
                    <w:t>4</w:t>
                  </w:r>
                  <w:r>
                    <w:rPr>
                      <w:rFonts w:hint="default" w:ascii="Times New Roman" w:hAnsi="Times New Roman" w:eastAsia="Times New Roman" w:cs="Times New Roman"/>
                      <w:bCs/>
                      <w:color w:val="auto"/>
                      <w:sz w:val="21"/>
                      <w:szCs w:val="21"/>
                    </w:rPr>
                    <w:t>9</w:t>
                  </w:r>
                </w:p>
              </w:tc>
              <w:tc>
                <w:tcPr>
                  <w:tcW w:w="361" w:type="pct"/>
                  <w:vMerge w:val="continue"/>
                  <w:noWrap w:val="0"/>
                  <w:vAlign w:val="center"/>
                </w:tcPr>
                <w:p w14:paraId="476E39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rPr>
                  </w:pPr>
                </w:p>
              </w:tc>
              <w:tc>
                <w:tcPr>
                  <w:tcW w:w="408" w:type="pct"/>
                  <w:vMerge w:val="continue"/>
                  <w:noWrap w:val="0"/>
                  <w:vAlign w:val="center"/>
                </w:tcPr>
                <w:p w14:paraId="06FDE5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rPr>
                  </w:pPr>
                </w:p>
              </w:tc>
              <w:tc>
                <w:tcPr>
                  <w:tcW w:w="659" w:type="pct"/>
                  <w:noWrap w:val="0"/>
                  <w:vAlign w:val="center"/>
                </w:tcPr>
                <w:p w14:paraId="1285202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桶装加盖</w:t>
                  </w:r>
                </w:p>
              </w:tc>
              <w:tc>
                <w:tcPr>
                  <w:tcW w:w="367" w:type="pct"/>
                  <w:vMerge w:val="continue"/>
                  <w:noWrap w:val="0"/>
                  <w:vAlign w:val="center"/>
                </w:tcPr>
                <w:p w14:paraId="2802C4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rPr>
                  </w:pPr>
                </w:p>
              </w:tc>
              <w:tc>
                <w:tcPr>
                  <w:tcW w:w="691" w:type="pct"/>
                  <w:noWrap w:val="0"/>
                  <w:vAlign w:val="center"/>
                </w:tcPr>
                <w:p w14:paraId="07814E9D">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lang w:val="en-US" w:eastAsia="zh-CN"/>
                    </w:rPr>
                    <w:t>75工作日</w:t>
                  </w:r>
                </w:p>
              </w:tc>
            </w:tr>
            <w:tr w14:paraId="0EAB60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258" w:type="pct"/>
                  <w:noWrap w:val="0"/>
                  <w:vAlign w:val="center"/>
                </w:tcPr>
                <w:p w14:paraId="449EA62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4</w:t>
                  </w:r>
                </w:p>
              </w:tc>
              <w:tc>
                <w:tcPr>
                  <w:tcW w:w="479" w:type="pct"/>
                  <w:vMerge w:val="continue"/>
                  <w:noWrap w:val="0"/>
                  <w:vAlign w:val="center"/>
                </w:tcPr>
                <w:p w14:paraId="33587F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p>
              </w:tc>
              <w:tc>
                <w:tcPr>
                  <w:tcW w:w="612" w:type="pct"/>
                  <w:noWrap w:val="0"/>
                  <w:vAlign w:val="center"/>
                </w:tcPr>
                <w:p w14:paraId="1B07EEA0">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w:t>
                  </w:r>
                  <w:r>
                    <w:rPr>
                      <w:rFonts w:hint="default" w:ascii="Times New Roman" w:hAnsi="Times New Roman" w:eastAsia="宋体" w:cs="Times New Roman"/>
                      <w:color w:val="auto"/>
                      <w:sz w:val="21"/>
                      <w:szCs w:val="21"/>
                      <w:lang w:val="en-US" w:eastAsia="zh-CN"/>
                    </w:rPr>
                    <w:t>润滑油</w:t>
                  </w:r>
                </w:p>
              </w:tc>
              <w:tc>
                <w:tcPr>
                  <w:tcW w:w="466" w:type="pct"/>
                  <w:noWrap w:val="0"/>
                  <w:vAlign w:val="center"/>
                </w:tcPr>
                <w:p w14:paraId="50ECD4B2">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HW</w:t>
                  </w:r>
                  <w:r>
                    <w:rPr>
                      <w:rFonts w:hint="default" w:ascii="Times New Roman" w:hAnsi="Times New Roman" w:eastAsia="宋体" w:cs="Times New Roman"/>
                      <w:color w:val="auto"/>
                      <w:sz w:val="21"/>
                      <w:szCs w:val="21"/>
                      <w:lang w:val="en-US" w:eastAsia="zh-CN"/>
                    </w:rPr>
                    <w:t>08</w:t>
                  </w:r>
                </w:p>
              </w:tc>
              <w:tc>
                <w:tcPr>
                  <w:tcW w:w="694" w:type="pct"/>
                  <w:noWrap w:val="0"/>
                  <w:vAlign w:val="center"/>
                </w:tcPr>
                <w:p w14:paraId="6A270ED6">
                  <w:pPr>
                    <w:keepNext w:val="0"/>
                    <w:keepLines w:val="0"/>
                    <w:suppressLineNumbers w:val="0"/>
                    <w:spacing w:before="0" w:beforeAutospacing="0" w:after="0" w:afterAutospacing="0"/>
                    <w:ind w:left="0" w:leftChars="0" w:right="0" w:rightChars="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900-2</w:t>
                  </w:r>
                  <w:r>
                    <w:rPr>
                      <w:rFonts w:hint="default" w:ascii="Times New Roman" w:hAnsi="Times New Roman" w:eastAsia="Times New Roman" w:cs="Times New Roman"/>
                      <w:color w:val="auto"/>
                      <w:sz w:val="21"/>
                      <w:szCs w:val="21"/>
                      <w:lang w:val="en-US" w:eastAsia="zh-CN"/>
                    </w:rPr>
                    <w:t>49</w:t>
                  </w:r>
                  <w:r>
                    <w:rPr>
                      <w:rFonts w:hint="default" w:ascii="Times New Roman" w:hAnsi="Times New Roman" w:eastAsia="Times New Roman" w:cs="Times New Roman"/>
                      <w:color w:val="auto"/>
                      <w:sz w:val="21"/>
                      <w:szCs w:val="21"/>
                    </w:rPr>
                    <w:t>-08</w:t>
                  </w:r>
                </w:p>
              </w:tc>
              <w:tc>
                <w:tcPr>
                  <w:tcW w:w="361" w:type="pct"/>
                  <w:vMerge w:val="continue"/>
                  <w:noWrap w:val="0"/>
                  <w:vAlign w:val="center"/>
                </w:tcPr>
                <w:p w14:paraId="7D1962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rPr>
                  </w:pPr>
                </w:p>
              </w:tc>
              <w:tc>
                <w:tcPr>
                  <w:tcW w:w="408" w:type="pct"/>
                  <w:vMerge w:val="continue"/>
                  <w:noWrap w:val="0"/>
                  <w:vAlign w:val="center"/>
                </w:tcPr>
                <w:p w14:paraId="19B9B6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rPr>
                  </w:pPr>
                </w:p>
              </w:tc>
              <w:tc>
                <w:tcPr>
                  <w:tcW w:w="659" w:type="pct"/>
                  <w:noWrap w:val="0"/>
                  <w:vAlign w:val="center"/>
                </w:tcPr>
                <w:p w14:paraId="4F37B5F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桶装加盖</w:t>
                  </w:r>
                </w:p>
              </w:tc>
              <w:tc>
                <w:tcPr>
                  <w:tcW w:w="367" w:type="pct"/>
                  <w:vMerge w:val="continue"/>
                  <w:noWrap w:val="0"/>
                  <w:vAlign w:val="center"/>
                </w:tcPr>
                <w:p w14:paraId="25828A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rPr>
                  </w:pPr>
                </w:p>
              </w:tc>
              <w:tc>
                <w:tcPr>
                  <w:tcW w:w="691" w:type="pct"/>
                  <w:noWrap w:val="0"/>
                  <w:vAlign w:val="center"/>
                </w:tcPr>
                <w:p w14:paraId="27C48EF9">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lang w:val="en-US" w:eastAsia="zh-CN"/>
                    </w:rPr>
                    <w:t>75工作日</w:t>
                  </w:r>
                </w:p>
              </w:tc>
            </w:tr>
            <w:tr w14:paraId="12A4F2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6" w:hRule="atLeast"/>
                <w:jc w:val="center"/>
              </w:trPr>
              <w:tc>
                <w:tcPr>
                  <w:tcW w:w="258" w:type="pct"/>
                  <w:noWrap w:val="0"/>
                  <w:vAlign w:val="center"/>
                </w:tcPr>
                <w:p w14:paraId="4DFBA9B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5</w:t>
                  </w:r>
                </w:p>
              </w:tc>
              <w:tc>
                <w:tcPr>
                  <w:tcW w:w="479" w:type="pct"/>
                  <w:vMerge w:val="continue"/>
                  <w:noWrap w:val="0"/>
                  <w:vAlign w:val="center"/>
                </w:tcPr>
                <w:p w14:paraId="70AA26D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p>
              </w:tc>
              <w:tc>
                <w:tcPr>
                  <w:tcW w:w="612" w:type="pct"/>
                  <w:noWrap w:val="0"/>
                  <w:vAlign w:val="center"/>
                </w:tcPr>
                <w:p w14:paraId="60BFC95C">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废包装桶</w:t>
                  </w:r>
                </w:p>
              </w:tc>
              <w:tc>
                <w:tcPr>
                  <w:tcW w:w="466" w:type="pct"/>
                  <w:noWrap w:val="0"/>
                  <w:vAlign w:val="center"/>
                </w:tcPr>
                <w:p w14:paraId="529CD1EA">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HW</w:t>
                  </w:r>
                  <w:r>
                    <w:rPr>
                      <w:rFonts w:hint="default" w:ascii="Times New Roman" w:hAnsi="Times New Roman" w:eastAsia="宋体" w:cs="Times New Roman"/>
                      <w:color w:val="auto"/>
                      <w:sz w:val="21"/>
                      <w:szCs w:val="21"/>
                      <w:lang w:val="en-US" w:eastAsia="zh-CN"/>
                    </w:rPr>
                    <w:t>08</w:t>
                  </w:r>
                </w:p>
              </w:tc>
              <w:tc>
                <w:tcPr>
                  <w:tcW w:w="694" w:type="pct"/>
                  <w:noWrap w:val="0"/>
                  <w:vAlign w:val="center"/>
                </w:tcPr>
                <w:p w14:paraId="2FF100A4">
                  <w:pPr>
                    <w:keepNext w:val="0"/>
                    <w:keepLines w:val="0"/>
                    <w:suppressLineNumbers w:val="0"/>
                    <w:spacing w:before="0" w:beforeAutospacing="0" w:after="0" w:afterAutospacing="0"/>
                    <w:ind w:left="0" w:leftChars="0" w:right="0" w:rightChars="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900-2</w:t>
                  </w:r>
                  <w:r>
                    <w:rPr>
                      <w:rFonts w:hint="default" w:ascii="Times New Roman" w:hAnsi="Times New Roman" w:eastAsia="Times New Roman" w:cs="Times New Roman"/>
                      <w:color w:val="auto"/>
                      <w:sz w:val="21"/>
                      <w:szCs w:val="21"/>
                      <w:lang w:val="en-US" w:eastAsia="zh-CN"/>
                    </w:rPr>
                    <w:t>49</w:t>
                  </w:r>
                  <w:r>
                    <w:rPr>
                      <w:rFonts w:hint="default" w:ascii="Times New Roman" w:hAnsi="Times New Roman" w:eastAsia="Times New Roman" w:cs="Times New Roman"/>
                      <w:color w:val="auto"/>
                      <w:sz w:val="21"/>
                      <w:szCs w:val="21"/>
                    </w:rPr>
                    <w:t>-08</w:t>
                  </w:r>
                </w:p>
              </w:tc>
              <w:tc>
                <w:tcPr>
                  <w:tcW w:w="361" w:type="pct"/>
                  <w:vMerge w:val="continue"/>
                  <w:noWrap w:val="0"/>
                  <w:vAlign w:val="center"/>
                </w:tcPr>
                <w:p w14:paraId="77526F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rPr>
                  </w:pPr>
                </w:p>
              </w:tc>
              <w:tc>
                <w:tcPr>
                  <w:tcW w:w="408" w:type="pct"/>
                  <w:vMerge w:val="continue"/>
                  <w:noWrap w:val="0"/>
                  <w:vAlign w:val="center"/>
                </w:tcPr>
                <w:p w14:paraId="5850A8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rPr>
                  </w:pPr>
                </w:p>
              </w:tc>
              <w:tc>
                <w:tcPr>
                  <w:tcW w:w="659" w:type="pct"/>
                  <w:noWrap w:val="0"/>
                  <w:vAlign w:val="center"/>
                </w:tcPr>
                <w:p w14:paraId="2E045AA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加盖</w:t>
                  </w:r>
                </w:p>
              </w:tc>
              <w:tc>
                <w:tcPr>
                  <w:tcW w:w="367" w:type="pct"/>
                  <w:vMerge w:val="continue"/>
                  <w:noWrap w:val="0"/>
                  <w:vAlign w:val="center"/>
                </w:tcPr>
                <w:p w14:paraId="6A39F1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rPr>
                  </w:pPr>
                </w:p>
              </w:tc>
              <w:tc>
                <w:tcPr>
                  <w:tcW w:w="691" w:type="pct"/>
                  <w:noWrap w:val="0"/>
                  <w:vAlign w:val="center"/>
                </w:tcPr>
                <w:p w14:paraId="339744DE">
                  <w:pPr>
                    <w:keepNext w:val="0"/>
                    <w:keepLines w:val="0"/>
                    <w:pageBreakBefore w:val="0"/>
                    <w:suppressLineNumbers w:val="0"/>
                    <w:kinsoku/>
                    <w:wordWrap/>
                    <w:overflowPunct/>
                    <w:topLinePunct w:val="0"/>
                    <w:bidi w:val="0"/>
                    <w:spacing w:before="0" w:beforeAutospacing="0" w:after="0" w:afterAutospacing="0"/>
                    <w:ind w:left="0" w:leftChars="0" w:right="-21" w:rightChars="-1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bCs/>
                      <w:color w:val="auto"/>
                      <w:sz w:val="21"/>
                      <w:szCs w:val="21"/>
                      <w:lang w:val="en-US" w:eastAsia="zh-CN"/>
                    </w:rPr>
                    <w:t>30</w:t>
                  </w:r>
                  <w:r>
                    <w:rPr>
                      <w:rFonts w:hint="default" w:ascii="Times New Roman" w:hAnsi="Times New Roman" w:eastAsia="宋体" w:cs="Times New Roman"/>
                      <w:bCs/>
                      <w:color w:val="auto"/>
                      <w:sz w:val="21"/>
                      <w:szCs w:val="21"/>
                      <w:lang w:val="en-US" w:eastAsia="zh-CN"/>
                    </w:rPr>
                    <w:t>工作日</w:t>
                  </w:r>
                </w:p>
              </w:tc>
            </w:tr>
            <w:tr w14:paraId="59D8AF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6" w:hRule="atLeast"/>
                <w:jc w:val="center"/>
              </w:trPr>
              <w:tc>
                <w:tcPr>
                  <w:tcW w:w="258" w:type="pct"/>
                  <w:noWrap w:val="0"/>
                  <w:vAlign w:val="center"/>
                </w:tcPr>
                <w:p w14:paraId="29FA54A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6</w:t>
                  </w:r>
                </w:p>
              </w:tc>
              <w:tc>
                <w:tcPr>
                  <w:tcW w:w="479" w:type="pct"/>
                  <w:vMerge w:val="continue"/>
                  <w:noWrap w:val="0"/>
                  <w:vAlign w:val="center"/>
                </w:tcPr>
                <w:p w14:paraId="2152F1E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p>
              </w:tc>
              <w:tc>
                <w:tcPr>
                  <w:tcW w:w="612" w:type="pct"/>
                  <w:noWrap w:val="0"/>
                  <w:vAlign w:val="center"/>
                </w:tcPr>
                <w:p w14:paraId="27501F46">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废过滤棉</w:t>
                  </w:r>
                </w:p>
              </w:tc>
              <w:tc>
                <w:tcPr>
                  <w:tcW w:w="466" w:type="pct"/>
                  <w:noWrap w:val="0"/>
                  <w:vAlign w:val="center"/>
                </w:tcPr>
                <w:p w14:paraId="0B671C32">
                  <w:pPr>
                    <w:keepNext w:val="0"/>
                    <w:keepLines w:val="0"/>
                    <w:pageBreakBefore w:val="0"/>
                    <w:suppressLineNumbers w:val="0"/>
                    <w:kinsoku/>
                    <w:wordWrap/>
                    <w:overflowPunct/>
                    <w:topLinePunct w:val="0"/>
                    <w:bidi w:val="0"/>
                    <w:spacing w:before="0" w:beforeAutospacing="0" w:after="0" w:afterAutospacing="0"/>
                    <w:ind w:left="-21" w:leftChars="-10" w:right="-21" w:rightChars="-1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HW09</w:t>
                  </w:r>
                </w:p>
              </w:tc>
              <w:tc>
                <w:tcPr>
                  <w:tcW w:w="694" w:type="pct"/>
                  <w:noWrap w:val="0"/>
                  <w:vAlign w:val="center"/>
                </w:tcPr>
                <w:p w14:paraId="45AF4C90">
                  <w:pPr>
                    <w:keepNext w:val="0"/>
                    <w:keepLines w:val="0"/>
                    <w:suppressLineNumbers w:val="0"/>
                    <w:spacing w:before="0" w:beforeAutospacing="0" w:after="0" w:afterAutospacing="0"/>
                    <w:ind w:left="0" w:leftChars="0" w:right="0" w:rightChars="0"/>
                    <w:jc w:val="center"/>
                    <w:rPr>
                      <w:rFonts w:hint="default" w:ascii="Times New Roman" w:hAnsi="Times New Roman" w:eastAsia="Times New Roman" w:cs="Times New Roman"/>
                      <w:color w:val="auto"/>
                      <w:sz w:val="21"/>
                      <w:szCs w:val="21"/>
                    </w:rPr>
                  </w:pPr>
                  <w:r>
                    <w:rPr>
                      <w:rFonts w:hint="default" w:ascii="Times New Roman" w:hAnsi="Times New Roman" w:eastAsia="宋体" w:cs="Times New Roman"/>
                      <w:color w:val="auto"/>
                      <w:sz w:val="21"/>
                      <w:szCs w:val="21"/>
                      <w:u w:val="none" w:color="auto"/>
                      <w:lang w:val="en-US" w:eastAsia="zh-CN"/>
                    </w:rPr>
                    <w:t>900-007-09</w:t>
                  </w:r>
                </w:p>
              </w:tc>
              <w:tc>
                <w:tcPr>
                  <w:tcW w:w="361" w:type="pct"/>
                  <w:vMerge w:val="continue"/>
                  <w:noWrap w:val="0"/>
                  <w:vAlign w:val="center"/>
                </w:tcPr>
                <w:p w14:paraId="6CB415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rPr>
                  </w:pPr>
                </w:p>
              </w:tc>
              <w:tc>
                <w:tcPr>
                  <w:tcW w:w="408" w:type="pct"/>
                  <w:vMerge w:val="continue"/>
                  <w:noWrap w:val="0"/>
                  <w:vAlign w:val="center"/>
                </w:tcPr>
                <w:p w14:paraId="078BD6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rPr>
                  </w:pPr>
                </w:p>
              </w:tc>
              <w:tc>
                <w:tcPr>
                  <w:tcW w:w="659" w:type="pct"/>
                  <w:noWrap w:val="0"/>
                  <w:vAlign w:val="center"/>
                </w:tcPr>
                <w:p w14:paraId="0150EB6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桶装加盖</w:t>
                  </w:r>
                </w:p>
              </w:tc>
              <w:tc>
                <w:tcPr>
                  <w:tcW w:w="367" w:type="pct"/>
                  <w:vMerge w:val="continue"/>
                  <w:noWrap w:val="0"/>
                  <w:vAlign w:val="center"/>
                </w:tcPr>
                <w:p w14:paraId="73BDD6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rPr>
                  </w:pPr>
                </w:p>
              </w:tc>
              <w:tc>
                <w:tcPr>
                  <w:tcW w:w="691" w:type="pct"/>
                  <w:noWrap w:val="0"/>
                  <w:vAlign w:val="center"/>
                </w:tcPr>
                <w:p w14:paraId="3FE12F63">
                  <w:pPr>
                    <w:keepNext w:val="0"/>
                    <w:keepLines w:val="0"/>
                    <w:pageBreakBefore w:val="0"/>
                    <w:suppressLineNumbers w:val="0"/>
                    <w:kinsoku/>
                    <w:wordWrap/>
                    <w:overflowPunct/>
                    <w:topLinePunct w:val="0"/>
                    <w:bidi w:val="0"/>
                    <w:spacing w:before="0" w:beforeAutospacing="0" w:after="0" w:afterAutospacing="0"/>
                    <w:ind w:left="0" w:leftChars="0" w:right="-21" w:rightChars="-10"/>
                    <w:jc w:val="center"/>
                    <w:rPr>
                      <w:rFonts w:hint="eastAsia"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75工作日</w:t>
                  </w:r>
                </w:p>
              </w:tc>
            </w:tr>
          </w:tbl>
          <w:p w14:paraId="077349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eastAsia="宋体"/>
                <w:color w:val="auto"/>
                <w:sz w:val="24"/>
              </w:rPr>
            </w:pPr>
            <w:r>
              <w:rPr>
                <w:rFonts w:hint="default" w:hAnsi="宋体" w:eastAsia="宋体"/>
                <w:color w:val="auto"/>
                <w:sz w:val="24"/>
              </w:rPr>
              <w:t>②危险废物内部运输要求：</w:t>
            </w:r>
          </w:p>
          <w:p w14:paraId="36234A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eastAsia="宋体"/>
                <w:color w:val="auto"/>
                <w:sz w:val="24"/>
              </w:rPr>
            </w:pPr>
            <w:r>
              <w:rPr>
                <w:rFonts w:hint="default" w:eastAsia="宋体"/>
                <w:color w:val="auto"/>
                <w:sz w:val="24"/>
              </w:rPr>
              <w:t>A</w:t>
            </w:r>
            <w:r>
              <w:rPr>
                <w:rFonts w:hint="default" w:hAnsi="宋体" w:eastAsia="宋体"/>
                <w:color w:val="auto"/>
                <w:sz w:val="24"/>
              </w:rPr>
              <w:t>、危险废物内部转运作业应采用专用的工具，内部转运应参照《危险废物收集贮存运输技术规范》</w:t>
            </w:r>
            <w:r>
              <w:rPr>
                <w:rStyle w:val="67"/>
                <w:rFonts w:hint="default"/>
                <w:color w:val="auto"/>
              </w:rPr>
              <w:t>（HJ2025-2012）</w:t>
            </w:r>
            <w:r>
              <w:rPr>
                <w:rFonts w:hint="default" w:hAnsi="宋体" w:eastAsia="宋体"/>
                <w:color w:val="auto"/>
                <w:sz w:val="24"/>
              </w:rPr>
              <w:t>要求填写《危险废物厂内转运记录表》。</w:t>
            </w:r>
          </w:p>
          <w:p w14:paraId="5B4EF2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eastAsia="宋体"/>
                <w:color w:val="auto"/>
                <w:sz w:val="24"/>
              </w:rPr>
            </w:pPr>
            <w:r>
              <w:rPr>
                <w:rFonts w:hint="default" w:eastAsia="宋体"/>
                <w:color w:val="auto"/>
                <w:sz w:val="24"/>
              </w:rPr>
              <w:t>B</w:t>
            </w:r>
            <w:r>
              <w:rPr>
                <w:rFonts w:hint="default" w:hAnsi="宋体" w:eastAsia="宋体"/>
                <w:color w:val="auto"/>
                <w:sz w:val="24"/>
              </w:rPr>
              <w:t>、危险废物内部转运结束后，应对厂区道路中的转运路线进行检查和清理，确保无危险废物遗失在转运路线上，并对转运工具进行清洗。</w:t>
            </w:r>
          </w:p>
          <w:p w14:paraId="01D6DB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eastAsia="宋体"/>
                <w:color w:val="auto"/>
                <w:sz w:val="24"/>
              </w:rPr>
            </w:pPr>
            <w:r>
              <w:rPr>
                <w:rFonts w:hint="default" w:hAnsi="宋体" w:eastAsia="宋体"/>
                <w:color w:val="auto"/>
                <w:sz w:val="24"/>
              </w:rPr>
              <w:t>③危险废物处置要求：</w:t>
            </w:r>
          </w:p>
          <w:p w14:paraId="4B329B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eastAsia="宋体"/>
                <w:color w:val="0000FF"/>
                <w:sz w:val="24"/>
              </w:rPr>
            </w:pPr>
            <w:r>
              <w:rPr>
                <w:rFonts w:hint="default" w:hAnsi="宋体" w:eastAsia="宋体"/>
                <w:color w:val="auto"/>
                <w:sz w:val="24"/>
              </w:rPr>
              <w:t>建设单位应委派专人负责，认真执行五联单制度。做好每次外运处置废弃物的运输登记，认真填写危险废物转移联单（每种废物填写一份联单），并加盖公司公章，经运输单位核实验收签字后，将联单第一联副联自留存档，将联单第二联交移出地环境保护行政主管部门，第三联及其余各联交付运输单位，随危险废物转移运行。第四联交接受单位，第五联交接受地环保局。</w:t>
            </w:r>
          </w:p>
          <w:p w14:paraId="493647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eastAsia="宋体"/>
                <w:color w:val="auto"/>
                <w:sz w:val="24"/>
              </w:rPr>
            </w:pPr>
            <w:r>
              <w:rPr>
                <w:rFonts w:hint="default" w:hAnsi="宋体" w:eastAsia="宋体"/>
                <w:color w:val="auto"/>
                <w:sz w:val="24"/>
              </w:rPr>
              <w:t>危险废物产生者和危险废物贮存设施经营者均须</w:t>
            </w:r>
            <w:r>
              <w:rPr>
                <w:rFonts w:hint="eastAsia" w:hAnsi="宋体"/>
                <w:color w:val="auto"/>
                <w:sz w:val="24"/>
                <w:lang w:eastAsia="zh-CN"/>
              </w:rPr>
              <w:t>做好</w:t>
            </w:r>
            <w:r>
              <w:rPr>
                <w:rFonts w:hint="default" w:hAnsi="宋体" w:eastAsia="宋体"/>
                <w:color w:val="auto"/>
                <w:sz w:val="24"/>
              </w:rPr>
              <w:t>危险废物情况的记录，记录上须注明危险废物的名称、来源、数量、特性和包装容器的类别、入库日期、存放库位、废物出库日期及接收单位名称</w:t>
            </w:r>
            <w:r>
              <w:rPr>
                <w:rFonts w:hint="eastAsia" w:hAnsi="宋体" w:eastAsia="宋体"/>
                <w:color w:val="auto"/>
                <w:sz w:val="24"/>
                <w:lang w:eastAsia="zh-CN"/>
              </w:rPr>
              <w:t>，</w:t>
            </w:r>
            <w:r>
              <w:rPr>
                <w:rFonts w:hint="eastAsia" w:hAnsi="宋体" w:eastAsia="宋体"/>
                <w:color w:val="auto"/>
                <w:sz w:val="24"/>
                <w:lang w:val="en-US" w:eastAsia="zh-CN"/>
              </w:rPr>
              <w:t>并在安徽省危险废物动态管理信息系统进行危险废物申报登记。</w:t>
            </w:r>
            <w:r>
              <w:rPr>
                <w:rFonts w:hint="default" w:hAnsi="宋体" w:eastAsia="宋体"/>
                <w:color w:val="auto"/>
                <w:sz w:val="24"/>
              </w:rPr>
              <w:t>危险废物的记录和货单在危险废物回取后应继续保留三年。</w:t>
            </w:r>
          </w:p>
          <w:p w14:paraId="76089FCF">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sz w:val="24"/>
              </w:rPr>
            </w:pPr>
            <w:r>
              <w:rPr>
                <w:rFonts w:hint="default" w:hAnsi="宋体" w:eastAsia="宋体"/>
                <w:b w:val="0"/>
                <w:bCs w:val="0"/>
                <w:color w:val="auto"/>
                <w:sz w:val="24"/>
              </w:rPr>
              <w:t>综上，只要企业强化管理，做好危险废物、一般固废及生活垃圾的收集、贮存和清运工作，并采取恰当的安全处置方法，经处置后固体废物就不会对周围环境产生明显的不利影响。</w:t>
            </w:r>
          </w:p>
          <w:p w14:paraId="3164B827">
            <w:pPr>
              <w:pStyle w:val="5"/>
              <w:suppressLineNumbers w:val="0"/>
              <w:spacing w:before="0" w:beforeAutospacing="0" w:after="0" w:afterAutospacing="0" w:line="440" w:lineRule="exact"/>
              <w:ind w:left="0" w:right="0" w:firstLine="482" w:firstLineChars="200"/>
              <w:outlineLvl w:val="2"/>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5、地下水、土壤</w:t>
            </w:r>
          </w:p>
          <w:p w14:paraId="79E9ABEE">
            <w:pPr>
              <w:keepNext w:val="0"/>
              <w:keepLines w:val="0"/>
              <w:suppressLineNumbers w:val="0"/>
              <w:spacing w:before="0" w:beforeAutospacing="0" w:after="0" w:afterAutospacing="0" w:line="440" w:lineRule="exact"/>
              <w:ind w:left="0" w:right="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 xml:space="preserve">（1）污染源分析                      </w:t>
            </w:r>
          </w:p>
          <w:p w14:paraId="6186A39B">
            <w:pPr>
              <w:keepNext w:val="0"/>
              <w:keepLines w:val="0"/>
              <w:suppressLineNumbers w:val="0"/>
              <w:spacing w:before="0" w:beforeAutospacing="0" w:after="0" w:afterAutospacing="0" w:line="440" w:lineRule="exact"/>
              <w:ind w:left="0" w:right="0" w:firstLine="480" w:firstLineChars="200"/>
              <w:rPr>
                <w:rFonts w:hint="default" w:ascii="Times New Roman" w:hAnsi="Times New Roman" w:eastAsia="宋体" w:cs="Times New Roman"/>
                <w:color w:val="0000FF"/>
                <w:sz w:val="24"/>
              </w:rPr>
            </w:pPr>
            <w:r>
              <w:rPr>
                <w:rFonts w:hint="default" w:ascii="Times New Roman" w:hAnsi="Times New Roman" w:eastAsia="宋体" w:cs="Times New Roman"/>
                <w:color w:val="auto"/>
                <w:sz w:val="24"/>
              </w:rPr>
              <w:t>生产过程中产生的污染物主要以水为载体，通过包气带中的裂隙、孔隙向地下垂直渗漏和渗透。在遇砂性土会较快进入地下水体，如遇粘性土，载体则沿层面做水平运动，使污染范围扩大，当遇到下渗通道时再垂向渗漏，进入地下水体。包气带的防护能力大小，直接影响着地下水的防护，包气带防护条件与包气带厚度、岩性结构、弱渗透性地层的渗透性能及厚度有关，若包气带粘性土厚度小，且分布不连续、不稳定，则地下水自然防护条件就差，污水渗漏就易对地下水产生污染，若包气带粘性土厚度虽小，但分布连续，稳定，则地下水自然防护条件相对就好些，污染物对地下水影响就相对小些。本项目地下水污染源主要为危废暂存</w:t>
            </w:r>
            <w:r>
              <w:rPr>
                <w:rFonts w:hint="eastAsia" w:ascii="Times New Roman" w:hAnsi="Times New Roman" w:eastAsia="宋体" w:cs="Times New Roman"/>
                <w:color w:val="auto"/>
                <w:sz w:val="24"/>
                <w:lang w:val="en-US" w:eastAsia="zh-CN"/>
              </w:rPr>
              <w:t>间</w:t>
            </w:r>
            <w:r>
              <w:rPr>
                <w:rFonts w:hint="default" w:ascii="Times New Roman" w:hAnsi="Times New Roman" w:eastAsia="宋体" w:cs="Times New Roman"/>
                <w:color w:val="auto"/>
                <w:sz w:val="24"/>
              </w:rPr>
              <w:t>、</w:t>
            </w:r>
            <w:r>
              <w:rPr>
                <w:rFonts w:hint="eastAsia" w:ascii="Times New Roman" w:hAnsi="Times New Roman" w:eastAsia="宋体" w:cs="Times New Roman"/>
                <w:color w:val="auto"/>
                <w:sz w:val="24"/>
                <w:lang w:val="en-US" w:eastAsia="zh-CN"/>
              </w:rPr>
              <w:t>化学品库</w:t>
            </w:r>
            <w:r>
              <w:rPr>
                <w:rFonts w:hint="eastAsia" w:ascii="Times New Roman" w:hAnsi="Times New Roman" w:cs="Times New Roman"/>
                <w:color w:val="auto"/>
                <w:sz w:val="24"/>
                <w:lang w:val="en-US" w:eastAsia="zh-CN"/>
              </w:rPr>
              <w:t>、</w:t>
            </w:r>
            <w:r>
              <w:rPr>
                <w:rFonts w:hint="eastAsia" w:ascii="Times New Roman" w:hAnsi="Times New Roman" w:eastAsia="宋体" w:cs="Times New Roman"/>
                <w:color w:val="auto"/>
                <w:sz w:val="24"/>
                <w:lang w:val="en-US" w:eastAsia="zh-CN"/>
              </w:rPr>
              <w:t>等</w:t>
            </w:r>
            <w:r>
              <w:rPr>
                <w:rFonts w:hint="eastAsia" w:ascii="Times New Roman" w:hAnsi="Times New Roman" w:cs="Times New Roman"/>
                <w:color w:val="auto"/>
                <w:sz w:val="24"/>
                <w:lang w:val="en-US" w:eastAsia="zh-CN"/>
              </w:rPr>
              <w:t>冷却油池</w:t>
            </w:r>
            <w:r>
              <w:rPr>
                <w:rFonts w:hint="eastAsia" w:ascii="Times New Roman" w:hAnsi="Times New Roman" w:eastAsia="宋体" w:cs="Times New Roman"/>
                <w:color w:val="auto"/>
                <w:sz w:val="24"/>
                <w:lang w:val="en-US" w:eastAsia="zh-CN"/>
              </w:rPr>
              <w:t>区域</w:t>
            </w:r>
            <w:r>
              <w:rPr>
                <w:rFonts w:hint="default" w:ascii="Times New Roman" w:hAnsi="Times New Roman" w:eastAsia="宋体" w:cs="Times New Roman"/>
                <w:color w:val="auto"/>
                <w:sz w:val="24"/>
              </w:rPr>
              <w:t>的渗漏对浅层地下水的影响。</w:t>
            </w:r>
          </w:p>
          <w:p w14:paraId="45194323">
            <w:pPr>
              <w:keepNext w:val="0"/>
              <w:keepLines w:val="0"/>
              <w:suppressLineNumbers w:val="0"/>
              <w:spacing w:before="0" w:beforeAutospacing="0" w:after="0" w:afterAutospacing="0" w:line="44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表4-</w:t>
            </w:r>
            <w:r>
              <w:rPr>
                <w:rFonts w:hint="eastAsia" w:ascii="Times New Roman" w:hAnsi="Times New Roman" w:eastAsia="宋体" w:cs="Times New Roman"/>
                <w:b/>
                <w:color w:val="auto"/>
                <w:lang w:val="en-US" w:eastAsia="zh-CN"/>
              </w:rPr>
              <w:t>2</w:t>
            </w:r>
            <w:r>
              <w:rPr>
                <w:rFonts w:hint="eastAsia" w:ascii="Times New Roman" w:hAnsi="Times New Roman" w:cs="Times New Roman"/>
                <w:b/>
                <w:color w:val="auto"/>
                <w:lang w:val="en-US" w:eastAsia="zh-CN"/>
              </w:rPr>
              <w:t>5</w:t>
            </w:r>
            <w:r>
              <w:rPr>
                <w:rFonts w:hint="default" w:ascii="Times New Roman" w:hAnsi="Times New Roman" w:eastAsia="宋体" w:cs="Times New Roman"/>
                <w:b/>
                <w:color w:val="auto"/>
              </w:rPr>
              <w:t xml:space="preserve">  地下水和土壤污染分析</w:t>
            </w:r>
          </w:p>
          <w:tbl>
            <w:tblPr>
              <w:tblStyle w:val="53"/>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713"/>
              <w:gridCol w:w="1420"/>
              <w:gridCol w:w="2695"/>
              <w:gridCol w:w="756"/>
            </w:tblGrid>
            <w:tr w14:paraId="7F3F62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49" w:hRule="atLeast"/>
              </w:trPr>
              <w:tc>
                <w:tcPr>
                  <w:tcW w:w="3713" w:type="dxa"/>
                  <w:noWrap w:val="0"/>
                  <w:vAlign w:val="center"/>
                </w:tcPr>
                <w:p w14:paraId="25BE2915">
                  <w:pPr>
                    <w:keepNext w:val="0"/>
                    <w:keepLines w:val="0"/>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污染源</w:t>
                  </w:r>
                </w:p>
              </w:tc>
              <w:tc>
                <w:tcPr>
                  <w:tcW w:w="1420" w:type="dxa"/>
                  <w:noWrap w:val="0"/>
                  <w:vAlign w:val="center"/>
                </w:tcPr>
                <w:p w14:paraId="4878A6E8">
                  <w:pPr>
                    <w:keepNext w:val="0"/>
                    <w:keepLines w:val="0"/>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污染途径</w:t>
                  </w:r>
                </w:p>
              </w:tc>
              <w:tc>
                <w:tcPr>
                  <w:tcW w:w="2695" w:type="dxa"/>
                  <w:noWrap w:val="0"/>
                  <w:vAlign w:val="center"/>
                </w:tcPr>
                <w:p w14:paraId="2A4718B9">
                  <w:pPr>
                    <w:keepNext w:val="0"/>
                    <w:keepLines w:val="0"/>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主要污染物</w:t>
                  </w:r>
                </w:p>
              </w:tc>
              <w:tc>
                <w:tcPr>
                  <w:tcW w:w="756" w:type="dxa"/>
                  <w:noWrap w:val="0"/>
                  <w:vAlign w:val="center"/>
                </w:tcPr>
                <w:p w14:paraId="3C5A4749">
                  <w:pPr>
                    <w:keepNext w:val="0"/>
                    <w:keepLines w:val="0"/>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备注</w:t>
                  </w:r>
                </w:p>
              </w:tc>
            </w:tr>
            <w:tr w14:paraId="28D5A4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49" w:hRule="atLeast"/>
              </w:trPr>
              <w:tc>
                <w:tcPr>
                  <w:tcW w:w="3713" w:type="dxa"/>
                  <w:noWrap w:val="0"/>
                  <w:vAlign w:val="center"/>
                </w:tcPr>
                <w:p w14:paraId="41CD2562">
                  <w:pPr>
                    <w:keepNext w:val="0"/>
                    <w:keepLines w:val="0"/>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rPr>
                  </w:pPr>
                  <w:r>
                    <w:rPr>
                      <w:rFonts w:hint="eastAsia" w:ascii="Times New Roman" w:hAnsi="宋体" w:eastAsia="宋体" w:cs="Times New Roman"/>
                      <w:color w:val="auto"/>
                      <w:lang w:val="en-US" w:eastAsia="zh-CN"/>
                    </w:rPr>
                    <w:t>危废暂存间、化学品库</w:t>
                  </w:r>
                  <w:r>
                    <w:rPr>
                      <w:rFonts w:hint="eastAsia" w:ascii="Times New Roman" w:hAnsi="宋体" w:cs="Times New Roman"/>
                      <w:color w:val="auto"/>
                      <w:lang w:val="en-US" w:eastAsia="zh-CN"/>
                    </w:rPr>
                    <w:t>、冷却油池</w:t>
                  </w:r>
                  <w:r>
                    <w:rPr>
                      <w:rFonts w:hint="eastAsia" w:ascii="Times New Roman" w:hAnsi="宋体" w:eastAsia="宋体" w:cs="Times New Roman"/>
                      <w:color w:val="auto"/>
                      <w:lang w:val="en-US" w:eastAsia="zh-CN"/>
                    </w:rPr>
                    <w:t>等</w:t>
                  </w:r>
                </w:p>
              </w:tc>
              <w:tc>
                <w:tcPr>
                  <w:tcW w:w="1420" w:type="dxa"/>
                  <w:noWrap w:val="0"/>
                  <w:vAlign w:val="center"/>
                </w:tcPr>
                <w:p w14:paraId="6D9382A6">
                  <w:pPr>
                    <w:keepNext w:val="0"/>
                    <w:keepLines w:val="0"/>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rPr>
                  </w:pPr>
                  <w:r>
                    <w:rPr>
                      <w:rFonts w:hint="eastAsia" w:ascii="Times New Roman" w:hAnsi="宋体" w:eastAsia="宋体" w:cs="Times New Roman"/>
                      <w:color w:val="auto"/>
                      <w:lang w:val="en-US" w:eastAsia="zh-CN"/>
                    </w:rPr>
                    <w:t>垂直入渗</w:t>
                  </w:r>
                </w:p>
              </w:tc>
              <w:tc>
                <w:tcPr>
                  <w:tcW w:w="2695" w:type="dxa"/>
                  <w:noWrap w:val="0"/>
                  <w:vAlign w:val="center"/>
                </w:tcPr>
                <w:p w14:paraId="3C25277E">
                  <w:pPr>
                    <w:keepNext w:val="0"/>
                    <w:keepLines w:val="0"/>
                    <w:suppressLineNumbers w:val="0"/>
                    <w:spacing w:before="0" w:beforeAutospacing="0" w:after="0" w:afterAutospacing="0"/>
                    <w:ind w:left="0" w:right="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COD、氨氮</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石油类等</w:t>
                  </w:r>
                </w:p>
              </w:tc>
              <w:tc>
                <w:tcPr>
                  <w:tcW w:w="756" w:type="dxa"/>
                  <w:noWrap w:val="0"/>
                  <w:vAlign w:val="center"/>
                </w:tcPr>
                <w:p w14:paraId="7C983464">
                  <w:pPr>
                    <w:keepNext w:val="0"/>
                    <w:keepLines w:val="0"/>
                    <w:suppressLineNumbers w:val="0"/>
                    <w:spacing w:before="0" w:beforeAutospacing="0" w:after="0" w:afterAutospacing="0"/>
                    <w:ind w:left="0" w:right="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r>
          </w:tbl>
          <w:p w14:paraId="48165301">
            <w:pPr>
              <w:keepNext w:val="0"/>
              <w:keepLines w:val="0"/>
              <w:suppressLineNumbers w:val="0"/>
              <w:spacing w:before="0" w:beforeAutospacing="0" w:after="0" w:afterAutospacing="0" w:line="440" w:lineRule="exact"/>
              <w:ind w:left="0" w:right="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（2）污染防控措施</w:t>
            </w:r>
          </w:p>
          <w:p w14:paraId="16BCCCFD">
            <w:pPr>
              <w:keepNext w:val="0"/>
              <w:keepLines w:val="0"/>
              <w:pageBreakBefore w:val="0"/>
              <w:widowControl w:val="0"/>
              <w:suppressLineNumbers w:val="0"/>
              <w:tabs>
                <w:tab w:val="left" w:pos="426"/>
              </w:tabs>
              <w:kinsoku/>
              <w:wordWrap/>
              <w:overflowPunct/>
              <w:topLinePunct w:val="0"/>
              <w:autoSpaceDE/>
              <w:autoSpaceDN/>
              <w:bidi w:val="0"/>
              <w:adjustRightInd/>
              <w:snapToGrid/>
              <w:spacing w:before="0" w:beforeAutospacing="0" w:after="0" w:afterAutospacing="0" w:line="440" w:lineRule="exact"/>
              <w:ind w:left="0" w:right="0" w:firstLine="435"/>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Times New Roman" w:cs="Times New Roman"/>
                <w:color w:val="auto"/>
                <w:sz w:val="24"/>
                <w:szCs w:val="24"/>
                <w:lang w:val="en-US" w:eastAsia="zh-CN"/>
              </w:rPr>
              <w:t>本项目</w:t>
            </w:r>
            <w:r>
              <w:rPr>
                <w:rFonts w:hint="eastAsia" w:ascii="Times New Roman" w:hAnsi="Times New Roman" w:eastAsia="Times New Roman" w:cs="Times New Roman"/>
                <w:color w:val="auto"/>
                <w:sz w:val="24"/>
                <w:szCs w:val="24"/>
                <w:lang w:val="en-US" w:eastAsia="zh-CN"/>
              </w:rPr>
              <w:t>租赁</w:t>
            </w:r>
            <w:r>
              <w:rPr>
                <w:rFonts w:hint="default" w:ascii="Times New Roman" w:hAnsi="Times New Roman" w:eastAsia="Times New Roman" w:cs="Times New Roman"/>
                <w:color w:val="auto"/>
                <w:sz w:val="24"/>
                <w:szCs w:val="24"/>
                <w:lang w:val="en-US" w:eastAsia="zh-CN"/>
              </w:rPr>
              <w:t>已建成厂房进行建设，根据厂房防渗措施现状，同时结合《环境影响评价技术导则 地下水环境》（HJ610-2016）中</w:t>
            </w:r>
            <w:r>
              <w:rPr>
                <w:rFonts w:hint="eastAsia" w:ascii="宋体" w:hAnsi="宋体" w:eastAsia="宋体" w:cs="宋体"/>
                <w:color w:val="auto"/>
                <w:sz w:val="24"/>
                <w:szCs w:val="24"/>
                <w:lang w:val="en-US" w:eastAsia="zh-CN"/>
              </w:rPr>
              <w:t>“</w:t>
            </w:r>
            <w:r>
              <w:rPr>
                <w:rFonts w:hint="default" w:ascii="Times New Roman" w:hAnsi="Times New Roman" w:eastAsia="宋体" w:cs="Times New Roman"/>
                <w:color w:val="auto"/>
                <w:sz w:val="24"/>
                <w:szCs w:val="24"/>
                <w:lang w:val="en-US" w:eastAsia="zh-CN"/>
              </w:rPr>
              <w:t>11.2.2</w:t>
            </w:r>
            <w:r>
              <w:rPr>
                <w:rFonts w:hint="eastAsia" w:ascii="宋体" w:hAnsi="宋体" w:eastAsia="宋体" w:cs="宋体"/>
                <w:color w:val="auto"/>
                <w:sz w:val="24"/>
                <w:szCs w:val="24"/>
                <w:lang w:val="en-US" w:eastAsia="zh-CN"/>
              </w:rPr>
              <w:t>分区防控措施”</w:t>
            </w:r>
            <w:r>
              <w:rPr>
                <w:rFonts w:hint="default" w:ascii="Times New Roman" w:hAnsi="Times New Roman" w:eastAsia="Times New Roman" w:cs="Times New Roman"/>
                <w:color w:val="auto"/>
                <w:sz w:val="24"/>
                <w:szCs w:val="24"/>
                <w:lang w:val="en-US" w:eastAsia="zh-CN"/>
              </w:rPr>
              <w:t>要求，本项目根据导则中表5、表6、表7等分区防渗技术要求，本项目划分为重点防渗区、一般防渗区，具体如下：</w:t>
            </w:r>
          </w:p>
          <w:p w14:paraId="08D5E910">
            <w:pPr>
              <w:keepNext w:val="0"/>
              <w:keepLines w:val="0"/>
              <w:pageBreakBefore w:val="0"/>
              <w:widowControl w:val="0"/>
              <w:suppressLineNumbers w:val="0"/>
              <w:tabs>
                <w:tab w:val="left" w:pos="426"/>
              </w:tabs>
              <w:kinsoku/>
              <w:wordWrap/>
              <w:overflowPunct/>
              <w:topLinePunct w:val="0"/>
              <w:autoSpaceDE/>
              <w:autoSpaceDN/>
              <w:bidi w:val="0"/>
              <w:adjustRightInd/>
              <w:snapToGrid/>
              <w:spacing w:before="0" w:beforeAutospacing="0" w:after="0" w:afterAutospacing="0" w:line="440" w:lineRule="exact"/>
              <w:ind w:left="0" w:right="0" w:firstLine="435"/>
              <w:textAlignment w:val="auto"/>
              <w:outlineLvl w:val="9"/>
              <w:rPr>
                <w:rFonts w:hint="default" w:ascii="Times New Roman" w:hAnsi="Times New Roman" w:eastAsia="宋体" w:cs="Times New Roman"/>
                <w:color w:val="auto"/>
                <w:sz w:val="24"/>
                <w:szCs w:val="24"/>
                <w:lang w:eastAsia="zh-CN"/>
              </w:rPr>
            </w:pPr>
            <w:r>
              <w:rPr>
                <w:rFonts w:hint="default" w:ascii="Times New Roman" w:hAnsi="Times New Roman" w:eastAsia="Times New Roman" w:cs="Times New Roman"/>
                <w:color w:val="auto"/>
                <w:sz w:val="24"/>
                <w:szCs w:val="24"/>
              </w:rPr>
              <w:t>①</w:t>
            </w:r>
            <w:r>
              <w:rPr>
                <w:rStyle w:val="67"/>
                <w:rFonts w:hint="default"/>
                <w:color w:val="auto"/>
              </w:rPr>
              <w:t>危废暂存库</w:t>
            </w:r>
            <w:r>
              <w:rPr>
                <w:rStyle w:val="67"/>
                <w:rFonts w:hint="default"/>
                <w:color w:val="auto"/>
                <w:lang w:eastAsia="zh-CN"/>
              </w:rPr>
              <w:t>、</w:t>
            </w:r>
            <w:r>
              <w:rPr>
                <w:rStyle w:val="67"/>
                <w:rFonts w:hint="eastAsia"/>
                <w:color w:val="auto"/>
                <w:lang w:val="en-US" w:eastAsia="zh-CN"/>
              </w:rPr>
              <w:t>化学品</w:t>
            </w:r>
            <w:r>
              <w:rPr>
                <w:rStyle w:val="67"/>
                <w:rFonts w:hint="default"/>
                <w:color w:val="auto"/>
                <w:lang w:val="en-US" w:eastAsia="zh-CN"/>
              </w:rPr>
              <w:t>库</w:t>
            </w:r>
            <w:r>
              <w:rPr>
                <w:rStyle w:val="67"/>
                <w:rFonts w:hint="eastAsia"/>
                <w:color w:val="auto"/>
                <w:lang w:val="en-US" w:eastAsia="zh-CN"/>
              </w:rPr>
              <w:t>、冷却油池</w:t>
            </w:r>
            <w:r>
              <w:rPr>
                <w:rFonts w:hint="default" w:ascii="Times New Roman" w:hAnsi="Times New Roman" w:eastAsia="Times New Roman" w:cs="Times New Roman"/>
                <w:color w:val="auto"/>
                <w:sz w:val="24"/>
                <w:szCs w:val="24"/>
                <w:shd w:val="clear" w:color="auto" w:fill="auto"/>
                <w:lang w:val="en-US" w:eastAsia="zh-CN"/>
              </w:rPr>
              <w:t>等</w:t>
            </w:r>
            <w:r>
              <w:rPr>
                <w:rFonts w:hint="default" w:ascii="Times New Roman" w:hAnsi="Times New Roman" w:eastAsia="Times New Roman" w:cs="Times New Roman"/>
                <w:color w:val="auto"/>
                <w:sz w:val="24"/>
                <w:szCs w:val="24"/>
                <w:lang w:val="en-US" w:eastAsia="zh-CN"/>
              </w:rPr>
              <w:t>重点防渗区</w:t>
            </w:r>
            <w:r>
              <w:rPr>
                <w:rFonts w:hint="default" w:ascii="Times New Roman" w:hAnsi="Times New Roman" w:eastAsia="Times New Roman" w:cs="Times New Roman"/>
                <w:color w:val="auto"/>
                <w:sz w:val="24"/>
                <w:szCs w:val="24"/>
                <w:lang w:eastAsia="zh-CN"/>
              </w:rPr>
              <w:t>防渗</w:t>
            </w:r>
            <w:r>
              <w:rPr>
                <w:rFonts w:hint="default" w:ascii="Times New Roman" w:hAnsi="Times New Roman" w:eastAsia="Times New Roman" w:cs="Times New Roman"/>
                <w:color w:val="auto"/>
                <w:sz w:val="24"/>
                <w:szCs w:val="24"/>
                <w:lang w:val="en-US" w:eastAsia="zh-CN"/>
              </w:rPr>
              <w:t>技术</w:t>
            </w:r>
            <w:r>
              <w:rPr>
                <w:rFonts w:hint="default" w:ascii="Times New Roman" w:hAnsi="Times New Roman" w:eastAsia="Times New Roman" w:cs="Times New Roman"/>
                <w:color w:val="auto"/>
                <w:sz w:val="24"/>
                <w:szCs w:val="24"/>
                <w:lang w:eastAsia="zh-CN"/>
              </w:rPr>
              <w:t>要求：等效黏土防渗层</w:t>
            </w:r>
            <w:r>
              <w:rPr>
                <w:rFonts w:hint="default" w:ascii="Times New Roman" w:hAnsi="Times New Roman" w:eastAsia="Times New Roman" w:cs="Times New Roman"/>
                <w:color w:val="auto"/>
                <w:sz w:val="24"/>
                <w:szCs w:val="24"/>
                <w:lang w:val="en-US" w:eastAsia="zh-CN"/>
              </w:rPr>
              <w:t>Mb</w:t>
            </w:r>
            <w:r>
              <w:rPr>
                <w:rFonts w:hint="default" w:ascii="Times New Roman" w:hAnsi="Times New Roman" w:eastAsia="宋体" w:cs="Times New Roman"/>
                <w:color w:val="auto"/>
                <w:sz w:val="24"/>
                <w:szCs w:val="24"/>
                <w:lang w:val="en-US" w:eastAsia="zh-CN"/>
              </w:rPr>
              <w:t>≥</w:t>
            </w:r>
            <w:r>
              <w:rPr>
                <w:rFonts w:hint="default" w:ascii="Times New Roman" w:hAnsi="Times New Roman" w:eastAsia="Times New Roman" w:cs="Times New Roman"/>
                <w:color w:val="auto"/>
                <w:sz w:val="24"/>
                <w:szCs w:val="24"/>
                <w:lang w:val="en-US" w:eastAsia="zh-CN"/>
              </w:rPr>
              <w:t>6.0m，K</w:t>
            </w:r>
            <w:r>
              <w:rPr>
                <w:rFonts w:hint="default" w:ascii="Times New Roman" w:hAnsi="Times New Roman" w:eastAsia="宋体" w:cs="Times New Roman"/>
                <w:color w:val="auto"/>
                <w:sz w:val="24"/>
                <w:szCs w:val="24"/>
                <w:lang w:val="en-US" w:eastAsia="zh-CN"/>
              </w:rPr>
              <w:t>≤</w:t>
            </w:r>
            <w:r>
              <w:rPr>
                <w:rFonts w:hint="default" w:ascii="Times New Roman" w:hAnsi="Times New Roman" w:eastAsia="Times New Roman" w:cs="Times New Roman"/>
                <w:color w:val="auto"/>
                <w:sz w:val="24"/>
                <w:szCs w:val="24"/>
                <w:lang w:val="en-US" w:eastAsia="zh-CN"/>
              </w:rPr>
              <w:t>1</w:t>
            </w:r>
            <w:r>
              <w:rPr>
                <w:rFonts w:hint="default" w:ascii="Times New Roman" w:hAnsi="Times New Roman" w:eastAsia="Times New Roman" w:cs="Times New Roman"/>
                <w:b w:val="0"/>
                <w:bCs/>
                <w:color w:val="auto"/>
                <w:kern w:val="0"/>
                <w:sz w:val="24"/>
                <w:szCs w:val="24"/>
              </w:rPr>
              <w:t>×</w:t>
            </w:r>
            <w:r>
              <w:rPr>
                <w:rFonts w:hint="default" w:ascii="Times New Roman" w:hAnsi="Times New Roman" w:eastAsia="Times New Roman" w:cs="Times New Roman"/>
                <w:color w:val="auto"/>
                <w:sz w:val="24"/>
                <w:szCs w:val="24"/>
                <w:lang w:val="en-US" w:eastAsia="zh-CN"/>
              </w:rPr>
              <w:t>10</w:t>
            </w:r>
            <w:r>
              <w:rPr>
                <w:rFonts w:hint="default" w:ascii="Times New Roman" w:hAnsi="Times New Roman" w:eastAsia="Times New Roman" w:cs="Times New Roman"/>
                <w:color w:val="auto"/>
                <w:sz w:val="24"/>
                <w:szCs w:val="24"/>
                <w:vertAlign w:val="superscript"/>
                <w:lang w:val="en-US" w:eastAsia="zh-CN"/>
              </w:rPr>
              <w:t>-7</w:t>
            </w:r>
            <w:r>
              <w:rPr>
                <w:rFonts w:hint="default" w:ascii="Times New Roman" w:hAnsi="Times New Roman" w:eastAsia="Times New Roman" w:cs="Times New Roman"/>
                <w:color w:val="auto"/>
                <w:sz w:val="24"/>
                <w:szCs w:val="24"/>
                <w:lang w:val="en-US" w:eastAsia="zh-CN"/>
              </w:rPr>
              <w:t>cm/s</w:t>
            </w:r>
            <w:r>
              <w:rPr>
                <w:rFonts w:hint="default" w:ascii="Times New Roman" w:hAnsi="Times New Roman" w:eastAsia="宋体" w:cs="Times New Roman"/>
                <w:color w:val="auto"/>
                <w:sz w:val="24"/>
                <w:szCs w:val="24"/>
                <w:lang w:eastAsia="zh-CN"/>
              </w:rPr>
              <w:t>。</w:t>
            </w:r>
          </w:p>
          <w:p w14:paraId="2732C9FF">
            <w:pPr>
              <w:keepNext w:val="0"/>
              <w:keepLines w:val="0"/>
              <w:suppressLineNumbers w:val="0"/>
              <w:spacing w:before="0" w:beforeAutospacing="0" w:after="0" w:afterAutospacing="0" w:line="440" w:lineRule="exact"/>
              <w:ind w:left="0" w:right="0" w:firstLine="480" w:firstLineChars="200"/>
              <w:rPr>
                <w:rFonts w:hint="default" w:ascii="Times New Roman" w:hAnsi="Times New Roman" w:eastAsia="宋体" w:cs="Times New Roman"/>
                <w:color w:val="0000FF"/>
                <w:sz w:val="24"/>
                <w:szCs w:val="24"/>
              </w:rPr>
            </w:pPr>
            <w:r>
              <w:rPr>
                <w:rFonts w:hint="default" w:ascii="Times New Roman" w:hAnsi="Times New Roman" w:eastAsia="宋体" w:cs="Times New Roman"/>
                <w:color w:val="auto"/>
                <w:sz w:val="24"/>
                <w:szCs w:val="24"/>
              </w:rPr>
              <w:t>②</w:t>
            </w:r>
            <w:r>
              <w:rPr>
                <w:rStyle w:val="67"/>
                <w:rFonts w:hint="default"/>
                <w:color w:val="auto"/>
                <w:lang w:eastAsia="zh-CN"/>
              </w:rPr>
              <w:t>生产车间、</w:t>
            </w:r>
            <w:r>
              <w:rPr>
                <w:rStyle w:val="67"/>
                <w:rFonts w:hint="eastAsia"/>
                <w:color w:val="auto"/>
                <w:lang w:val="en-US" w:eastAsia="zh-CN"/>
              </w:rPr>
              <w:t>一般固废暂存间</w:t>
            </w:r>
            <w:r>
              <w:rPr>
                <w:rStyle w:val="67"/>
                <w:rFonts w:hint="default"/>
                <w:color w:val="auto"/>
                <w:lang w:eastAsia="zh-CN"/>
              </w:rPr>
              <w:t>、</w:t>
            </w:r>
            <w:r>
              <w:rPr>
                <w:rStyle w:val="67"/>
                <w:rFonts w:hint="default"/>
                <w:color w:val="auto"/>
                <w:lang w:val="en-US" w:eastAsia="zh-CN"/>
              </w:rPr>
              <w:t>原料</w:t>
            </w:r>
            <w:r>
              <w:rPr>
                <w:rStyle w:val="67"/>
                <w:rFonts w:hint="eastAsia"/>
                <w:color w:val="auto"/>
                <w:lang w:val="en-US" w:eastAsia="zh-CN"/>
              </w:rPr>
              <w:t>区、成品区等</w:t>
            </w:r>
            <w:r>
              <w:rPr>
                <w:rFonts w:hint="default" w:ascii="Times New Roman" w:hAnsi="Times New Roman" w:eastAsia="宋体" w:cs="Times New Roman"/>
                <w:color w:val="auto"/>
                <w:sz w:val="24"/>
                <w:szCs w:val="24"/>
                <w:lang w:val="en-US" w:eastAsia="zh-CN"/>
              </w:rPr>
              <w:t>一般防渗区</w:t>
            </w:r>
            <w:r>
              <w:rPr>
                <w:rFonts w:hint="default" w:ascii="Times New Roman" w:hAnsi="Times New Roman" w:eastAsia="宋体" w:cs="Times New Roman"/>
                <w:color w:val="auto"/>
                <w:sz w:val="24"/>
                <w:szCs w:val="24"/>
                <w:lang w:eastAsia="zh-CN"/>
              </w:rPr>
              <w:t>防渗</w:t>
            </w:r>
            <w:r>
              <w:rPr>
                <w:rFonts w:hint="default" w:ascii="Times New Roman" w:hAnsi="Times New Roman" w:eastAsia="宋体" w:cs="Times New Roman"/>
                <w:color w:val="auto"/>
                <w:sz w:val="24"/>
                <w:szCs w:val="24"/>
                <w:lang w:val="en-US" w:eastAsia="zh-CN"/>
              </w:rPr>
              <w:t>技术</w:t>
            </w:r>
            <w:r>
              <w:rPr>
                <w:rFonts w:hint="default" w:ascii="Times New Roman" w:hAnsi="Times New Roman" w:eastAsia="宋体" w:cs="Times New Roman"/>
                <w:color w:val="auto"/>
                <w:sz w:val="24"/>
                <w:szCs w:val="24"/>
                <w:lang w:eastAsia="zh-CN"/>
              </w:rPr>
              <w:t>要求：</w:t>
            </w:r>
            <w:r>
              <w:rPr>
                <w:rFonts w:hint="default" w:ascii="Times New Roman" w:hAnsi="Times New Roman" w:eastAsia="Times New Roman" w:cs="Times New Roman"/>
                <w:color w:val="auto"/>
                <w:sz w:val="24"/>
                <w:szCs w:val="24"/>
                <w:lang w:eastAsia="zh-CN"/>
              </w:rPr>
              <w:t>等效黏土防渗层</w:t>
            </w:r>
            <w:r>
              <w:rPr>
                <w:rFonts w:hint="default" w:ascii="Times New Roman" w:hAnsi="Times New Roman" w:eastAsia="Times New Roman" w:cs="Times New Roman"/>
                <w:color w:val="auto"/>
                <w:sz w:val="24"/>
                <w:szCs w:val="24"/>
                <w:lang w:val="en-US" w:eastAsia="zh-CN"/>
              </w:rPr>
              <w:t>Mb</w:t>
            </w:r>
            <w:r>
              <w:rPr>
                <w:rFonts w:hint="default" w:ascii="Times New Roman" w:hAnsi="Times New Roman" w:eastAsia="宋体" w:cs="Times New Roman"/>
                <w:color w:val="auto"/>
                <w:sz w:val="24"/>
                <w:szCs w:val="24"/>
                <w:lang w:val="en-US" w:eastAsia="zh-CN"/>
              </w:rPr>
              <w:t>≥</w:t>
            </w:r>
            <w:r>
              <w:rPr>
                <w:rFonts w:hint="default" w:ascii="Times New Roman" w:hAnsi="Times New Roman" w:eastAsia="Times New Roman" w:cs="Times New Roman"/>
                <w:color w:val="auto"/>
                <w:sz w:val="24"/>
                <w:szCs w:val="24"/>
                <w:lang w:val="en-US" w:eastAsia="zh-CN"/>
              </w:rPr>
              <w:t>1.5m，K</w:t>
            </w:r>
            <w:r>
              <w:rPr>
                <w:rFonts w:hint="default" w:ascii="Times New Roman" w:hAnsi="Times New Roman" w:eastAsia="宋体" w:cs="Times New Roman"/>
                <w:color w:val="auto"/>
                <w:sz w:val="24"/>
                <w:szCs w:val="24"/>
                <w:lang w:val="en-US" w:eastAsia="zh-CN"/>
              </w:rPr>
              <w:t>≤</w:t>
            </w:r>
            <w:r>
              <w:rPr>
                <w:rFonts w:hint="default" w:ascii="Times New Roman" w:hAnsi="Times New Roman" w:eastAsia="Times New Roman" w:cs="Times New Roman"/>
                <w:color w:val="auto"/>
                <w:sz w:val="24"/>
                <w:szCs w:val="24"/>
                <w:lang w:val="en-US" w:eastAsia="zh-CN"/>
              </w:rPr>
              <w:t>1</w:t>
            </w:r>
            <w:r>
              <w:rPr>
                <w:rFonts w:hint="default" w:ascii="Times New Roman" w:hAnsi="Times New Roman" w:eastAsia="Times New Roman" w:cs="Times New Roman"/>
                <w:b w:val="0"/>
                <w:bCs/>
                <w:color w:val="auto"/>
                <w:kern w:val="0"/>
                <w:sz w:val="24"/>
                <w:szCs w:val="24"/>
              </w:rPr>
              <w:t>×</w:t>
            </w:r>
            <w:r>
              <w:rPr>
                <w:rFonts w:hint="default" w:ascii="Times New Roman" w:hAnsi="Times New Roman" w:eastAsia="Times New Roman" w:cs="Times New Roman"/>
                <w:color w:val="auto"/>
                <w:sz w:val="24"/>
                <w:szCs w:val="24"/>
                <w:lang w:val="en-US" w:eastAsia="zh-CN"/>
              </w:rPr>
              <w:t>10</w:t>
            </w:r>
            <w:r>
              <w:rPr>
                <w:rFonts w:hint="default" w:ascii="Times New Roman" w:hAnsi="Times New Roman" w:eastAsia="Times New Roman" w:cs="Times New Roman"/>
                <w:color w:val="auto"/>
                <w:sz w:val="24"/>
                <w:szCs w:val="24"/>
                <w:vertAlign w:val="superscript"/>
                <w:lang w:val="en-US" w:eastAsia="zh-CN"/>
              </w:rPr>
              <w:t>-7</w:t>
            </w:r>
            <w:r>
              <w:rPr>
                <w:rFonts w:hint="default" w:ascii="Times New Roman" w:hAnsi="Times New Roman" w:eastAsia="Times New Roman" w:cs="Times New Roman"/>
                <w:color w:val="auto"/>
                <w:sz w:val="24"/>
                <w:szCs w:val="24"/>
                <w:lang w:val="en-US" w:eastAsia="zh-CN"/>
              </w:rPr>
              <w:t>cm/s</w:t>
            </w:r>
            <w:r>
              <w:rPr>
                <w:rFonts w:hint="default" w:ascii="Times New Roman" w:hAnsi="Times New Roman" w:eastAsia="Times New Roman" w:cs="Times New Roman"/>
                <w:color w:val="auto"/>
                <w:sz w:val="24"/>
                <w:szCs w:val="24"/>
                <w:lang w:eastAsia="zh-CN"/>
              </w:rPr>
              <w:t>。</w:t>
            </w:r>
          </w:p>
          <w:p w14:paraId="031B9AEC">
            <w:pPr>
              <w:keepNext w:val="0"/>
              <w:keepLines w:val="0"/>
              <w:suppressLineNumbers w:val="0"/>
              <w:spacing w:before="0" w:beforeAutospacing="0" w:after="0" w:afterAutospacing="0" w:line="440" w:lineRule="exact"/>
              <w:ind w:left="0" w:right="0" w:firstLine="480" w:firstLineChars="200"/>
              <w:rPr>
                <w:rFonts w:hint="default" w:ascii="Times New Roman" w:hAnsi="Times New Roman" w:eastAsia="宋体" w:cs="Times New Roman"/>
                <w:color w:val="auto"/>
                <w:sz w:val="24"/>
              </w:rPr>
            </w:pPr>
            <w:r>
              <w:rPr>
                <w:rFonts w:hint="eastAsia" w:ascii="宋体" w:hAnsi="宋体" w:eastAsia="Times New Roman" w:cs="宋体"/>
                <w:color w:val="auto"/>
                <w:sz w:val="24"/>
              </w:rPr>
              <w:t>项目</w:t>
            </w:r>
            <w:r>
              <w:rPr>
                <w:rFonts w:hint="default" w:ascii="Times New Roman" w:hAnsi="Times New Roman" w:eastAsia="宋体" w:cs="Times New Roman"/>
                <w:color w:val="auto"/>
                <w:sz w:val="24"/>
              </w:rPr>
              <w:t>分区防治措施见下表。</w:t>
            </w:r>
          </w:p>
          <w:p w14:paraId="2B499B88">
            <w:pPr>
              <w:keepNext w:val="0"/>
              <w:keepLines w:val="0"/>
              <w:suppressLineNumbers w:val="0"/>
              <w:spacing w:before="0" w:beforeAutospacing="0" w:after="0" w:afterAutospacing="0" w:line="440" w:lineRule="exact"/>
              <w:ind w:left="0" w:right="0"/>
              <w:jc w:val="center"/>
              <w:rPr>
                <w:rFonts w:hint="default" w:ascii="Times New Roman" w:hAnsi="Times New Roman" w:eastAsia="宋体" w:cs="Times New Roman"/>
                <w:color w:val="0000FF"/>
              </w:rPr>
            </w:pPr>
            <w:r>
              <w:rPr>
                <w:rFonts w:hint="default" w:ascii="Times New Roman" w:hAnsi="Times New Roman" w:eastAsia="宋体" w:cs="Times New Roman"/>
                <w:b/>
                <w:color w:val="auto"/>
              </w:rPr>
              <w:t>表4-</w:t>
            </w:r>
            <w:r>
              <w:rPr>
                <w:rFonts w:hint="eastAsia" w:ascii="Times New Roman" w:hAnsi="Times New Roman" w:eastAsia="宋体" w:cs="Times New Roman"/>
                <w:b/>
                <w:color w:val="auto"/>
                <w:lang w:val="en-US" w:eastAsia="zh-CN"/>
              </w:rPr>
              <w:t>2</w:t>
            </w:r>
            <w:r>
              <w:rPr>
                <w:rFonts w:hint="eastAsia" w:ascii="Times New Roman" w:hAnsi="Times New Roman" w:cs="Times New Roman"/>
                <w:b/>
                <w:color w:val="auto"/>
                <w:lang w:val="en-US" w:eastAsia="zh-CN"/>
              </w:rPr>
              <w:t>6</w:t>
            </w:r>
            <w:r>
              <w:rPr>
                <w:rFonts w:hint="default" w:ascii="Times New Roman" w:hAnsi="Times New Roman" w:eastAsia="宋体" w:cs="Times New Roman"/>
                <w:b/>
                <w:color w:val="auto"/>
              </w:rPr>
              <w:t xml:space="preserve">  项目防渗分区</w:t>
            </w:r>
          </w:p>
          <w:tbl>
            <w:tblPr>
              <w:tblStyle w:val="5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2"/>
              <w:gridCol w:w="1090"/>
              <w:gridCol w:w="2050"/>
              <w:gridCol w:w="3512"/>
            </w:tblGrid>
            <w:tr w14:paraId="23408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1125" w:type="pct"/>
                  <w:noWrap w:val="0"/>
                  <w:vAlign w:val="center"/>
                </w:tcPr>
                <w:p w14:paraId="359FB36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imes New Roman" w:cs="Times New Roman"/>
                      <w:b/>
                      <w:bCs/>
                      <w:color w:val="auto"/>
                      <w:sz w:val="21"/>
                      <w:szCs w:val="21"/>
                      <w:highlight w:val="none"/>
                    </w:rPr>
                  </w:pPr>
                  <w:r>
                    <w:rPr>
                      <w:rFonts w:hint="default" w:ascii="Times New Roman" w:hAnsi="Times New Roman" w:eastAsia="Times New Roman" w:cs="Times New Roman"/>
                      <w:b/>
                      <w:bCs/>
                      <w:color w:val="auto"/>
                      <w:sz w:val="21"/>
                      <w:szCs w:val="21"/>
                      <w:highlight w:val="none"/>
                    </w:rPr>
                    <w:t>单元名称</w:t>
                  </w:r>
                </w:p>
              </w:tc>
              <w:tc>
                <w:tcPr>
                  <w:tcW w:w="634" w:type="pct"/>
                  <w:noWrap w:val="0"/>
                  <w:vAlign w:val="center"/>
                </w:tcPr>
                <w:p w14:paraId="7FCC6DA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imes New Roman" w:cs="Times New Roman"/>
                      <w:b/>
                      <w:bCs/>
                      <w:color w:val="auto"/>
                      <w:sz w:val="21"/>
                      <w:szCs w:val="21"/>
                      <w:highlight w:val="none"/>
                    </w:rPr>
                  </w:pPr>
                  <w:r>
                    <w:rPr>
                      <w:rFonts w:hint="default" w:ascii="Times New Roman" w:hAnsi="Times New Roman" w:eastAsia="Times New Roman" w:cs="Times New Roman"/>
                      <w:b/>
                      <w:bCs/>
                      <w:color w:val="auto"/>
                      <w:sz w:val="21"/>
                      <w:szCs w:val="21"/>
                      <w:highlight w:val="none"/>
                    </w:rPr>
                    <w:t>防渗分区</w:t>
                  </w:r>
                </w:p>
              </w:tc>
              <w:tc>
                <w:tcPr>
                  <w:tcW w:w="1194" w:type="pct"/>
                  <w:noWrap w:val="0"/>
                  <w:vAlign w:val="center"/>
                </w:tcPr>
                <w:p w14:paraId="229D054A">
                  <w:pPr>
                    <w:keepNext w:val="0"/>
                    <w:keepLines w:val="0"/>
                    <w:suppressLineNumbers w:val="0"/>
                    <w:spacing w:before="0" w:beforeAutospacing="0" w:after="0" w:afterAutospacing="0" w:line="320" w:lineRule="exact"/>
                    <w:ind w:left="0" w:right="0"/>
                    <w:jc w:val="center"/>
                    <w:rPr>
                      <w:rFonts w:hint="default" w:ascii="Times New Roman" w:hAnsi="Times New Roman" w:eastAsia="Times New Roman" w:cs="Times New Roman"/>
                      <w:b/>
                      <w:bCs/>
                      <w:color w:val="auto"/>
                      <w:sz w:val="21"/>
                      <w:szCs w:val="21"/>
                      <w:highlight w:val="none"/>
                    </w:rPr>
                  </w:pPr>
                  <w:r>
                    <w:rPr>
                      <w:rFonts w:hint="default" w:ascii="Times New Roman" w:hAnsi="Times New Roman" w:eastAsia="Times New Roman" w:cs="Times New Roman"/>
                      <w:b/>
                      <w:color w:val="auto"/>
                      <w:sz w:val="21"/>
                      <w:szCs w:val="21"/>
                    </w:rPr>
                    <w:t>防腐防渗措施</w:t>
                  </w:r>
                </w:p>
              </w:tc>
              <w:tc>
                <w:tcPr>
                  <w:tcW w:w="2045" w:type="pct"/>
                  <w:noWrap w:val="0"/>
                  <w:vAlign w:val="center"/>
                </w:tcPr>
                <w:p w14:paraId="4A8B5B70">
                  <w:pPr>
                    <w:keepNext w:val="0"/>
                    <w:keepLines w:val="0"/>
                    <w:suppressLineNumbers w:val="0"/>
                    <w:spacing w:before="0" w:beforeAutospacing="0" w:after="0" w:afterAutospacing="0" w:line="320" w:lineRule="exact"/>
                    <w:ind w:left="0" w:right="0"/>
                    <w:jc w:val="center"/>
                    <w:rPr>
                      <w:rFonts w:hint="default" w:ascii="Times New Roman" w:hAnsi="Times New Roman" w:eastAsia="Times New Roman" w:cs="Times New Roman"/>
                      <w:b/>
                      <w:bCs/>
                      <w:color w:val="auto"/>
                      <w:sz w:val="21"/>
                      <w:szCs w:val="21"/>
                      <w:highlight w:val="none"/>
                    </w:rPr>
                  </w:pPr>
                  <w:r>
                    <w:rPr>
                      <w:rFonts w:hint="default" w:ascii="Times New Roman" w:hAnsi="Times New Roman" w:eastAsia="Times New Roman" w:cs="Times New Roman"/>
                      <w:b/>
                      <w:color w:val="auto"/>
                      <w:sz w:val="21"/>
                      <w:szCs w:val="21"/>
                    </w:rPr>
                    <w:t>防渗技术要求</w:t>
                  </w:r>
                </w:p>
              </w:tc>
            </w:tr>
            <w:tr w14:paraId="776A2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1125" w:type="pct"/>
                  <w:noWrap w:val="0"/>
                  <w:vAlign w:val="center"/>
                </w:tcPr>
                <w:p w14:paraId="47334B6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Times New Roman" w:cs="Times New Roman"/>
                      <w:color w:val="auto"/>
                      <w:sz w:val="21"/>
                      <w:szCs w:val="21"/>
                      <w:highlight w:val="none"/>
                    </w:rPr>
                    <w:t>危废暂存库</w:t>
                  </w:r>
                  <w:r>
                    <w:rPr>
                      <w:rFonts w:hint="default" w:ascii="Times New Roman" w:hAnsi="Times New Roman" w:eastAsia="Times New Roman" w:cs="Times New Roman"/>
                      <w:color w:val="auto"/>
                      <w:sz w:val="21"/>
                      <w:szCs w:val="21"/>
                      <w:highlight w:val="none"/>
                      <w:lang w:eastAsia="zh-CN"/>
                    </w:rPr>
                    <w:t>、</w:t>
                  </w:r>
                  <w:r>
                    <w:rPr>
                      <w:rFonts w:hint="default" w:ascii="Times New Roman" w:hAnsi="Times New Roman" w:eastAsia="Times New Roman" w:cs="Times New Roman"/>
                      <w:color w:val="auto"/>
                      <w:sz w:val="21"/>
                      <w:szCs w:val="21"/>
                      <w:highlight w:val="none"/>
                      <w:lang w:val="en-US" w:eastAsia="zh-CN"/>
                    </w:rPr>
                    <w:t>化学品库、冷却油池</w:t>
                  </w:r>
                </w:p>
              </w:tc>
              <w:tc>
                <w:tcPr>
                  <w:tcW w:w="634" w:type="pct"/>
                  <w:noWrap w:val="0"/>
                  <w:vAlign w:val="center"/>
                </w:tcPr>
                <w:p w14:paraId="496D54F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z w:val="21"/>
                      <w:szCs w:val="21"/>
                      <w:highlight w:val="none"/>
                    </w:rPr>
                    <w:t>重点</w:t>
                  </w:r>
                </w:p>
                <w:p w14:paraId="6E5F500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z w:val="21"/>
                      <w:szCs w:val="21"/>
                      <w:highlight w:val="none"/>
                    </w:rPr>
                    <w:t>防渗区</w:t>
                  </w:r>
                </w:p>
              </w:tc>
              <w:tc>
                <w:tcPr>
                  <w:tcW w:w="1194" w:type="pct"/>
                  <w:noWrap w:val="0"/>
                  <w:vAlign w:val="center"/>
                </w:tcPr>
                <w:p w14:paraId="21C0BB78">
                  <w:pPr>
                    <w:keepNext w:val="0"/>
                    <w:keepLines w:val="0"/>
                    <w:suppressLineNumbers w:val="0"/>
                    <w:spacing w:before="0" w:beforeAutospacing="0" w:after="0" w:afterAutospacing="0" w:line="320" w:lineRule="exact"/>
                    <w:ind w:left="-105" w:leftChars="-50" w:right="-105" w:rightChars="-5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Times New Roman" w:cs="Times New Roman"/>
                      <w:color w:val="auto"/>
                      <w:sz w:val="21"/>
                      <w:szCs w:val="21"/>
                    </w:rPr>
                    <w:t>抗渗混凝土+环氧树脂</w:t>
                  </w:r>
                  <w:r>
                    <w:rPr>
                      <w:rFonts w:hint="default" w:ascii="Times New Roman" w:hAnsi="Times New Roman" w:eastAsia="Times New Roman" w:cs="Times New Roman"/>
                      <w:color w:val="auto"/>
                      <w:sz w:val="21"/>
                      <w:szCs w:val="21"/>
                      <w:lang w:eastAsia="zh-CN"/>
                    </w:rPr>
                    <w:t>；</w:t>
                  </w:r>
                  <w:r>
                    <w:rPr>
                      <w:rFonts w:hint="default" w:ascii="Times New Roman" w:hAnsi="Times New Roman" w:eastAsia="Times New Roman" w:cs="Times New Roman"/>
                      <w:color w:val="auto"/>
                      <w:sz w:val="21"/>
                      <w:szCs w:val="21"/>
                      <w:lang w:val="en-US" w:eastAsia="zh-CN"/>
                    </w:rPr>
                    <w:t>并铺设HDPE膜</w:t>
                  </w:r>
                </w:p>
              </w:tc>
              <w:tc>
                <w:tcPr>
                  <w:tcW w:w="2045" w:type="pct"/>
                  <w:noWrap w:val="0"/>
                  <w:vAlign w:val="center"/>
                </w:tcPr>
                <w:p w14:paraId="207C6853">
                  <w:pPr>
                    <w:keepNext w:val="0"/>
                    <w:keepLines w:val="0"/>
                    <w:suppressLineNumbers w:val="0"/>
                    <w:spacing w:before="0" w:beforeAutospacing="0" w:after="0" w:afterAutospacing="0" w:line="320" w:lineRule="exact"/>
                    <w:ind w:left="0" w:right="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等效黏土防渗层Mb≥6.0m，</w:t>
                  </w:r>
                </w:p>
                <w:p w14:paraId="1E9C2E66">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 w:val="0"/>
                      <w:bCs/>
                      <w:color w:val="auto"/>
                      <w:kern w:val="24"/>
                      <w:sz w:val="21"/>
                      <w:szCs w:val="21"/>
                      <w:highlight w:val="none"/>
                    </w:rPr>
                  </w:pPr>
                  <w:r>
                    <w:rPr>
                      <w:rFonts w:hint="default" w:ascii="Times New Roman" w:hAnsi="Times New Roman" w:eastAsia="Times New Roman" w:cs="Times New Roman"/>
                      <w:color w:val="auto"/>
                      <w:sz w:val="21"/>
                      <w:szCs w:val="21"/>
                    </w:rPr>
                    <w:t>K≤10</w:t>
                  </w:r>
                  <w:r>
                    <w:rPr>
                      <w:rFonts w:hint="default" w:ascii="Times New Roman" w:hAnsi="Times New Roman" w:eastAsia="Times New Roman" w:cs="Times New Roman"/>
                      <w:color w:val="auto"/>
                      <w:sz w:val="21"/>
                      <w:szCs w:val="21"/>
                      <w:vertAlign w:val="superscript"/>
                    </w:rPr>
                    <w:t>-</w:t>
                  </w:r>
                  <w:r>
                    <w:rPr>
                      <w:rFonts w:hint="default" w:ascii="Times New Roman" w:hAnsi="Times New Roman" w:eastAsia="Times New Roman" w:cs="Times New Roman"/>
                      <w:color w:val="auto"/>
                      <w:sz w:val="21"/>
                      <w:szCs w:val="21"/>
                      <w:vertAlign w:val="superscript"/>
                      <w:lang w:val="en-US" w:eastAsia="zh-CN"/>
                    </w:rPr>
                    <w:t>7</w:t>
                  </w:r>
                  <w:r>
                    <w:rPr>
                      <w:rFonts w:hint="default" w:ascii="Times New Roman" w:hAnsi="Times New Roman" w:eastAsia="Times New Roman" w:cs="Times New Roman"/>
                      <w:color w:val="auto"/>
                      <w:sz w:val="21"/>
                      <w:szCs w:val="21"/>
                      <w:vertAlign w:val="baseline"/>
                      <w:lang w:val="en-US" w:eastAsia="zh-CN"/>
                    </w:rPr>
                    <w:t>c</w:t>
                  </w:r>
                  <w:r>
                    <w:rPr>
                      <w:rFonts w:hint="default" w:ascii="Times New Roman" w:hAnsi="Times New Roman" w:eastAsia="Times New Roman" w:cs="Times New Roman"/>
                      <w:color w:val="auto"/>
                      <w:sz w:val="21"/>
                      <w:szCs w:val="21"/>
                    </w:rPr>
                    <w:t>m/s或者参照GB18598执行</w:t>
                  </w:r>
                </w:p>
              </w:tc>
            </w:tr>
            <w:tr w14:paraId="42FF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1125" w:type="pct"/>
                  <w:noWrap w:val="0"/>
                  <w:vAlign w:val="center"/>
                </w:tcPr>
                <w:p w14:paraId="2B3038B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Times New Roman" w:cs="Times New Roman"/>
                      <w:color w:val="auto"/>
                      <w:sz w:val="21"/>
                      <w:szCs w:val="21"/>
                      <w:highlight w:val="none"/>
                      <w:lang w:eastAsia="zh-CN"/>
                    </w:rPr>
                    <w:t>生产车间、</w:t>
                  </w:r>
                  <w:r>
                    <w:rPr>
                      <w:rFonts w:hint="default" w:ascii="Times New Roman" w:hAnsi="Times New Roman" w:eastAsia="Times New Roman" w:cs="Times New Roman"/>
                      <w:color w:val="auto"/>
                      <w:sz w:val="21"/>
                      <w:szCs w:val="21"/>
                      <w:highlight w:val="none"/>
                      <w:lang w:val="en-US" w:eastAsia="zh-CN"/>
                    </w:rPr>
                    <w:t>一般固废暂存间</w:t>
                  </w:r>
                  <w:r>
                    <w:rPr>
                      <w:rFonts w:hint="default" w:ascii="Times New Roman" w:hAnsi="Times New Roman" w:eastAsia="Times New Roman" w:cs="Times New Roman"/>
                      <w:color w:val="auto"/>
                      <w:sz w:val="21"/>
                      <w:szCs w:val="21"/>
                      <w:highlight w:val="none"/>
                      <w:lang w:eastAsia="zh-CN"/>
                    </w:rPr>
                    <w:t>、</w:t>
                  </w:r>
                  <w:r>
                    <w:rPr>
                      <w:rFonts w:hint="default" w:ascii="Times New Roman" w:hAnsi="Times New Roman" w:eastAsia="Times New Roman" w:cs="Times New Roman"/>
                      <w:color w:val="auto"/>
                      <w:sz w:val="21"/>
                      <w:szCs w:val="21"/>
                      <w:highlight w:val="none"/>
                      <w:lang w:val="en-US" w:eastAsia="zh-CN"/>
                    </w:rPr>
                    <w:t>原料区、成品区等</w:t>
                  </w:r>
                </w:p>
              </w:tc>
              <w:tc>
                <w:tcPr>
                  <w:tcW w:w="634" w:type="pct"/>
                  <w:noWrap w:val="0"/>
                  <w:vAlign w:val="center"/>
                </w:tcPr>
                <w:p w14:paraId="1B41E58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z w:val="21"/>
                      <w:szCs w:val="21"/>
                      <w:highlight w:val="none"/>
                    </w:rPr>
                    <w:t>一般</w:t>
                  </w:r>
                </w:p>
                <w:p w14:paraId="7ABB1D9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z w:val="21"/>
                      <w:szCs w:val="21"/>
                      <w:highlight w:val="none"/>
                    </w:rPr>
                    <w:t>防渗区</w:t>
                  </w:r>
                </w:p>
              </w:tc>
              <w:tc>
                <w:tcPr>
                  <w:tcW w:w="1194" w:type="pct"/>
                  <w:noWrap w:val="0"/>
                  <w:vAlign w:val="center"/>
                </w:tcPr>
                <w:p w14:paraId="15A6518B">
                  <w:pPr>
                    <w:keepNext w:val="0"/>
                    <w:keepLines w:val="0"/>
                    <w:suppressLineNumbers w:val="0"/>
                    <w:spacing w:before="0" w:beforeAutospacing="0" w:after="0" w:afterAutospacing="0" w:line="320" w:lineRule="exact"/>
                    <w:ind w:left="0" w:right="0"/>
                    <w:jc w:val="center"/>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z w:val="21"/>
                      <w:szCs w:val="21"/>
                    </w:rPr>
                    <w:t>抗渗混凝土+环氧树脂</w:t>
                  </w:r>
                </w:p>
              </w:tc>
              <w:tc>
                <w:tcPr>
                  <w:tcW w:w="2045" w:type="pct"/>
                  <w:noWrap w:val="0"/>
                  <w:vAlign w:val="center"/>
                </w:tcPr>
                <w:p w14:paraId="02DF4337">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 w:val="0"/>
                      <w:color w:val="auto"/>
                      <w:sz w:val="21"/>
                      <w:szCs w:val="21"/>
                      <w:highlight w:val="none"/>
                    </w:rPr>
                  </w:pPr>
                  <w:r>
                    <w:rPr>
                      <w:rFonts w:hint="default" w:ascii="Times New Roman" w:hAnsi="Times New Roman" w:eastAsia="Times New Roman" w:cs="Times New Roman"/>
                      <w:color w:val="auto"/>
                      <w:sz w:val="21"/>
                      <w:szCs w:val="21"/>
                      <w:lang w:eastAsia="zh-CN"/>
                    </w:rPr>
                    <w:t>等效黏土防渗层</w:t>
                  </w:r>
                  <w:r>
                    <w:rPr>
                      <w:rFonts w:hint="default" w:ascii="Times New Roman" w:hAnsi="Times New Roman" w:eastAsia="Times New Roman" w:cs="Times New Roman"/>
                      <w:color w:val="auto"/>
                      <w:sz w:val="21"/>
                      <w:szCs w:val="21"/>
                      <w:lang w:val="en-US" w:eastAsia="zh-CN"/>
                    </w:rPr>
                    <w:t>Mb</w:t>
                  </w:r>
                  <w:r>
                    <w:rPr>
                      <w:rFonts w:hint="default" w:ascii="Times New Roman" w:hAnsi="Times New Roman" w:eastAsia="宋体" w:cs="Times New Roman"/>
                      <w:color w:val="auto"/>
                      <w:sz w:val="21"/>
                      <w:szCs w:val="21"/>
                      <w:lang w:val="en-US" w:eastAsia="zh-CN"/>
                    </w:rPr>
                    <w:t>≥</w:t>
                  </w:r>
                  <w:r>
                    <w:rPr>
                      <w:rFonts w:hint="default" w:ascii="Times New Roman" w:hAnsi="Times New Roman" w:eastAsia="Times New Roman" w:cs="Times New Roman"/>
                      <w:color w:val="auto"/>
                      <w:sz w:val="21"/>
                      <w:szCs w:val="21"/>
                      <w:lang w:val="en-US" w:eastAsia="zh-CN"/>
                    </w:rPr>
                    <w:t>1.5m，K</w:t>
                  </w:r>
                  <w:r>
                    <w:rPr>
                      <w:rFonts w:hint="default" w:ascii="Times New Roman" w:hAnsi="Times New Roman" w:eastAsia="宋体" w:cs="Times New Roman"/>
                      <w:color w:val="auto"/>
                      <w:sz w:val="21"/>
                      <w:szCs w:val="21"/>
                      <w:lang w:val="en-US" w:eastAsia="zh-CN"/>
                    </w:rPr>
                    <w:t>≤</w:t>
                  </w:r>
                  <w:r>
                    <w:rPr>
                      <w:rFonts w:hint="default" w:ascii="Times New Roman" w:hAnsi="Times New Roman" w:eastAsia="Times New Roman" w:cs="Times New Roman"/>
                      <w:color w:val="auto"/>
                      <w:sz w:val="21"/>
                      <w:szCs w:val="21"/>
                      <w:lang w:val="en-US" w:eastAsia="zh-CN"/>
                    </w:rPr>
                    <w:t>1</w:t>
                  </w:r>
                  <w:r>
                    <w:rPr>
                      <w:rFonts w:hint="default" w:ascii="Times New Roman" w:hAnsi="Times New Roman" w:eastAsia="Times New Roman" w:cs="Times New Roman"/>
                      <w:b w:val="0"/>
                      <w:bCs/>
                      <w:color w:val="auto"/>
                      <w:kern w:val="0"/>
                      <w:sz w:val="21"/>
                      <w:szCs w:val="21"/>
                    </w:rPr>
                    <w:t>×</w:t>
                  </w:r>
                  <w:r>
                    <w:rPr>
                      <w:rFonts w:hint="default" w:ascii="Times New Roman" w:hAnsi="Times New Roman" w:eastAsia="Times New Roman" w:cs="Times New Roman"/>
                      <w:color w:val="auto"/>
                      <w:sz w:val="21"/>
                      <w:szCs w:val="21"/>
                      <w:lang w:val="en-US" w:eastAsia="zh-CN"/>
                    </w:rPr>
                    <w:t>10</w:t>
                  </w:r>
                  <w:r>
                    <w:rPr>
                      <w:rFonts w:hint="default" w:ascii="Times New Roman" w:hAnsi="Times New Roman" w:eastAsia="Times New Roman" w:cs="Times New Roman"/>
                      <w:color w:val="auto"/>
                      <w:sz w:val="21"/>
                      <w:szCs w:val="21"/>
                      <w:vertAlign w:val="superscript"/>
                      <w:lang w:val="en-US" w:eastAsia="zh-CN"/>
                    </w:rPr>
                    <w:t>-7</w:t>
                  </w:r>
                  <w:r>
                    <w:rPr>
                      <w:rFonts w:hint="default" w:ascii="Times New Roman" w:hAnsi="Times New Roman" w:eastAsia="Times New Roman" w:cs="Times New Roman"/>
                      <w:color w:val="auto"/>
                      <w:sz w:val="21"/>
                      <w:szCs w:val="21"/>
                      <w:lang w:val="en-US" w:eastAsia="zh-CN"/>
                    </w:rPr>
                    <w:t>cm/s</w:t>
                  </w:r>
                </w:p>
              </w:tc>
            </w:tr>
          </w:tbl>
          <w:p w14:paraId="63337D37">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本项目在确保各项防渗措施得以落实，并加强维护和厂区环境管理的前提下，可有效控制厂区内的危险废物等污染物下渗现象，避免污染地下水和土壤，因此项目不会对区域地下水、土壤环境产生明显影响。</w:t>
            </w:r>
          </w:p>
          <w:p w14:paraId="1A314E7E">
            <w:pPr>
              <w:keepNext w:val="0"/>
              <w:keepLines w:val="0"/>
              <w:suppressLineNumbers w:val="0"/>
              <w:spacing w:before="0" w:beforeAutospacing="0" w:after="0" w:afterAutospacing="0" w:line="440" w:lineRule="exact"/>
              <w:ind w:left="0" w:right="0" w:firstLine="482" w:firstLineChars="200"/>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6、生态</w:t>
            </w:r>
          </w:p>
          <w:p w14:paraId="332D247E">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b/>
                <w:color w:val="0000FF"/>
                <w:sz w:val="24"/>
              </w:rPr>
            </w:pPr>
            <w:r>
              <w:rPr>
                <w:rFonts w:hint="default" w:ascii="Times New Roman" w:hAnsi="Times New Roman" w:eastAsia="宋体" w:cs="Times New Roman"/>
                <w:color w:val="auto"/>
              </w:rPr>
              <w:t>本项目</w:t>
            </w:r>
            <w:r>
              <w:rPr>
                <w:rFonts w:hint="default" w:ascii="Times New Roman" w:hAnsi="Times New Roman" w:eastAsia="宋体" w:cs="Times New Roman"/>
                <w:color w:val="auto"/>
                <w:spacing w:val="-1"/>
                <w:szCs w:val="24"/>
              </w:rPr>
              <w:t>选址位于</w:t>
            </w:r>
            <w:r>
              <w:rPr>
                <w:rFonts w:hint="eastAsia" w:ascii="Times New Roman" w:hAnsi="Times New Roman" w:cs="Times New Roman"/>
                <w:color w:val="auto"/>
                <w:sz w:val="24"/>
                <w:lang w:val="en-US" w:eastAsia="zh-CN"/>
              </w:rPr>
              <w:t>淮南</w:t>
            </w:r>
            <w:r>
              <w:rPr>
                <w:rFonts w:hint="eastAsia" w:ascii="Times New Roman" w:hAnsi="Times New Roman" w:eastAsia="宋体" w:cs="Times New Roman"/>
                <w:color w:val="auto"/>
                <w:sz w:val="24"/>
                <w:lang w:val="en-US" w:eastAsia="zh-CN"/>
              </w:rPr>
              <w:t>市经开区华兴路东侧、庆兴北侧智慧显示产业园</w:t>
            </w:r>
            <w:r>
              <w:rPr>
                <w:rFonts w:hint="eastAsia" w:ascii="Times New Roman" w:hAnsi="Times New Roman" w:cs="Times New Roman"/>
                <w:color w:val="auto"/>
                <w:sz w:val="24"/>
                <w:lang w:val="en-US" w:eastAsia="zh-CN"/>
              </w:rPr>
              <w:t>5#</w:t>
            </w:r>
            <w:r>
              <w:rPr>
                <w:rFonts w:hint="eastAsia" w:ascii="Times New Roman" w:hAnsi="Times New Roman" w:eastAsia="宋体" w:cs="Times New Roman"/>
                <w:color w:val="auto"/>
                <w:sz w:val="24"/>
                <w:lang w:val="en-US" w:eastAsia="zh-CN"/>
              </w:rPr>
              <w:t>厂房</w:t>
            </w:r>
            <w:r>
              <w:rPr>
                <w:rFonts w:hint="eastAsia" w:ascii="Times New Roman" w:hAnsi="Times New Roman" w:cs="Times New Roman"/>
                <w:color w:val="auto"/>
                <w:sz w:val="24"/>
                <w:lang w:val="en-US" w:eastAsia="zh-CN"/>
              </w:rPr>
              <w:t>（西侧区域）</w:t>
            </w:r>
            <w:r>
              <w:rPr>
                <w:rFonts w:hint="default" w:ascii="Times New Roman" w:hAnsi="Times New Roman" w:eastAsia="宋体" w:cs="Times New Roman"/>
                <w:color w:val="auto"/>
              </w:rPr>
              <w:t>，用地性质为工业用地，项目的建设未改变其用地性质，不涉及新增用地，厂区范围内不含有生态环境保护目标，故项目不需开展生态环境影响评价。</w:t>
            </w:r>
          </w:p>
          <w:p w14:paraId="4410BAD7">
            <w:pPr>
              <w:keepNext w:val="0"/>
              <w:keepLines w:val="0"/>
              <w:suppressLineNumbers w:val="0"/>
              <w:spacing w:before="0" w:beforeAutospacing="0" w:after="0" w:afterAutospacing="0" w:line="440" w:lineRule="exact"/>
              <w:ind w:left="0" w:right="0" w:firstLine="480"/>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7、环境风险分析</w:t>
            </w:r>
          </w:p>
          <w:p w14:paraId="4D444BB4">
            <w:pPr>
              <w:keepNext w:val="0"/>
              <w:keepLines w:val="0"/>
              <w:suppressLineNumbers w:val="0"/>
              <w:spacing w:before="0" w:beforeAutospacing="0" w:after="0" w:afterAutospacing="0" w:line="440" w:lineRule="exact"/>
              <w:ind w:left="0" w:right="0" w:firstLine="482"/>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根据《建设项目环境风险评价技术导则》（HJ169-2018）可知：环境风险评价应以突发性事故的危险物质环境急性损害防控为目标，对建设项目的环境风险进行分析、预测和评估，提出环境风险预防、控制、减缓措施，明确环境风险监控及应急建议要求，为建设项目环境风险防控提供科学依据。</w:t>
            </w:r>
          </w:p>
          <w:p w14:paraId="1572D2A7">
            <w:pPr>
              <w:keepNext w:val="0"/>
              <w:keepLines w:val="0"/>
              <w:suppressLineNumbers w:val="0"/>
              <w:spacing w:before="0" w:beforeAutospacing="0" w:after="0" w:afterAutospacing="0" w:line="440" w:lineRule="exact"/>
              <w:ind w:left="0" w:right="0" w:firstLine="482"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（1）风险调查</w:t>
            </w:r>
          </w:p>
          <w:p w14:paraId="747E6B94">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0000FF"/>
                <w:sz w:val="24"/>
                <w:szCs w:val="24"/>
              </w:rPr>
            </w:pPr>
            <w:r>
              <w:rPr>
                <w:rFonts w:hint="default" w:ascii="Times New Roman" w:hAnsi="Times New Roman" w:eastAsia="宋体" w:cs="Times New Roman"/>
                <w:color w:val="auto"/>
              </w:rPr>
              <w:t>对照《建设项目环境风险评价技术导则》（HJ 169-2018）附录B中突发环境事件风险物质及其他危险物质分类</w:t>
            </w:r>
            <w:r>
              <w:rPr>
                <w:rFonts w:hint="default" w:ascii="Times New Roman" w:hAnsi="Times New Roman" w:eastAsia="宋体" w:cs="Times New Roman"/>
                <w:color w:val="auto"/>
                <w:lang w:eastAsia="zh-CN"/>
              </w:rPr>
              <w:t>，</w:t>
            </w:r>
            <w:r>
              <w:rPr>
                <w:rFonts w:hint="default" w:hAnsi="宋体" w:eastAsia="宋体"/>
                <w:color w:val="auto"/>
                <w:sz w:val="24"/>
              </w:rPr>
              <w:t>项目涉及的环境风险物质为</w:t>
            </w:r>
            <w:r>
              <w:rPr>
                <w:rFonts w:hint="eastAsia" w:hAnsi="宋体"/>
                <w:color w:val="auto"/>
                <w:sz w:val="24"/>
                <w:lang w:val="en-US" w:eastAsia="zh-CN"/>
              </w:rPr>
              <w:t>油污、油泥、</w:t>
            </w:r>
            <w:r>
              <w:rPr>
                <w:rFonts w:hint="default" w:hAnsi="宋体" w:eastAsia="宋体"/>
                <w:color w:val="auto"/>
                <w:sz w:val="24"/>
              </w:rPr>
              <w:t>废</w:t>
            </w:r>
            <w:r>
              <w:rPr>
                <w:rFonts w:hint="eastAsia" w:hAnsi="宋体" w:eastAsia="宋体"/>
                <w:color w:val="auto"/>
                <w:sz w:val="24"/>
                <w:lang w:val="en-US" w:eastAsia="zh-CN"/>
              </w:rPr>
              <w:t>润滑油、</w:t>
            </w:r>
            <w:r>
              <w:rPr>
                <w:rFonts w:hint="default" w:ascii="Times New Roman" w:hAnsi="Times New Roman" w:eastAsia="宋体" w:cs="Times New Roman"/>
                <w:color w:val="auto"/>
                <w:sz w:val="24"/>
                <w:szCs w:val="24"/>
              </w:rPr>
              <w:t>废包装桶</w:t>
            </w:r>
            <w:r>
              <w:rPr>
                <w:rFonts w:hint="eastAsia" w:hAnsi="宋体" w:eastAsia="宋体"/>
                <w:color w:val="auto"/>
                <w:sz w:val="24"/>
                <w:szCs w:val="24"/>
                <w:lang w:val="en-US" w:eastAsia="zh-CN"/>
              </w:rPr>
              <w:t>、废活性炭</w:t>
            </w:r>
            <w:r>
              <w:rPr>
                <w:rFonts w:hint="eastAsia" w:hAnsi="宋体" w:eastAsia="宋体"/>
                <w:color w:val="auto"/>
                <w:sz w:val="24"/>
                <w:szCs w:val="24"/>
              </w:rPr>
              <w:t>等</w:t>
            </w:r>
            <w:r>
              <w:rPr>
                <w:rFonts w:hint="default" w:hAnsi="宋体" w:eastAsia="宋体"/>
                <w:color w:val="auto"/>
                <w:sz w:val="24"/>
                <w:szCs w:val="24"/>
              </w:rPr>
              <w:t>。</w:t>
            </w:r>
          </w:p>
          <w:p w14:paraId="78F1E29C">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项目</w:t>
            </w:r>
            <w:r>
              <w:rPr>
                <w:rFonts w:hint="default" w:ascii="Times New Roman" w:hAnsi="Times New Roman" w:eastAsia="宋体" w:cs="Times New Roman"/>
                <w:color w:val="auto"/>
                <w:lang w:val="en-US" w:eastAsia="zh-CN"/>
              </w:rPr>
              <w:t>主要</w:t>
            </w:r>
            <w:r>
              <w:rPr>
                <w:rFonts w:hint="default" w:ascii="Times New Roman" w:hAnsi="Times New Roman" w:eastAsia="宋体" w:cs="Times New Roman"/>
                <w:color w:val="auto"/>
              </w:rPr>
              <w:t>危险物质数量和分布情况详见下表。</w:t>
            </w:r>
          </w:p>
          <w:p w14:paraId="1F194D85">
            <w:pPr>
              <w:pStyle w:val="63"/>
              <w:keepNext w:val="0"/>
              <w:keepLines w:val="0"/>
              <w:suppressLineNumbers w:val="0"/>
              <w:spacing w:before="0" w:beforeAutospacing="0" w:after="0" w:afterAutospacing="0"/>
              <w:ind w:left="0" w:right="0"/>
              <w:rPr>
                <w:rFonts w:hint="default" w:ascii="Times New Roman" w:hAnsi="Times New Roman" w:eastAsia="宋体" w:cs="Times New Roman"/>
                <w:color w:val="auto"/>
              </w:rPr>
            </w:pPr>
            <w:r>
              <w:rPr>
                <w:rFonts w:hint="default" w:ascii="Times New Roman" w:hAnsi="Times New Roman" w:eastAsia="宋体" w:cs="Times New Roman"/>
                <w:color w:val="auto"/>
              </w:rPr>
              <w:t>表4-</w:t>
            </w:r>
            <w:r>
              <w:rPr>
                <w:rFonts w:hint="eastAsia" w:cs="Times New Roman"/>
                <w:color w:val="auto"/>
                <w:lang w:val="en-US" w:eastAsia="zh-CN"/>
              </w:rPr>
              <w:t>27</w:t>
            </w:r>
            <w:r>
              <w:rPr>
                <w:rFonts w:hint="default" w:ascii="Times New Roman" w:hAnsi="Times New Roman" w:eastAsia="宋体" w:cs="Times New Roman"/>
                <w:color w:val="auto"/>
              </w:rPr>
              <w:t xml:space="preserve">  项目危险物质数量和分布情况一览表</w:t>
            </w:r>
          </w:p>
          <w:tbl>
            <w:tblPr>
              <w:tblStyle w:val="5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820"/>
              <w:gridCol w:w="1789"/>
              <w:gridCol w:w="888"/>
              <w:gridCol w:w="1346"/>
              <w:gridCol w:w="1008"/>
              <w:gridCol w:w="1168"/>
            </w:tblGrid>
            <w:tr w14:paraId="69D3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28" w:type="pct"/>
                  <w:vMerge w:val="restart"/>
                  <w:noWrap w:val="0"/>
                  <w:vAlign w:val="center"/>
                </w:tcPr>
                <w:p w14:paraId="26FE0274">
                  <w:pPr>
                    <w:keepNext w:val="0"/>
                    <w:keepLines w:val="0"/>
                    <w:suppressLineNumbers w:val="0"/>
                    <w:autoSpaceDE w:val="0"/>
                    <w:autoSpaceDN w:val="0"/>
                    <w:adjustRightInd w:val="0"/>
                    <w:spacing w:before="0" w:beforeAutospacing="0" w:after="0" w:afterAutospacing="0"/>
                    <w:ind w:left="-105" w:leftChars="-50" w:right="-105" w:rightChars="-5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序号</w:t>
                  </w:r>
                </w:p>
              </w:tc>
              <w:tc>
                <w:tcPr>
                  <w:tcW w:w="1060" w:type="pct"/>
                  <w:vMerge w:val="restart"/>
                  <w:noWrap w:val="0"/>
                  <w:vAlign w:val="center"/>
                </w:tcPr>
                <w:p w14:paraId="785594A5">
                  <w:pPr>
                    <w:keepNext w:val="0"/>
                    <w:keepLines w:val="0"/>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物料名称</w:t>
                  </w:r>
                </w:p>
              </w:tc>
              <w:tc>
                <w:tcPr>
                  <w:tcW w:w="1042" w:type="pct"/>
                  <w:vMerge w:val="restart"/>
                  <w:noWrap w:val="0"/>
                  <w:vAlign w:val="center"/>
                </w:tcPr>
                <w:p w14:paraId="460C120B">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危险性</w:t>
                  </w:r>
                </w:p>
                <w:p w14:paraId="392E3131">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类别</w:t>
                  </w:r>
                </w:p>
              </w:tc>
              <w:tc>
                <w:tcPr>
                  <w:tcW w:w="517" w:type="pct"/>
                  <w:vMerge w:val="restart"/>
                  <w:noWrap w:val="0"/>
                  <w:vAlign w:val="center"/>
                </w:tcPr>
                <w:p w14:paraId="27102997">
                  <w:pPr>
                    <w:keepNext w:val="0"/>
                    <w:keepLines w:val="0"/>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状态</w:t>
                  </w:r>
                </w:p>
              </w:tc>
              <w:tc>
                <w:tcPr>
                  <w:tcW w:w="2051" w:type="pct"/>
                  <w:gridSpan w:val="3"/>
                  <w:noWrap w:val="0"/>
                  <w:vAlign w:val="center"/>
                </w:tcPr>
                <w:p w14:paraId="7EDA745A">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bCs/>
                      <w:color w:val="auto"/>
                      <w:sz w:val="21"/>
                      <w:szCs w:val="21"/>
                    </w:rPr>
                    <w:t>危险物质量（t）</w:t>
                  </w:r>
                </w:p>
              </w:tc>
            </w:tr>
            <w:tr w14:paraId="47277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28" w:type="pct"/>
                  <w:vMerge w:val="continue"/>
                  <w:noWrap w:val="0"/>
                  <w:vAlign w:val="center"/>
                </w:tcPr>
                <w:p w14:paraId="3F20EA64">
                  <w:pPr>
                    <w:keepNext w:val="0"/>
                    <w:keepLines w:val="0"/>
                    <w:suppressLineNumbers w:val="0"/>
                    <w:autoSpaceDE w:val="0"/>
                    <w:autoSpaceDN w:val="0"/>
                    <w:adjustRightInd w:val="0"/>
                    <w:spacing w:before="0" w:beforeAutospacing="0" w:after="0" w:afterAutospacing="0"/>
                    <w:ind w:left="-105" w:leftChars="-50" w:right="-105" w:rightChars="-50"/>
                    <w:jc w:val="center"/>
                    <w:rPr>
                      <w:rFonts w:hint="default" w:ascii="Times New Roman" w:hAnsi="Times New Roman" w:eastAsia="宋体" w:cs="Times New Roman"/>
                      <w:b/>
                      <w:color w:val="auto"/>
                      <w:kern w:val="0"/>
                      <w:sz w:val="21"/>
                      <w:szCs w:val="21"/>
                    </w:rPr>
                  </w:pPr>
                </w:p>
              </w:tc>
              <w:tc>
                <w:tcPr>
                  <w:tcW w:w="1060" w:type="pct"/>
                  <w:vMerge w:val="continue"/>
                  <w:noWrap w:val="0"/>
                  <w:vAlign w:val="center"/>
                </w:tcPr>
                <w:p w14:paraId="12C16D8E">
                  <w:pPr>
                    <w:keepNext w:val="0"/>
                    <w:keepLines w:val="0"/>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b/>
                      <w:color w:val="auto"/>
                      <w:kern w:val="0"/>
                      <w:sz w:val="21"/>
                      <w:szCs w:val="21"/>
                    </w:rPr>
                  </w:pPr>
                </w:p>
              </w:tc>
              <w:tc>
                <w:tcPr>
                  <w:tcW w:w="1042" w:type="pct"/>
                  <w:vMerge w:val="continue"/>
                  <w:noWrap w:val="0"/>
                  <w:vAlign w:val="center"/>
                </w:tcPr>
                <w:p w14:paraId="41B30F69">
                  <w:pPr>
                    <w:keepNext w:val="0"/>
                    <w:keepLines w:val="0"/>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b/>
                      <w:color w:val="auto"/>
                      <w:kern w:val="0"/>
                      <w:sz w:val="21"/>
                      <w:szCs w:val="21"/>
                    </w:rPr>
                  </w:pPr>
                </w:p>
              </w:tc>
              <w:tc>
                <w:tcPr>
                  <w:tcW w:w="517" w:type="pct"/>
                  <w:vMerge w:val="continue"/>
                  <w:noWrap w:val="0"/>
                  <w:vAlign w:val="center"/>
                </w:tcPr>
                <w:p w14:paraId="0B1C9819">
                  <w:pPr>
                    <w:keepNext w:val="0"/>
                    <w:keepLines w:val="0"/>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b/>
                      <w:color w:val="auto"/>
                      <w:kern w:val="0"/>
                      <w:sz w:val="21"/>
                      <w:szCs w:val="21"/>
                    </w:rPr>
                  </w:pPr>
                </w:p>
              </w:tc>
              <w:tc>
                <w:tcPr>
                  <w:tcW w:w="784" w:type="pct"/>
                  <w:noWrap w:val="0"/>
                  <w:vAlign w:val="center"/>
                </w:tcPr>
                <w:p w14:paraId="35FE2166">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bCs/>
                      <w:color w:val="auto"/>
                      <w:sz w:val="21"/>
                      <w:szCs w:val="21"/>
                    </w:rPr>
                    <w:t>最大贮存量</w:t>
                  </w:r>
                </w:p>
              </w:tc>
              <w:tc>
                <w:tcPr>
                  <w:tcW w:w="587" w:type="pct"/>
                  <w:noWrap w:val="0"/>
                  <w:vAlign w:val="center"/>
                </w:tcPr>
                <w:p w14:paraId="612DBAB0">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bCs/>
                      <w:color w:val="auto"/>
                      <w:sz w:val="21"/>
                      <w:szCs w:val="21"/>
                    </w:rPr>
                    <w:t>在线量</w:t>
                  </w:r>
                </w:p>
              </w:tc>
              <w:tc>
                <w:tcPr>
                  <w:tcW w:w="680" w:type="pct"/>
                  <w:noWrap w:val="0"/>
                  <w:vAlign w:val="center"/>
                </w:tcPr>
                <w:p w14:paraId="3C8ED47A">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bCs/>
                      <w:color w:val="auto"/>
                      <w:sz w:val="21"/>
                      <w:szCs w:val="21"/>
                    </w:rPr>
                    <w:t>小计</w:t>
                  </w:r>
                </w:p>
              </w:tc>
            </w:tr>
            <w:tr w14:paraId="1F9D8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28" w:type="pct"/>
                  <w:noWrap w:val="0"/>
                  <w:vAlign w:val="center"/>
                </w:tcPr>
                <w:p w14:paraId="6A134847">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1060" w:type="pct"/>
                  <w:noWrap w:val="0"/>
                  <w:vAlign w:val="center"/>
                </w:tcPr>
                <w:p w14:paraId="002E67AA">
                  <w:pPr>
                    <w:pStyle w:val="144"/>
                    <w:keepNext w:val="0"/>
                    <w:keepLines w:val="0"/>
                    <w:suppressLineNumbers w:val="0"/>
                    <w:spacing w:before="0" w:beforeAutospacing="0" w:after="0" w:afterAutospacing="0"/>
                    <w:ind w:left="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油污</w:t>
                  </w:r>
                </w:p>
              </w:tc>
              <w:tc>
                <w:tcPr>
                  <w:tcW w:w="1042" w:type="pct"/>
                  <w:noWrap w:val="0"/>
                  <w:vAlign w:val="center"/>
                </w:tcPr>
                <w:p w14:paraId="32AE23B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有毒</w:t>
                  </w:r>
                </w:p>
              </w:tc>
              <w:tc>
                <w:tcPr>
                  <w:tcW w:w="517" w:type="pct"/>
                  <w:noWrap w:val="0"/>
                  <w:vAlign w:val="center"/>
                </w:tcPr>
                <w:p w14:paraId="79EB4340">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固态</w:t>
                  </w:r>
                </w:p>
              </w:tc>
              <w:tc>
                <w:tcPr>
                  <w:tcW w:w="784" w:type="pct"/>
                  <w:noWrap w:val="0"/>
                  <w:vAlign w:val="center"/>
                </w:tcPr>
                <w:p w14:paraId="1C397EC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0.485 </w:t>
                  </w:r>
                </w:p>
              </w:tc>
              <w:tc>
                <w:tcPr>
                  <w:tcW w:w="587" w:type="pct"/>
                  <w:noWrap w:val="0"/>
                  <w:vAlign w:val="center"/>
                </w:tcPr>
                <w:p w14:paraId="16DEA8A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w:t>
                  </w:r>
                </w:p>
              </w:tc>
              <w:tc>
                <w:tcPr>
                  <w:tcW w:w="1168" w:type="dxa"/>
                  <w:noWrap w:val="0"/>
                  <w:vAlign w:val="center"/>
                </w:tcPr>
                <w:p w14:paraId="03BA46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0.485 </w:t>
                  </w:r>
                </w:p>
              </w:tc>
            </w:tr>
            <w:tr w14:paraId="3397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28" w:type="pct"/>
                  <w:noWrap w:val="0"/>
                  <w:vAlign w:val="center"/>
                </w:tcPr>
                <w:p w14:paraId="7638E6E3">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060" w:type="pct"/>
                  <w:noWrap w:val="0"/>
                  <w:vAlign w:val="center"/>
                </w:tcPr>
                <w:p w14:paraId="63462835">
                  <w:pPr>
                    <w:pStyle w:val="144"/>
                    <w:keepNext w:val="0"/>
                    <w:keepLines w:val="0"/>
                    <w:suppressLineNumbers w:val="0"/>
                    <w:spacing w:before="0" w:beforeAutospacing="0" w:after="0" w:afterAutospacing="0"/>
                    <w:ind w:left="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油泥</w:t>
                  </w:r>
                </w:p>
              </w:tc>
              <w:tc>
                <w:tcPr>
                  <w:tcW w:w="1042" w:type="pct"/>
                  <w:noWrap w:val="0"/>
                  <w:vAlign w:val="center"/>
                </w:tcPr>
                <w:p w14:paraId="281AD07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有毒</w:t>
                  </w:r>
                </w:p>
              </w:tc>
              <w:tc>
                <w:tcPr>
                  <w:tcW w:w="517" w:type="pct"/>
                  <w:noWrap w:val="0"/>
                  <w:vAlign w:val="center"/>
                </w:tcPr>
                <w:p w14:paraId="055C5345">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固态</w:t>
                  </w:r>
                </w:p>
              </w:tc>
              <w:tc>
                <w:tcPr>
                  <w:tcW w:w="784" w:type="pct"/>
                  <w:noWrap w:val="0"/>
                  <w:vAlign w:val="center"/>
                </w:tcPr>
                <w:p w14:paraId="584EE5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w:t>
                  </w:r>
                </w:p>
              </w:tc>
              <w:tc>
                <w:tcPr>
                  <w:tcW w:w="587" w:type="pct"/>
                  <w:noWrap w:val="0"/>
                  <w:vAlign w:val="center"/>
                </w:tcPr>
                <w:p w14:paraId="0088BD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w:t>
                  </w:r>
                </w:p>
              </w:tc>
              <w:tc>
                <w:tcPr>
                  <w:tcW w:w="1168" w:type="dxa"/>
                  <w:noWrap w:val="0"/>
                  <w:vAlign w:val="center"/>
                </w:tcPr>
                <w:p w14:paraId="4CEE8A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w:t>
                  </w:r>
                </w:p>
              </w:tc>
            </w:tr>
            <w:tr w14:paraId="10CDB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28" w:type="pct"/>
                  <w:noWrap w:val="0"/>
                  <w:vAlign w:val="center"/>
                </w:tcPr>
                <w:p w14:paraId="547BDDA8">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1060" w:type="pct"/>
                  <w:noWrap w:val="0"/>
                  <w:vAlign w:val="center"/>
                </w:tcPr>
                <w:p w14:paraId="3681FD02">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废活性炭</w:t>
                  </w:r>
                </w:p>
              </w:tc>
              <w:tc>
                <w:tcPr>
                  <w:tcW w:w="1042" w:type="pct"/>
                  <w:noWrap w:val="0"/>
                  <w:vAlign w:val="center"/>
                </w:tcPr>
                <w:p w14:paraId="0A1D6D7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有毒</w:t>
                  </w:r>
                </w:p>
              </w:tc>
              <w:tc>
                <w:tcPr>
                  <w:tcW w:w="517" w:type="pct"/>
                  <w:noWrap w:val="0"/>
                  <w:vAlign w:val="center"/>
                </w:tcPr>
                <w:p w14:paraId="3B0CA379">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固态</w:t>
                  </w:r>
                </w:p>
              </w:tc>
              <w:tc>
                <w:tcPr>
                  <w:tcW w:w="784" w:type="pct"/>
                  <w:noWrap w:val="0"/>
                  <w:vAlign w:val="center"/>
                </w:tcPr>
                <w:p w14:paraId="0F2F9BB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0.558 </w:t>
                  </w:r>
                </w:p>
              </w:tc>
              <w:tc>
                <w:tcPr>
                  <w:tcW w:w="587" w:type="pct"/>
                  <w:noWrap w:val="0"/>
                  <w:vAlign w:val="center"/>
                </w:tcPr>
                <w:p w14:paraId="37E7A9F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168" w:type="dxa"/>
                  <w:noWrap w:val="0"/>
                  <w:vAlign w:val="center"/>
                </w:tcPr>
                <w:p w14:paraId="3CDAC4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0.558 </w:t>
                  </w:r>
                </w:p>
              </w:tc>
            </w:tr>
            <w:tr w14:paraId="12A5D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328" w:type="pct"/>
                  <w:noWrap w:val="0"/>
                  <w:vAlign w:val="center"/>
                </w:tcPr>
                <w:p w14:paraId="6BC1D084">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p>
              </w:tc>
              <w:tc>
                <w:tcPr>
                  <w:tcW w:w="1060" w:type="pct"/>
                  <w:noWrap w:val="0"/>
                  <w:vAlign w:val="center"/>
                </w:tcPr>
                <w:p w14:paraId="13FE0F8B">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w:t>
                  </w:r>
                  <w:r>
                    <w:rPr>
                      <w:rFonts w:hint="default" w:ascii="Times New Roman" w:hAnsi="Times New Roman" w:eastAsia="宋体" w:cs="Times New Roman"/>
                      <w:color w:val="auto"/>
                      <w:sz w:val="21"/>
                      <w:szCs w:val="21"/>
                      <w:lang w:val="en-US" w:eastAsia="zh-CN"/>
                    </w:rPr>
                    <w:t>润滑油</w:t>
                  </w:r>
                </w:p>
              </w:tc>
              <w:tc>
                <w:tcPr>
                  <w:tcW w:w="1042" w:type="pct"/>
                  <w:noWrap w:val="0"/>
                  <w:vAlign w:val="center"/>
                </w:tcPr>
                <w:p w14:paraId="39065F4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有毒、易燃物质</w:t>
                  </w:r>
                </w:p>
              </w:tc>
              <w:tc>
                <w:tcPr>
                  <w:tcW w:w="517" w:type="pct"/>
                  <w:noWrap w:val="0"/>
                  <w:vAlign w:val="center"/>
                </w:tcPr>
                <w:p w14:paraId="3FCEF177">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液</w:t>
                  </w:r>
                  <w:r>
                    <w:rPr>
                      <w:rFonts w:hint="default" w:ascii="Times New Roman" w:hAnsi="Times New Roman" w:eastAsia="宋体" w:cs="Times New Roman"/>
                      <w:color w:val="auto"/>
                      <w:sz w:val="21"/>
                      <w:szCs w:val="21"/>
                    </w:rPr>
                    <w:t>态</w:t>
                  </w:r>
                </w:p>
              </w:tc>
              <w:tc>
                <w:tcPr>
                  <w:tcW w:w="784" w:type="pct"/>
                  <w:noWrap w:val="0"/>
                  <w:vAlign w:val="center"/>
                </w:tcPr>
                <w:p w14:paraId="26CC03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0.060 </w:t>
                  </w:r>
                </w:p>
              </w:tc>
              <w:tc>
                <w:tcPr>
                  <w:tcW w:w="587" w:type="pct"/>
                  <w:noWrap w:val="0"/>
                  <w:vAlign w:val="center"/>
                </w:tcPr>
                <w:p w14:paraId="17D7709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w:t>
                  </w:r>
                </w:p>
              </w:tc>
              <w:tc>
                <w:tcPr>
                  <w:tcW w:w="1168" w:type="dxa"/>
                  <w:noWrap w:val="0"/>
                  <w:vAlign w:val="center"/>
                </w:tcPr>
                <w:p w14:paraId="2D04BF5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0.060 </w:t>
                  </w:r>
                </w:p>
              </w:tc>
            </w:tr>
            <w:tr w14:paraId="7BEA2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328" w:type="pct"/>
                  <w:noWrap w:val="0"/>
                  <w:vAlign w:val="center"/>
                </w:tcPr>
                <w:p w14:paraId="2CD70EED">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5</w:t>
                  </w:r>
                </w:p>
              </w:tc>
              <w:tc>
                <w:tcPr>
                  <w:tcW w:w="1060" w:type="pct"/>
                  <w:noWrap w:val="0"/>
                  <w:vAlign w:val="center"/>
                </w:tcPr>
                <w:p w14:paraId="40562255">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废包装桶</w:t>
                  </w:r>
                </w:p>
              </w:tc>
              <w:tc>
                <w:tcPr>
                  <w:tcW w:w="1042" w:type="pct"/>
                  <w:noWrap w:val="0"/>
                  <w:vAlign w:val="center"/>
                </w:tcPr>
                <w:p w14:paraId="5DB82356">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有毒、易燃物质</w:t>
                  </w:r>
                </w:p>
              </w:tc>
              <w:tc>
                <w:tcPr>
                  <w:tcW w:w="517" w:type="pct"/>
                  <w:noWrap w:val="0"/>
                  <w:vAlign w:val="center"/>
                </w:tcPr>
                <w:p w14:paraId="11EF0335">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固态</w:t>
                  </w:r>
                </w:p>
              </w:tc>
              <w:tc>
                <w:tcPr>
                  <w:tcW w:w="784" w:type="pct"/>
                  <w:noWrap w:val="0"/>
                  <w:vAlign w:val="center"/>
                </w:tcPr>
                <w:p w14:paraId="00356A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ascii="Times New Roman" w:hAnsi="Times New Roman" w:eastAsia="宋体" w:cs="Times New Roman"/>
                      <w:i w:val="0"/>
                      <w:iCs w:val="0"/>
                      <w:color w:val="auto"/>
                      <w:kern w:val="0"/>
                      <w:sz w:val="21"/>
                      <w:szCs w:val="21"/>
                      <w:u w:val="none"/>
                      <w:lang w:val="en-US" w:eastAsia="zh-CN" w:bidi="ar"/>
                    </w:rPr>
                    <w:t>09</w:t>
                  </w:r>
                  <w:r>
                    <w:rPr>
                      <w:rFonts w:hint="default" w:ascii="Times New Roman" w:hAnsi="Times New Roman" w:eastAsia="宋体" w:cs="Times New Roman"/>
                      <w:i w:val="0"/>
                      <w:iCs w:val="0"/>
                      <w:color w:val="auto"/>
                      <w:kern w:val="0"/>
                      <w:sz w:val="21"/>
                      <w:szCs w:val="21"/>
                      <w:u w:val="none"/>
                      <w:lang w:val="en-US" w:eastAsia="zh-CN" w:bidi="ar"/>
                    </w:rPr>
                    <w:t xml:space="preserve">3 </w:t>
                  </w:r>
                </w:p>
              </w:tc>
              <w:tc>
                <w:tcPr>
                  <w:tcW w:w="587" w:type="pct"/>
                  <w:noWrap w:val="0"/>
                  <w:vAlign w:val="center"/>
                </w:tcPr>
                <w:p w14:paraId="1065920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w:t>
                  </w:r>
                </w:p>
              </w:tc>
              <w:tc>
                <w:tcPr>
                  <w:tcW w:w="1168" w:type="dxa"/>
                  <w:noWrap w:val="0"/>
                  <w:vAlign w:val="center"/>
                </w:tcPr>
                <w:p w14:paraId="0F3731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ascii="Times New Roman" w:hAnsi="Times New Roman" w:eastAsia="宋体" w:cs="Times New Roman"/>
                      <w:i w:val="0"/>
                      <w:iCs w:val="0"/>
                      <w:color w:val="auto"/>
                      <w:kern w:val="0"/>
                      <w:sz w:val="21"/>
                      <w:szCs w:val="21"/>
                      <w:u w:val="none"/>
                      <w:lang w:val="en-US" w:eastAsia="zh-CN" w:bidi="ar"/>
                    </w:rPr>
                    <w:t>09</w:t>
                  </w:r>
                  <w:r>
                    <w:rPr>
                      <w:rFonts w:hint="default" w:ascii="Times New Roman" w:hAnsi="Times New Roman" w:eastAsia="宋体" w:cs="Times New Roman"/>
                      <w:i w:val="0"/>
                      <w:iCs w:val="0"/>
                      <w:color w:val="auto"/>
                      <w:kern w:val="0"/>
                      <w:sz w:val="21"/>
                      <w:szCs w:val="21"/>
                      <w:u w:val="none"/>
                      <w:lang w:val="en-US" w:eastAsia="zh-CN" w:bidi="ar"/>
                    </w:rPr>
                    <w:t xml:space="preserve">3 </w:t>
                  </w:r>
                </w:p>
              </w:tc>
            </w:tr>
            <w:tr w14:paraId="2C6F6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328" w:type="pct"/>
                  <w:noWrap w:val="0"/>
                  <w:vAlign w:val="center"/>
                </w:tcPr>
                <w:p w14:paraId="0053C0F7">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6</w:t>
                  </w:r>
                </w:p>
              </w:tc>
              <w:tc>
                <w:tcPr>
                  <w:tcW w:w="1060" w:type="pct"/>
                  <w:noWrap w:val="0"/>
                  <w:vAlign w:val="center"/>
                </w:tcPr>
                <w:p w14:paraId="7FB60A1F">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淬火油</w:t>
                  </w:r>
                </w:p>
              </w:tc>
              <w:tc>
                <w:tcPr>
                  <w:tcW w:w="1042" w:type="pct"/>
                  <w:noWrap w:val="0"/>
                  <w:vAlign w:val="center"/>
                </w:tcPr>
                <w:p w14:paraId="4DA4A5BB">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有毒、易燃物质</w:t>
                  </w:r>
                </w:p>
              </w:tc>
              <w:tc>
                <w:tcPr>
                  <w:tcW w:w="517" w:type="pct"/>
                  <w:noWrap w:val="0"/>
                  <w:vAlign w:val="center"/>
                </w:tcPr>
                <w:p w14:paraId="5DEBD91B">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液态</w:t>
                  </w:r>
                </w:p>
              </w:tc>
              <w:tc>
                <w:tcPr>
                  <w:tcW w:w="784" w:type="pct"/>
                  <w:noWrap w:val="0"/>
                  <w:vAlign w:val="center"/>
                </w:tcPr>
                <w:p w14:paraId="7073F28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w:t>
                  </w:r>
                </w:p>
              </w:tc>
              <w:tc>
                <w:tcPr>
                  <w:tcW w:w="587" w:type="pct"/>
                  <w:noWrap w:val="0"/>
                  <w:vAlign w:val="center"/>
                </w:tcPr>
                <w:p w14:paraId="12AE13A8">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3</w:t>
                  </w:r>
                </w:p>
              </w:tc>
              <w:tc>
                <w:tcPr>
                  <w:tcW w:w="680" w:type="pct"/>
                  <w:noWrap w:val="0"/>
                  <w:vAlign w:val="center"/>
                </w:tcPr>
                <w:p w14:paraId="16BF307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4.2</w:t>
                  </w:r>
                </w:p>
              </w:tc>
            </w:tr>
            <w:tr w14:paraId="50F55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563" w:type="dxa"/>
                  <w:noWrap w:val="0"/>
                  <w:vAlign w:val="center"/>
                </w:tcPr>
                <w:p w14:paraId="4998F5CF">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7</w:t>
                  </w:r>
                </w:p>
              </w:tc>
              <w:tc>
                <w:tcPr>
                  <w:tcW w:w="1060" w:type="pct"/>
                  <w:noWrap w:val="0"/>
                  <w:vAlign w:val="center"/>
                </w:tcPr>
                <w:p w14:paraId="4C21459C">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废过滤棉</w:t>
                  </w:r>
                </w:p>
              </w:tc>
              <w:tc>
                <w:tcPr>
                  <w:tcW w:w="1789" w:type="dxa"/>
                  <w:noWrap w:val="0"/>
                  <w:vAlign w:val="center"/>
                </w:tcPr>
                <w:p w14:paraId="05E52C5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有毒</w:t>
                  </w:r>
                </w:p>
              </w:tc>
              <w:tc>
                <w:tcPr>
                  <w:tcW w:w="888" w:type="dxa"/>
                  <w:noWrap w:val="0"/>
                  <w:vAlign w:val="center"/>
                </w:tcPr>
                <w:p w14:paraId="7775B9B7">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固态</w:t>
                  </w:r>
                </w:p>
              </w:tc>
              <w:tc>
                <w:tcPr>
                  <w:tcW w:w="784" w:type="pct"/>
                  <w:noWrap w:val="0"/>
                  <w:vAlign w:val="center"/>
                </w:tcPr>
                <w:p w14:paraId="4406C7E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0.056</w:t>
                  </w:r>
                </w:p>
              </w:tc>
              <w:tc>
                <w:tcPr>
                  <w:tcW w:w="587" w:type="pct"/>
                  <w:noWrap w:val="0"/>
                  <w:vAlign w:val="center"/>
                </w:tcPr>
                <w:p w14:paraId="051EE239">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680" w:type="pct"/>
                  <w:noWrap w:val="0"/>
                  <w:vAlign w:val="center"/>
                </w:tcPr>
                <w:p w14:paraId="0138F9C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0.056</w:t>
                  </w:r>
                </w:p>
              </w:tc>
            </w:tr>
            <w:tr w14:paraId="5F8EF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563" w:type="dxa"/>
                  <w:noWrap w:val="0"/>
                  <w:vAlign w:val="center"/>
                </w:tcPr>
                <w:p w14:paraId="2718364A">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8</w:t>
                  </w:r>
                </w:p>
              </w:tc>
              <w:tc>
                <w:tcPr>
                  <w:tcW w:w="1060" w:type="pct"/>
                  <w:noWrap w:val="0"/>
                  <w:vAlign w:val="center"/>
                </w:tcPr>
                <w:p w14:paraId="127A1929">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丙烷</w:t>
                  </w:r>
                </w:p>
              </w:tc>
              <w:tc>
                <w:tcPr>
                  <w:tcW w:w="1042" w:type="pct"/>
                  <w:noWrap w:val="0"/>
                  <w:vAlign w:val="center"/>
                </w:tcPr>
                <w:p w14:paraId="066C4D2F">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易燃物质</w:t>
                  </w:r>
                </w:p>
              </w:tc>
              <w:tc>
                <w:tcPr>
                  <w:tcW w:w="517" w:type="pct"/>
                  <w:noWrap w:val="0"/>
                  <w:vAlign w:val="center"/>
                </w:tcPr>
                <w:p w14:paraId="00E7A2DC">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液态</w:t>
                  </w:r>
                </w:p>
              </w:tc>
              <w:tc>
                <w:tcPr>
                  <w:tcW w:w="784" w:type="pct"/>
                  <w:noWrap w:val="0"/>
                  <w:vAlign w:val="center"/>
                </w:tcPr>
                <w:p w14:paraId="779D58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2.1</w:t>
                  </w:r>
                </w:p>
              </w:tc>
              <w:tc>
                <w:tcPr>
                  <w:tcW w:w="587" w:type="pct"/>
                  <w:noWrap w:val="0"/>
                  <w:vAlign w:val="center"/>
                </w:tcPr>
                <w:p w14:paraId="679BAED5">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1168" w:type="dxa"/>
                  <w:noWrap w:val="0"/>
                  <w:vAlign w:val="center"/>
                </w:tcPr>
                <w:p w14:paraId="0FBC1F9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2.1</w:t>
                  </w:r>
                </w:p>
              </w:tc>
            </w:tr>
            <w:tr w14:paraId="0BDDB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563" w:type="dxa"/>
                  <w:noWrap w:val="0"/>
                  <w:vAlign w:val="center"/>
                </w:tcPr>
                <w:p w14:paraId="4B053276">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9</w:t>
                  </w:r>
                </w:p>
              </w:tc>
              <w:tc>
                <w:tcPr>
                  <w:tcW w:w="1060" w:type="pct"/>
                  <w:noWrap w:val="0"/>
                  <w:vAlign w:val="center"/>
                </w:tcPr>
                <w:p w14:paraId="0C1A15AD">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甲醇</w:t>
                  </w:r>
                </w:p>
              </w:tc>
              <w:tc>
                <w:tcPr>
                  <w:tcW w:w="1042" w:type="pct"/>
                  <w:noWrap w:val="0"/>
                  <w:vAlign w:val="center"/>
                </w:tcPr>
                <w:p w14:paraId="01E24A83">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易燃物质</w:t>
                  </w:r>
                </w:p>
              </w:tc>
              <w:tc>
                <w:tcPr>
                  <w:tcW w:w="517" w:type="pct"/>
                  <w:noWrap w:val="0"/>
                  <w:vAlign w:val="center"/>
                </w:tcPr>
                <w:p w14:paraId="2D1FD91A">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液态</w:t>
                  </w:r>
                </w:p>
              </w:tc>
              <w:tc>
                <w:tcPr>
                  <w:tcW w:w="784" w:type="pct"/>
                  <w:noWrap w:val="0"/>
                  <w:vAlign w:val="center"/>
                </w:tcPr>
                <w:p w14:paraId="4999AC4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3</w:t>
                  </w:r>
                </w:p>
              </w:tc>
              <w:tc>
                <w:tcPr>
                  <w:tcW w:w="587" w:type="pct"/>
                  <w:noWrap w:val="0"/>
                  <w:vAlign w:val="center"/>
                </w:tcPr>
                <w:p w14:paraId="53FB0EE7">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1168" w:type="dxa"/>
                  <w:noWrap w:val="0"/>
                  <w:vAlign w:val="center"/>
                </w:tcPr>
                <w:p w14:paraId="1A7243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3</w:t>
                  </w:r>
                </w:p>
              </w:tc>
            </w:tr>
            <w:tr w14:paraId="3ABE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563" w:type="dxa"/>
                  <w:noWrap w:val="0"/>
                  <w:vAlign w:val="center"/>
                </w:tcPr>
                <w:p w14:paraId="122190F6">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10</w:t>
                  </w:r>
                </w:p>
              </w:tc>
              <w:tc>
                <w:tcPr>
                  <w:tcW w:w="1060" w:type="pct"/>
                  <w:noWrap w:val="0"/>
                  <w:vAlign w:val="center"/>
                </w:tcPr>
                <w:p w14:paraId="57E8A510">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润滑油</w:t>
                  </w:r>
                </w:p>
              </w:tc>
              <w:tc>
                <w:tcPr>
                  <w:tcW w:w="1042" w:type="pct"/>
                  <w:noWrap w:val="0"/>
                  <w:vAlign w:val="center"/>
                </w:tcPr>
                <w:p w14:paraId="45A29C34">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有毒、易燃物质</w:t>
                  </w:r>
                </w:p>
              </w:tc>
              <w:tc>
                <w:tcPr>
                  <w:tcW w:w="517" w:type="pct"/>
                  <w:noWrap w:val="0"/>
                  <w:vAlign w:val="center"/>
                </w:tcPr>
                <w:p w14:paraId="6023E534">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液态</w:t>
                  </w:r>
                </w:p>
              </w:tc>
              <w:tc>
                <w:tcPr>
                  <w:tcW w:w="784" w:type="pct"/>
                  <w:noWrap w:val="0"/>
                  <w:vAlign w:val="center"/>
                </w:tcPr>
                <w:p w14:paraId="2A7562E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0.4</w:t>
                  </w:r>
                </w:p>
              </w:tc>
              <w:tc>
                <w:tcPr>
                  <w:tcW w:w="587" w:type="pct"/>
                  <w:noWrap w:val="0"/>
                  <w:vAlign w:val="center"/>
                </w:tcPr>
                <w:p w14:paraId="7257C7B6">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168" w:type="dxa"/>
                  <w:noWrap w:val="0"/>
                  <w:vAlign w:val="center"/>
                </w:tcPr>
                <w:p w14:paraId="6A6EB1F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0.4</w:t>
                  </w:r>
                </w:p>
              </w:tc>
            </w:tr>
            <w:tr w14:paraId="24236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328" w:type="pct"/>
                  <w:noWrap w:val="0"/>
                  <w:vAlign w:val="center"/>
                </w:tcPr>
                <w:p w14:paraId="02B914DE">
                  <w:pPr>
                    <w:keepNext w:val="0"/>
                    <w:keepLines w:val="0"/>
                    <w:suppressLineNumbers w:val="0"/>
                    <w:adjustRightInd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11</w:t>
                  </w:r>
                </w:p>
              </w:tc>
              <w:tc>
                <w:tcPr>
                  <w:tcW w:w="1060" w:type="pct"/>
                  <w:noWrap w:val="0"/>
                  <w:vAlign w:val="center"/>
                </w:tcPr>
                <w:p w14:paraId="421F7309">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天然气</w:t>
                  </w:r>
                </w:p>
              </w:tc>
              <w:tc>
                <w:tcPr>
                  <w:tcW w:w="1042" w:type="pct"/>
                  <w:noWrap w:val="0"/>
                  <w:vAlign w:val="center"/>
                </w:tcPr>
                <w:p w14:paraId="7FEC9973">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有毒、易燃物质</w:t>
                  </w:r>
                </w:p>
              </w:tc>
              <w:tc>
                <w:tcPr>
                  <w:tcW w:w="517" w:type="pct"/>
                  <w:noWrap w:val="0"/>
                  <w:vAlign w:val="center"/>
                </w:tcPr>
                <w:p w14:paraId="693D1964">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液态</w:t>
                  </w:r>
                </w:p>
              </w:tc>
              <w:tc>
                <w:tcPr>
                  <w:tcW w:w="784" w:type="pct"/>
                  <w:noWrap w:val="0"/>
                  <w:vAlign w:val="center"/>
                </w:tcPr>
                <w:p w14:paraId="0C95952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w:t>
                  </w:r>
                </w:p>
              </w:tc>
              <w:tc>
                <w:tcPr>
                  <w:tcW w:w="587" w:type="pct"/>
                  <w:noWrap w:val="0"/>
                  <w:vAlign w:val="center"/>
                </w:tcPr>
                <w:p w14:paraId="18561D39">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0.00763</w:t>
                  </w:r>
                </w:p>
              </w:tc>
              <w:tc>
                <w:tcPr>
                  <w:tcW w:w="680" w:type="pct"/>
                  <w:noWrap w:val="0"/>
                  <w:vAlign w:val="center"/>
                </w:tcPr>
                <w:p w14:paraId="401D04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lang w:val="en-US" w:eastAsia="zh-CN"/>
                    </w:rPr>
                    <w:t>0.00763</w:t>
                  </w:r>
                </w:p>
              </w:tc>
            </w:tr>
            <w:tr w14:paraId="523C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5000" w:type="pct"/>
                  <w:gridSpan w:val="7"/>
                  <w:noWrap w:val="0"/>
                  <w:vAlign w:val="center"/>
                </w:tcPr>
                <w:p w14:paraId="60EB6ACE">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color w:val="auto"/>
                      <w:sz w:val="21"/>
                      <w:szCs w:val="21"/>
                      <w:lang w:val="en-US" w:eastAsia="zh-CN"/>
                    </w:rPr>
                    <w:t>备注：</w:t>
                  </w:r>
                  <w:r>
                    <w:rPr>
                      <w:rFonts w:hint="default" w:ascii="Times New Roman" w:hAnsi="Times New Roman" w:cs="Times New Roman"/>
                      <w:color w:val="auto"/>
                      <w:sz w:val="21"/>
                      <w:szCs w:val="21"/>
                    </w:rPr>
                    <w:t>天然气来自市政天然气管道，天然气储存量以管道内存量计，天然气管道在厂内长约</w:t>
                  </w:r>
                  <w:r>
                    <w:rPr>
                      <w:rFonts w:hint="default" w:ascii="Times New Roman" w:hAnsi="Times New Roman" w:cs="Times New Roman"/>
                      <w:color w:val="auto"/>
                      <w:sz w:val="21"/>
                      <w:szCs w:val="21"/>
                      <w:lang w:val="en-US" w:eastAsia="zh-CN"/>
                    </w:rPr>
                    <w:t>15</w:t>
                  </w:r>
                  <w:r>
                    <w:rPr>
                      <w:rFonts w:hint="default" w:ascii="Times New Roman" w:hAnsi="Times New Roman" w:cs="Times New Roman"/>
                      <w:color w:val="auto"/>
                      <w:sz w:val="21"/>
                      <w:szCs w:val="21"/>
                    </w:rPr>
                    <w:t>0m，管道</w:t>
                  </w:r>
                  <w:r>
                    <w:rPr>
                      <w:rFonts w:hint="default" w:ascii="Times New Roman" w:hAnsi="Times New Roman" w:cs="Times New Roman"/>
                      <w:color w:val="auto"/>
                      <w:sz w:val="21"/>
                      <w:szCs w:val="21"/>
                      <w:lang w:val="en-US" w:eastAsia="zh-CN"/>
                    </w:rPr>
                    <w:t>内径为300mm</w:t>
                  </w:r>
                  <w:r>
                    <w:rPr>
                      <w:rFonts w:hint="default" w:ascii="Times New Roman" w:hAnsi="Times New Roman" w:cs="Times New Roman"/>
                      <w:color w:val="auto"/>
                      <w:sz w:val="21"/>
                      <w:szCs w:val="21"/>
                    </w:rPr>
                    <w:t>，管道容积为</w:t>
                  </w:r>
                  <w:r>
                    <w:rPr>
                      <w:rFonts w:hint="default" w:ascii="Times New Roman" w:hAnsi="Times New Roman" w:cs="Times New Roman"/>
                      <w:color w:val="auto"/>
                      <w:sz w:val="21"/>
                      <w:szCs w:val="21"/>
                      <w:lang w:val="en-US" w:eastAsia="zh-CN"/>
                    </w:rPr>
                    <w:t>15</w:t>
                  </w:r>
                  <w:r>
                    <w:rPr>
                      <w:rFonts w:hint="default" w:ascii="Times New Roman" w:hAnsi="Times New Roman" w:cs="Times New Roman"/>
                      <w:color w:val="auto"/>
                      <w:sz w:val="21"/>
                      <w:szCs w:val="21"/>
                    </w:rPr>
                    <w:t>0×π（0.</w:t>
                  </w:r>
                  <w:r>
                    <w:rPr>
                      <w:rFonts w:hint="default" w:ascii="Times New Roman" w:hAnsi="Times New Roman" w:cs="Times New Roman"/>
                      <w:color w:val="auto"/>
                      <w:sz w:val="21"/>
                      <w:szCs w:val="21"/>
                      <w:lang w:val="en-US" w:eastAsia="zh-CN"/>
                    </w:rPr>
                    <w:t>3</w:t>
                  </w:r>
                  <w:r>
                    <w:rPr>
                      <w:rFonts w:hint="default" w:ascii="Times New Roman" w:hAnsi="Times New Roman" w:cs="Times New Roman"/>
                      <w:color w:val="auto"/>
                      <w:sz w:val="21"/>
                      <w:szCs w:val="21"/>
                    </w:rPr>
                    <w:t>/2）</w:t>
                  </w:r>
                  <w:r>
                    <w:rPr>
                      <w:rFonts w:hint="default" w:ascii="Times New Roman" w:hAnsi="Times New Roman" w:cs="Times New Roman"/>
                      <w:color w:val="auto"/>
                      <w:sz w:val="21"/>
                      <w:szCs w:val="21"/>
                      <w:vertAlign w:val="superscript"/>
                    </w:rPr>
                    <w:t>2</w:t>
                  </w:r>
                  <w:r>
                    <w:rPr>
                      <w:rFonts w:hint="default" w:ascii="Times New Roman" w:hAnsi="Times New Roman" w:cs="Times New Roman"/>
                      <w:color w:val="auto"/>
                      <w:sz w:val="21"/>
                      <w:szCs w:val="21"/>
                    </w:rPr>
                    <w:t>=</w:t>
                  </w:r>
                  <w:r>
                    <w:rPr>
                      <w:rFonts w:hint="default" w:ascii="Times New Roman" w:hAnsi="Times New Roman" w:cs="Times New Roman"/>
                      <w:color w:val="auto"/>
                      <w:sz w:val="21"/>
                      <w:szCs w:val="21"/>
                      <w:lang w:val="en-US" w:eastAsia="zh-CN"/>
                    </w:rPr>
                    <w:t>10.60</w:t>
                  </w:r>
                  <w:r>
                    <w:rPr>
                      <w:rFonts w:hint="default" w:ascii="Times New Roman" w:hAnsi="Times New Roman" w:cs="Times New Roman"/>
                      <w:color w:val="auto"/>
                      <w:sz w:val="21"/>
                      <w:szCs w:val="21"/>
                    </w:rPr>
                    <w:t>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，天然气密度0.72kg/m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，则管道内天然气量为</w:t>
                  </w:r>
                  <w:r>
                    <w:rPr>
                      <w:rFonts w:hint="default" w:ascii="Times New Roman" w:hAnsi="Times New Roman" w:cs="Times New Roman"/>
                      <w:color w:val="auto"/>
                      <w:sz w:val="21"/>
                      <w:szCs w:val="21"/>
                      <w:lang w:val="en-US" w:eastAsia="zh-CN"/>
                    </w:rPr>
                    <w:t>7.63</w:t>
                  </w:r>
                  <w:r>
                    <w:rPr>
                      <w:rFonts w:hint="default" w:ascii="Times New Roman" w:hAnsi="Times New Roman" w:cs="Times New Roman"/>
                      <w:color w:val="auto"/>
                      <w:sz w:val="21"/>
                      <w:szCs w:val="21"/>
                    </w:rPr>
                    <w:t>kg。</w:t>
                  </w:r>
                </w:p>
              </w:tc>
            </w:tr>
          </w:tbl>
          <w:p w14:paraId="4AD81AB6">
            <w:pPr>
              <w:keepNext w:val="0"/>
              <w:keepLines w:val="0"/>
              <w:suppressLineNumbers w:val="0"/>
              <w:spacing w:before="0" w:beforeAutospacing="0" w:after="0" w:afterAutospacing="0" w:line="460" w:lineRule="exact"/>
              <w:ind w:left="0" w:right="0" w:firstLine="482" w:firstLineChars="200"/>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（2）评价等级</w:t>
            </w:r>
          </w:p>
          <w:p w14:paraId="57BA5000">
            <w:pPr>
              <w:pStyle w:val="441"/>
              <w:keepNext w:val="0"/>
              <w:keepLines w:val="0"/>
              <w:suppressLineNumbers w:val="0"/>
              <w:spacing w:before="0" w:beforeAutospacing="0" w:after="0" w:afterAutospacing="0" w:line="460" w:lineRule="exact"/>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kern w:val="0"/>
              </w:rPr>
              <w:t>①</w:t>
            </w:r>
            <w:r>
              <w:rPr>
                <w:rFonts w:hint="default" w:ascii="Times New Roman" w:hAnsi="Times New Roman" w:eastAsia="宋体" w:cs="Times New Roman"/>
                <w:color w:val="auto"/>
              </w:rPr>
              <w:t>建设项目Q值确定</w:t>
            </w:r>
          </w:p>
          <w:p w14:paraId="6AA8E0EF">
            <w:pPr>
              <w:pStyle w:val="441"/>
              <w:keepNext w:val="0"/>
              <w:keepLines w:val="0"/>
              <w:suppressLineNumbers w:val="0"/>
              <w:spacing w:before="0" w:beforeAutospacing="0" w:after="0" w:afterAutospacing="0" w:line="460" w:lineRule="exact"/>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kern w:val="0"/>
              </w:rPr>
              <w:t>根据《建设项目环境风险评价技术导则》（HJ169-2018）附录B，</w:t>
            </w:r>
            <w:r>
              <w:rPr>
                <w:rFonts w:hint="default" w:ascii="Times New Roman" w:hAnsi="Times New Roman" w:eastAsia="宋体" w:cs="Times New Roman"/>
                <w:color w:val="auto"/>
              </w:rPr>
              <w:t>当存在多种危险物质时，则按下式计算物质总量与其临界量比值（Q）：</w:t>
            </w:r>
          </w:p>
          <w:p w14:paraId="4C444743">
            <w:pPr>
              <w:pStyle w:val="441"/>
              <w:keepNext w:val="0"/>
              <w:keepLines w:val="0"/>
              <w:suppressLineNumbers w:val="0"/>
              <w:spacing w:before="0" w:beforeAutospacing="0" w:after="0" w:afterAutospacing="0" w:line="240" w:lineRule="auto"/>
              <w:ind w:left="0" w:right="0" w:firstLine="480"/>
              <w:jc w:val="center"/>
              <w:rPr>
                <w:rFonts w:hint="default" w:ascii="Times New Roman" w:hAnsi="Times New Roman" w:eastAsia="宋体" w:cs="Times New Roman"/>
                <w:color w:val="auto"/>
              </w:rPr>
            </w:pPr>
            <w:r>
              <w:rPr>
                <w:rFonts w:hint="default" w:ascii="Times New Roman" w:hAnsi="Times New Roman" w:eastAsia="宋体" w:cs="Times New Roman"/>
                <w:color w:val="auto"/>
              </w:rPr>
              <w:pict>
                <v:shape id="_x0000_i1033" o:spt="75" type="#_x0000_t75" style="height:26.25pt;width:115.7pt;" filled="f" o:preferrelative="t" stroked="f" coordsize="21600,21600"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58&quot;/&gt;&lt;w:characterSpacingControl w:val=&quot;CompressPunctuation&quot;/&gt;&lt;w:documentProtection w:enforcement=&quot;off&quot;/&gt;&lt;w:defaultTabStop w:val=&quot;420&quot;/&gt;&lt;w:drawingGridHorizontalSpacing w:val=&quot;240&quot;/&gt;&lt;w:drawingGridVerticalSpacing w:val=&quot;-7946&quot;/&gt;&lt;w:displayHorizontalDrawingGridEvery w:val=&quot;1&quot;/&gt;&lt;w:displayVerticalDrawingGridEvery w:val=&quot;1&quot;/&gt;&lt;w:compat&gt;&lt;w:adjustLineHeightInTable/&gt;&lt;w:ulTrailSpace/&gt;&lt;w:doNotExpandShiftReturn/&gt;&lt;w:balanceSingleByteDoubleByteWidth/&gt;&lt;w:useFELayout/&gt;&lt;w:spaceForUL/&gt;&lt;w:breakWrappedTables/&gt;&lt;w:dontGrowAutofit/&gt;&lt;w:useFELayout/&gt;&lt;/w:compat&gt;&lt;/w:docPr&gt;&lt;w:body&gt;&lt;wx:sect&gt;&lt;w:p&gt;&lt;m:oMathPara&gt;&lt;m:oMath&gt;&lt;m:r&gt;&lt;w:rPr&gt;&lt;w:rFonts w:ascii=&quot;Cambria Math&quot; w:h-ansi=&quot;Cambria Math&quot; w:fareast=&quot;Cambria Math&quot; w:hint=&quot;default&quot;/&gt;&lt;/w:rPr&gt;&lt;m:t&gt;Q&lt;/m:t&gt;&lt;/m:r&gt;&lt;m:r&gt;&lt;m:rPr&gt;&lt;m:sty m:val=&quot;p&quot;/&gt;&lt;/m:rPr&gt;&lt;w:rPr&gt;&lt;w:rFonts w:ascii=&quot;Cambria Math&quot; w:h-ansi=&quot;Cambria Math&quot; w:fareast=&quot;Cambria Math&quot; w:hint=&quot;default&quot;/&gt;&lt;/w:rPr&gt;&lt;m:t&gt;=&lt;/m:t&gt;&lt;/m:r&gt;&lt;m:f&gt;&lt;m:fPr&gt;&lt;m:ctrlPr&gt;&lt;w:rPr&gt;&lt;w:rFonts w:ascii=&quot;Cambria Math&quot; w:h-ansi=&quot;Cambria Math&quot; w:fareast=&quot;Cambria Math&quot; w:hint=&quot;default&quot;/&gt;&lt;/w:rPr&gt;&lt;/m:ctrlPr&gt;&lt;/m:fPr&gt;&lt;m:num&gt;&lt;m:sSub&gt;&lt;m:sSubPr&gt;&lt;m:ctrlPr&gt;&lt;w:rPr&gt;&lt;w:rFonts w:ascii=&quot;Cambria Math&quot; w:h-ansi=&quot;Cambria Math&quot; w:fareast=&quot;Cambria Math&quot; w:hint=&quot;default&quot;/&gt;&lt;/w:rPr&gt;&lt;/m:ctrlPr&gt;&lt;/m:sSubPr&gt;&lt;m:e&gt;&lt;m:r&gt;&lt;w:rPr&gt;&lt;w:rFonts w:ascii=&quot;Cambria Math&quot; w:h-ansi=&quot;Cambria Math&quot; w:fareast=&quot;Cambria Math&quot; w:hint=&quot;default&quot;/&gt;&lt;/w:rPr&gt;&lt;m:t&gt;q&lt;/m:t&gt;&lt;/m:r&gt;&lt;m:ctrlPr&gt;&lt;w:rPr&gt;&lt;w:rFonts w:ascii=&quot;Cambria Math&quot; w:h-ansi=&quot;Cambria Math&quot; w:fareast=&quot;Cambria Math&quot; w:hint=&quot;default&quot;/&gt;&lt;/w:rPr&gt;&lt;/m:ctrlPr&gt;&lt;/m:e&gt;&lt;m:sub&gt;&lt;m:r&gt;&lt;w:rPr&gt;&lt;w:rFonts w:ascii=&quot;Cambria Math&quot; w:h-ansi=&quot;Cambria Math&quot; w:fareast=&quot;Cambria Math&quot; w:hint=&quot;default&quot;/&gt;&lt;/w:rPr&gt;&lt;m:t&gt;1&lt;/m:t&gt;&lt;/m:r&gt;&lt;m:ctrlPr&gt;&lt;w:rPr&gt;&lt;w:rFonts w:ascii=&quot;Cambria Math&quot; w:h-ansi=&quot;Cambria Math&quot; w:fareast=&quot;Cambria Math&quot; w:hint=&quot;default&quot;/&gt;&lt;/w:rPr&gt;&lt;/m:ctrlPr&gt;&lt;/m:sub&gt;&lt;/m:sSub&gt;&lt;m:ctrlPr&gt;&lt;w:rPr&gt;&lt;w:rFonts w:ascii=&quot;Cambria Math&quot; w:h-ansi=&quot;Cambria Math&quot; w:fareast=&quot;Cambria Math&quot; w:hint=&quot;default&quot;/&gt;&lt;/w:rPr&gt;&lt;/m:ctrlPr&gt;&lt;/m:num&gt;&lt;m:den&gt;&lt;m:sSub&gt;&lt;m:sSubPr&gt;&lt;m:ctrlPr&gt;&lt;w:rPr&gt;&lt;w:rFonts w:ascii=&quot;Cambria Math&quot; w:h-ansi=&quot;Cambria Math&quot; w:fareast=&quot;Cambria Math&quot; w:hint=&quot;default&quot;/&gt;&lt;/w:rPr&gt;&lt;/m:ctrlPr&gt;&lt;/m:sSubPr&gt;&lt;m:e&gt;&lt;m:r&gt;&lt;w:rPr&gt;&lt;w:rFonts w:ascii=&quot;Cambria Math&quot; w:h-ansi=&quot;Cambria Math&quot; w:fareast=&quot;Cambria Math&quot; w:hint=&quot;default&quot;/&gt;&lt;/w:rPr&gt;&lt;m:t&gt;Q&lt;/m:t&gt;&lt;/m:r&gt;&lt;m:ctrlPr&gt;&lt;w:rPr&gt;&lt;w:rFonts w:ascii=&quot;Cambria Math&quot; w:h-ansi=&quot;Cambria Math&quot; w:fareast=&quot;Cambria Math&quot; w:hint=&quot;default&quot;/&gt;&lt;/w:rPr&gt;&lt;/m:ctrlPr&gt;&lt;/m:e&gt;&lt;m:sub&gt;&lt;m:r&gt;&lt;w:rPr&gt;&lt;w:rFonts w:ascii=&quot;Cambria Math&quot; w:h-ansi=&quot;Cambria Math&quot; w:fareast=&quot;Cambria Math&quot; w:hint=&quot;default&quot;/&gt;&lt;/w:rPr&gt;&lt;m:t&gt;1&lt;/m:t&gt;&lt;/m:r&gt;&lt;m:ctrlPr&gt;&lt;w:rPr&gt;&lt;w:rFonts w:ascii=&quot;Cambria Math&quot; w:h-ansi=&quot;Cambria Math&quot; w:fareast=&quot;Cambria Math&quot; w:hint=&quot;default&quot;/&gt;&lt;/w:rPr&gt;&lt;/m:ctrlPr&gt;&lt;/m:sub&gt;&lt;/m:sSub&gt;&lt;m:ctrlPr&gt;&lt;w:rPr&gt;&lt;w:rFonts w:ascii=&quot;Cambria Math&quot; w:h-ansi=&quot;Cambria Math&quot; w:fareast=&quot;Cambria Math&quot; w:hint=&quot;default&quot;/&gt;&lt;/w:rPr&gt;&lt;/m:ctrlPr&gt;&lt;/m:den&gt;&lt;/m:f&gt;&lt;m:r&gt;&lt;w:rPr&gt;&lt;w:rFonts w:ascii=&quot;Cambria Math&quot; w:h-ansi=&quot;Cambria Math&quot; w:fareast=&quot;Cambria Math&quot; w:hint=&quot;default&quot;/&gt;&lt;/w:rPr&gt;&lt;m:t&gt;+&lt;/m:t&gt;&lt;/m:r&gt;&lt;m:f&gt;&lt;m:fPr&gt;&lt;m:ctrlPr&gt;&lt;w:rPr&gt;&lt;w:rFonts w:ascii=&quot;Cambria Math&quot; w:h-ansi=&quot;Cambria Math&quot; w:fareast=&quot;Cambria Math&quot; w:hint=&quot;default&quot;/&gt;&lt;/w:rPr&gt;&lt;/m:ctrlPr&gt;&lt;/m:fPr&gt;&lt;m:num&gt;&lt;m:sSub&gt;&lt;m:sSubPr&gt;&lt;m:ctrlPr&gt;&lt;w:rPr&gt;&lt;w:rFonts w:ascii=&quot;Cambria Math&quot; w:h-ansi=&quot;Cambria Math&quot; w:fareast=&quot;Cambria Math&quot; w:hint=&quot;default&quot;/&gt;&lt;/w:rPr&gt;&lt;/m:ctrlPr&gt;&lt;/m:sSubPr&gt;&lt;m:e&gt;&lt;m:r&gt;&lt;w:rPr&gt;&lt;w:rFonts w:ascii=&quot;Cambria Math&quot; w:h-ansi=&quot;Cambria Math&quot; w:fareast=&quot;Cambria Math&quot; w:hint=&quot;default&quot;/&gt;&lt;/w:rPr&gt;&lt;m:t&gt;q&lt;/m:t&gt;&lt;/m:r&gt;&lt;m:ctrlPr&gt;&lt;w:rPr&gt;&lt;w:rFonts w:ascii=&quot;Cambria Math&quot; w:h-ansi=&quot;Cambria Math&quot; w:fareast=&quot;Cambria Math&quot; w:hint=&quot;default&quot;/&gt;&lt;/w:rPr&gt;&lt;/m:ctrlPr&gt;&lt;/m:e&gt;&lt;m:sub&gt;&lt;m:r&gt;&lt;w:rPr&gt;&lt;w:rFonts w:ascii=&quot;Cambria Math&quot; w:h-ansi=&quot;Cambria Math&quot; w:fareast=&quot;Cambria Math&quot; w:hint=&quot;default&quot;/&gt;&lt;/w:rPr&gt;&lt;m:t&gt;2&lt;/m:t&gt;&lt;/m:r&gt;&lt;m:ctrlPr&gt;&lt;w:rPr&gt;&lt;w:rFonts w:ascii=&quot;Cambria Math&quot; w:h-ansi=&quot;Cambria Math&quot; w:fareast=&quot;Cambria Math&quot; w:hint=&quot;default&quot;/&gt;&lt;/w:rPr&gt;&lt;/m:ctrlPr&gt;&lt;/m:sub&gt;&lt;/m:sSub&gt;&lt;m:ctrlPr&gt;&lt;w:rPr&gt;&lt;w:rFonts w:ascii=&quot;Cambria Math&quot; w:h-ansi=&quot;Cambria Math&quot; w:fareast=&quot;Cambria Math&quot; w:hint=&quot;default&quot;/&gt;&lt;/w:rPr&gt;&lt;/m:ctrlPr&gt;&lt;/m:num&gt;&lt;m:den&gt;&lt;m:sSub&gt;&lt;m:sSubPr&gt;&lt;m:ctrlPr&gt;&lt;w:rPr&gt;&lt;w:rFonts w:ascii=&quot;Cambria Math&quot; w:h-ansi=&quot;Cambria Math&quot; w:fareast=&quot;Cambria Math&quot; w:hint=&quot;default&quot;/&gt;&lt;/w:rPr&gt;&lt;/m:ctrlPr&gt;&lt;/m:sSubPr&gt;&lt;m:e&gt;&lt;m:r&gt;&lt;w:rPr&gt;&lt;w:rFonts w:ascii=&quot;Cambria Math&quot; w:h-ansi=&quot;Cambria Math&quot; w:fareast=&quot;Cambria Math&quot; w:hint=&quot;default&quot;/&gt;&lt;/w:rPr&gt;&lt;m:t&gt;Q&lt;/m:t&gt;&lt;/m:r&gt;&lt;m:ctrlPr&gt;&lt;w:rPr&gt;&lt;w:rFonts w:ascii=&quot;Cambria Math&quot; w:h-ansi=&quot;Cambria Math&quot; w:fareast=&quot;Cambria Math&quot; w:hint=&quot;default&quot;/&gt;&lt;/w:rPr&gt;&lt;/m:ctrlPr&gt;&lt;/m:e&gt;&lt;m:sub&gt;&lt;m:r&gt;&lt;w:rPr&gt;&lt;w:rFonts w:ascii=&quot;Cambria Math&quot; w:h-ansi=&quot;Cambria Math&quot; w:fareast=&quot;Cambria Math&quot; w:hint=&quot;default&quot;/&gt;&lt;/w:rPr&gt;&lt;m:t&gt;2&lt;/m:t&gt;&lt;/m:r&gt;&lt;m:ctrlPr&gt;&lt;w:rPr&gt;&lt;w:rFonts w:ascii=&quot;Cambria Math&quot; w:h-ansi=&quot;Cambria Math&quot; w:fareast=&quot;Cambria Math&quot; w:hint=&quot;default&quot;/&gt;&lt;/w:rPr&gt;&lt;/m:ctrlPr&gt;&lt;/m:sub&gt;&lt;/m:sSub&gt;&lt;m:ctrlPr&gt;&lt;w:rPr&gt;&lt;w:rFonts w:ascii=&quot;Cambria Math&quot; w:h-ansi=&quot;Cambria Math&quot; w:fareast=&quot;Cambria Math&quot; w:hint=&quot;default&quot;/&gt;&lt;/w:rPr&gt;&lt;/m:ctrlPr&gt;&lt;/m:den&gt;&lt;/m:f&gt;&lt;m:r&gt;&lt;w:rPr&gt;&lt;w:rFonts w:ascii=&quot;Cambria Math&quot; w:h-ansi=&quot;Cambria Math&quot; w:fareast=&quot;Cambria Math&quot; w:hint=&quot;default&quot;/&gt;&lt;/w:rPr&gt;&lt;m:t&gt;+…&lt;/m:t&gt;&lt;/m:r&gt;&lt;m:r&gt;&lt;w:rPr&gt;&lt;w:rFonts w:ascii=&quot;Cambria Math&quot; w:h-ansi=&quot;Cambria Math&quot; w:fareast=&quot;宋体&quot; w:hint=&quot;default&quot;/&gt;&lt;/w:rPr&gt;&lt;m:t&gt;+&lt;/m:t&gt;&lt;/m:r&gt;&lt;m:f&gt;&lt;m:fPr&gt;&lt;m:ctrlPr&gt;&lt;w:rPr&gt;&lt;w:rFonts w:ascii=&quot;Cambria Math&quot; w:h-ansi=&quot;Cambria Math&quot; w:fareast=&quot;Cambria Math&quot; w:hint=&quot;default&quot;/&gt;&lt;/w:rPr&gt;&lt;/m:ctrlPr&gt;&lt;/m:fPr&gt;&lt;m:num&gt;&lt;m:sSub&gt;&lt;m:sSubPr&gt;&lt;m:ctrlPr&gt;&lt;w:rPr&gt;&lt;w:rFonts w:ascii=&quot;Cambria Math&quot; w:h-ansi=&quot;Cambria Math&quot; w:fareast=&quot;Cambria Math&quot; w:hint=&quot;default&quot;/&gt;&lt;/w:rPr&gt;&lt;/m:ctrlPr&gt;&lt;/m:sSubPr&gt;&lt;m:e&gt;&lt;m:r&gt;&lt;w:rPr&gt;&lt;w:rFonts w:ascii=&quot;Cambria Math&quot; w:h-ansi=&quot;Cambria Math&quot; w:fareast=&quot;Cambria Math&quot; w:hint=&quot;default&quot;/&gt;&lt;/w:rPr&gt;&lt;m:t&gt;q&lt;/m:t&gt;&lt;/m:r&gt;&lt;m:ctrlPr&gt;&lt;w:rPr&gt;&lt;w:rFonts w:ascii=&quot;Cambria Math&quot; w:h-ansi=&quot;Cambria Math&quot; w:fareast=&quot;Cambria Math&quot; w:hint=&quot;default&quot;/&gt;&lt;/w:rPr&gt;&lt;/m:ctrlPr&gt;&lt;/m:e&gt;&lt;m:sub&gt;&lt;m:r&gt;&lt;w:rPr&gt;&lt;w:rFonts w:ascii=&quot;Cambria Math&quot; w:h-ansi=&quot;Cambria Math&quot; w:fareast=&quot;Cambria Math&quot; w:hint=&quot;default&quot;/&gt;&lt;/w:rPr&gt;&lt;m:t&gt;n&lt;/m:t&gt;&lt;/m:r&gt;&lt;m:ctrlPr&gt;&lt;w:rPr&gt;&lt;w:rFonts w:ascii=&quot;Cambria Math&quot; w:h-ansi=&quot;Cambria Math&quot; w:fareast=&quot;Cambria Math&quot; w:hint=&quot;default&quot;/&gt;&lt;/w:rPr&gt;&lt;/m:ctrlPr&gt;&lt;/m:sub&gt;&lt;/m:sSub&gt;&lt;m:ctrlPr&gt;&lt;w:rPr&gt;&lt;w:rFonts w:ascii=&quot;Cambria Math&quot; w:h-ansi=&quot;Cambria Math&quot; w:fareast=&quot;Cambria Math&quot; w:hint=&quot;default&quot;/&gt;&lt;/w:rPr&gt;&lt;/m:ctrlPr&gt;&lt;/m:num&gt;&lt;m:den&gt;&lt;m:sSub&gt;&lt;m:sSubPr&gt;&lt;m:ctrlPr&gt;&lt;w:rPr&gt;&lt;w:rFonts w:ascii=&quot;Cambria Math&quot; w:h-ansi=&quot;Cambria Math&quot; w:fareast=&quot;Cambria Math&quot; w:hint=&quot;default&quot;/&gt;&lt;/w:rPr&gt;&lt;/m:ctrlPr&gt;&lt;/m:sSubPr&gt;&lt;m:e&gt;&lt;m:r&gt;&lt;w:rPr&gt;&lt;w:rFonts w:ascii=&quot;Cambria Math&quot; w:h-ansi=&quot;Cambria Math&quot; w:fareast=&quot;Cambria Math&quot; w:hint=&quot;default&quot;/&gt;&lt;/w:rPr&gt;&lt;m:t&gt;Q&lt;/m:t&gt;&lt;/m:r&gt;&lt;m:ctrlPr&gt;&lt;w:rPr&gt;&lt;w:rFonts w:ascii=&quot;Cambria Math&quot; w:h-ansi=&quot;Cambria Math&quot; w:fareast=&quot;Cambria Math&quot; w:hint=&quot;default&quot;/&gt;&lt;/w:rPr&gt;&lt;/m:ctrlPr&gt;&lt;/m:e&gt;&lt;m:sub&gt;&lt;m:r&gt;&lt;w:rPr&gt;&lt;w:rFonts w:ascii=&quot;Cambria Math&quot; w:h-ansi=&quot;Cambria Math&quot; w:fareast=&quot;Cambria Math&quot; w:hint=&quot;default&quot;/&gt;&lt;/w:rPr&gt;&lt;m:t&gt;n&lt;/m:t&gt;&lt;/m:r&gt;&lt;m:ctrlPr&gt;&lt;w:rPr&gt;&lt;w:rFonts w:ascii=&quot;Cambria Math&quot; w:h-ansi=&quot;Cambria Math&quot; w:fareast=&quot;Cambria Math&quot; w:hint=&quot;default&quot;/&gt;&lt;/w:rPr&gt;&lt;/m:ctrlPr&gt;&lt;/m:sub&gt;&lt;/m:sSub&gt;&lt;m:ctrlPr&gt;&lt;w:rPr&gt;&lt;w:rFonts w:ascii=&quot;Cambria Math&quot; w:h-ansi=&quot;Cambria Math&quot; w:fareast=&quot;Cambria Math&quot; w:hint=&quot;default&quot;/&gt;&lt;/w:rPr&gt;&lt;/m:ctrlPr&gt;&lt;/m:den&gt;&lt;/m:f&gt;&lt;/m:oMath&gt;&lt;/m:oMathPara&gt;&lt;/w:p&gt;&lt;/wx:sect&gt;&lt;/w:body&gt;&lt;/w:wordDocument">
                  <v:path/>
                  <v:fill on="f" focussize="0,0"/>
                  <v:stroke on="f"/>
                  <v:imagedata r:id="rId32" o:title=""/>
                  <o:lock v:ext="edit" aspectratio="f"/>
                  <w10:wrap type="none"/>
                  <w10:anchorlock/>
                </v:shape>
              </w:pict>
            </w:r>
          </w:p>
          <w:p w14:paraId="29F06511">
            <w:pPr>
              <w:pStyle w:val="441"/>
              <w:keepNext w:val="0"/>
              <w:keepLines w:val="0"/>
              <w:suppressLineNumbers w:val="0"/>
              <w:wordWrap/>
              <w:spacing w:before="0" w:beforeAutospacing="0" w:after="0" w:afterAutospacing="0" w:line="460" w:lineRule="exact"/>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式中：q</w:t>
            </w:r>
            <w:r>
              <w:rPr>
                <w:rFonts w:hint="default" w:ascii="Times New Roman" w:hAnsi="Times New Roman" w:eastAsia="宋体" w:cs="Times New Roman"/>
                <w:color w:val="auto"/>
                <w:vertAlign w:val="subscript"/>
              </w:rPr>
              <w:t>1</w:t>
            </w:r>
            <w:r>
              <w:rPr>
                <w:rFonts w:hint="default" w:ascii="Times New Roman" w:hAnsi="Times New Roman" w:eastAsia="宋体" w:cs="Times New Roman"/>
                <w:color w:val="auto"/>
              </w:rPr>
              <w:t>，q</w:t>
            </w:r>
            <w:r>
              <w:rPr>
                <w:rFonts w:hint="default" w:ascii="Times New Roman" w:hAnsi="Times New Roman" w:eastAsia="宋体" w:cs="Times New Roman"/>
                <w:color w:val="auto"/>
                <w:vertAlign w:val="subscript"/>
              </w:rPr>
              <w:t>2</w:t>
            </w:r>
            <w:r>
              <w:rPr>
                <w:rFonts w:hint="default" w:ascii="Times New Roman" w:hAnsi="Times New Roman" w:eastAsia="宋体" w:cs="Times New Roman"/>
                <w:color w:val="auto"/>
              </w:rPr>
              <w:t>，...，q</w:t>
            </w:r>
            <w:r>
              <w:rPr>
                <w:rFonts w:hint="default" w:ascii="Times New Roman" w:hAnsi="Times New Roman" w:eastAsia="宋体" w:cs="Times New Roman"/>
                <w:color w:val="auto"/>
                <w:vertAlign w:val="subscript"/>
              </w:rPr>
              <w:t>n</w:t>
            </w:r>
            <w:r>
              <w:rPr>
                <w:rFonts w:hint="default" w:ascii="Times New Roman" w:hAnsi="Times New Roman" w:eastAsia="宋体" w:cs="Times New Roman"/>
                <w:color w:val="auto"/>
              </w:rPr>
              <w:t>——每种危险物质的最大存在总量，t；</w:t>
            </w:r>
          </w:p>
          <w:p w14:paraId="077376C4">
            <w:pPr>
              <w:pStyle w:val="441"/>
              <w:keepNext w:val="0"/>
              <w:keepLines w:val="0"/>
              <w:suppressLineNumbers w:val="0"/>
              <w:wordWrap/>
              <w:spacing w:before="0" w:beforeAutospacing="0" w:after="0" w:afterAutospacing="0" w:line="460" w:lineRule="exact"/>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Q</w:t>
            </w:r>
            <w:r>
              <w:rPr>
                <w:rFonts w:hint="default" w:ascii="Times New Roman" w:hAnsi="Times New Roman" w:eastAsia="宋体" w:cs="Times New Roman"/>
                <w:color w:val="auto"/>
                <w:vertAlign w:val="subscript"/>
              </w:rPr>
              <w:t>1</w:t>
            </w:r>
            <w:r>
              <w:rPr>
                <w:rFonts w:hint="default" w:ascii="Times New Roman" w:hAnsi="Times New Roman" w:eastAsia="宋体" w:cs="Times New Roman"/>
                <w:color w:val="auto"/>
              </w:rPr>
              <w:t>，Q</w:t>
            </w:r>
            <w:r>
              <w:rPr>
                <w:rFonts w:hint="default" w:ascii="Times New Roman" w:hAnsi="Times New Roman" w:eastAsia="宋体" w:cs="Times New Roman"/>
                <w:color w:val="auto"/>
                <w:vertAlign w:val="subscript"/>
              </w:rPr>
              <w:t>2</w:t>
            </w:r>
            <w:r>
              <w:rPr>
                <w:rFonts w:hint="default" w:ascii="Times New Roman" w:hAnsi="Times New Roman" w:eastAsia="宋体" w:cs="Times New Roman"/>
                <w:color w:val="auto"/>
              </w:rPr>
              <w:t>，Q</w:t>
            </w:r>
            <w:r>
              <w:rPr>
                <w:rFonts w:hint="default" w:ascii="Times New Roman" w:hAnsi="Times New Roman" w:eastAsia="宋体" w:cs="Times New Roman"/>
                <w:color w:val="auto"/>
                <w:vertAlign w:val="subscript"/>
              </w:rPr>
              <w:t>n</w:t>
            </w:r>
            <w:r>
              <w:rPr>
                <w:rFonts w:hint="default" w:ascii="Times New Roman" w:hAnsi="Times New Roman" w:eastAsia="宋体" w:cs="Times New Roman"/>
                <w:color w:val="auto"/>
              </w:rPr>
              <w:t>——每种危险物质的临界量，t。</w:t>
            </w:r>
          </w:p>
          <w:p w14:paraId="6CFA9295">
            <w:pPr>
              <w:pStyle w:val="441"/>
              <w:keepNext w:val="0"/>
              <w:keepLines w:val="0"/>
              <w:suppressLineNumbers w:val="0"/>
              <w:wordWrap/>
              <w:spacing w:before="0" w:beforeAutospacing="0" w:after="0" w:afterAutospacing="0" w:line="460" w:lineRule="exact"/>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当Q＜1时，该项目环境风险潜势为Ⅰ</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当Q≥1时，将Q值划分为：（1）1≤Q＜10；（2）10≤Q＜100；（3）Q≥100。</w:t>
            </w:r>
          </w:p>
          <w:p w14:paraId="1E57D094">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rPr>
            </w:pPr>
            <w:r>
              <w:rPr>
                <w:rFonts w:hint="eastAsia" w:cs="Times New Roman"/>
                <w:color w:val="auto"/>
                <w:lang w:val="en-US" w:eastAsia="zh-CN"/>
              </w:rPr>
              <w:t>对照</w:t>
            </w:r>
            <w:r>
              <w:rPr>
                <w:rFonts w:hint="default" w:ascii="Times New Roman" w:hAnsi="Times New Roman" w:eastAsia="宋体" w:cs="Times New Roman"/>
                <w:color w:val="auto"/>
              </w:rPr>
              <w:t>《建设项目环境风险评价技术导则》（HJ 169－2018），环境风险物质数量与临界量比值（Q）计算如下：</w:t>
            </w:r>
          </w:p>
          <w:p w14:paraId="00C6D0B4">
            <w:pPr>
              <w:pStyle w:val="63"/>
              <w:keepNext w:val="0"/>
              <w:keepLines w:val="0"/>
              <w:suppressLineNumbers w:val="0"/>
              <w:bidi w:val="0"/>
              <w:spacing w:before="0" w:beforeAutospacing="0" w:after="0" w:afterAutospacing="0"/>
              <w:ind w:left="0" w:right="0"/>
              <w:rPr>
                <w:rFonts w:hint="default" w:ascii="Times New Roman" w:hAnsi="Times New Roman" w:eastAsia="宋体" w:cs="Times New Roman"/>
                <w:b w:val="0"/>
                <w:color w:val="auto"/>
                <w:kern w:val="0"/>
                <w:sz w:val="21"/>
                <w:szCs w:val="21"/>
              </w:rPr>
            </w:pPr>
            <w:r>
              <w:rPr>
                <w:rFonts w:hint="default" w:ascii="Times New Roman" w:hAnsi="Times New Roman" w:eastAsia="宋体" w:cs="Times New Roman"/>
                <w:color w:val="auto"/>
                <w:sz w:val="21"/>
                <w:szCs w:val="21"/>
              </w:rPr>
              <w:t>表4-</w:t>
            </w:r>
            <w:r>
              <w:rPr>
                <w:rFonts w:hint="eastAsia" w:cs="Times New Roman"/>
                <w:color w:val="auto"/>
                <w:sz w:val="21"/>
                <w:szCs w:val="21"/>
                <w:lang w:val="en-US" w:eastAsia="zh-CN"/>
              </w:rPr>
              <w:t>28</w:t>
            </w:r>
            <w:r>
              <w:rPr>
                <w:rFonts w:hint="default" w:ascii="Times New Roman" w:hAnsi="Times New Roman" w:eastAsia="宋体" w:cs="Times New Roman"/>
                <w:color w:val="auto"/>
                <w:sz w:val="21"/>
                <w:szCs w:val="21"/>
              </w:rPr>
              <w:t xml:space="preserve">  临界量与实际量对比一览表（Q）</w:t>
            </w:r>
          </w:p>
          <w:tbl>
            <w:tblPr>
              <w:tblStyle w:val="5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
              <w:gridCol w:w="1774"/>
              <w:gridCol w:w="1367"/>
              <w:gridCol w:w="924"/>
              <w:gridCol w:w="1024"/>
              <w:gridCol w:w="1020"/>
              <w:gridCol w:w="986"/>
              <w:gridCol w:w="999"/>
            </w:tblGrid>
            <w:tr w14:paraId="18E84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285" w:type="pct"/>
                  <w:vMerge w:val="restart"/>
                  <w:noWrap w:val="0"/>
                  <w:vAlign w:val="center"/>
                </w:tcPr>
                <w:p w14:paraId="57987F8B">
                  <w:pPr>
                    <w:keepNext w:val="0"/>
                    <w:keepLines w:val="0"/>
                    <w:suppressLineNumbers w:val="0"/>
                    <w:autoSpaceDE w:val="0"/>
                    <w:autoSpaceDN w:val="0"/>
                    <w:adjustRightInd w:val="0"/>
                    <w:spacing w:before="0" w:beforeAutospacing="0" w:after="0" w:afterAutospacing="0"/>
                    <w:ind w:left="-105" w:leftChars="-50" w:right="-105" w:rightChars="-5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序号</w:t>
                  </w:r>
                </w:p>
              </w:tc>
              <w:tc>
                <w:tcPr>
                  <w:tcW w:w="1033" w:type="pct"/>
                  <w:vMerge w:val="restart"/>
                  <w:noWrap w:val="0"/>
                  <w:vAlign w:val="center"/>
                </w:tcPr>
                <w:p w14:paraId="5E080D1D">
                  <w:pPr>
                    <w:keepNext w:val="0"/>
                    <w:keepLines w:val="0"/>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物料名称</w:t>
                  </w:r>
                </w:p>
              </w:tc>
              <w:tc>
                <w:tcPr>
                  <w:tcW w:w="1930" w:type="pct"/>
                  <w:gridSpan w:val="3"/>
                  <w:noWrap w:val="0"/>
                  <w:vAlign w:val="center"/>
                </w:tcPr>
                <w:p w14:paraId="5CA58AD5">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bCs/>
                      <w:color w:val="auto"/>
                      <w:sz w:val="21"/>
                      <w:szCs w:val="21"/>
                    </w:rPr>
                    <w:t>危险物质量（t）</w:t>
                  </w:r>
                </w:p>
              </w:tc>
              <w:tc>
                <w:tcPr>
                  <w:tcW w:w="594" w:type="pct"/>
                  <w:vMerge w:val="restart"/>
                  <w:noWrap w:val="0"/>
                  <w:vAlign w:val="center"/>
                </w:tcPr>
                <w:p w14:paraId="76CEA933">
                  <w:pPr>
                    <w:keepNext w:val="0"/>
                    <w:keepLines w:val="0"/>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临界量（t）</w:t>
                  </w:r>
                </w:p>
              </w:tc>
              <w:tc>
                <w:tcPr>
                  <w:tcW w:w="574" w:type="pct"/>
                  <w:vMerge w:val="restart"/>
                  <w:noWrap w:val="0"/>
                  <w:vAlign w:val="center"/>
                </w:tcPr>
                <w:p w14:paraId="214BF4D8">
                  <w:pPr>
                    <w:keepNext w:val="0"/>
                    <w:keepLines w:val="0"/>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qn / Qn</w:t>
                  </w:r>
                </w:p>
              </w:tc>
              <w:tc>
                <w:tcPr>
                  <w:tcW w:w="581" w:type="pct"/>
                  <w:vMerge w:val="restart"/>
                  <w:noWrap w:val="0"/>
                  <w:vAlign w:val="center"/>
                </w:tcPr>
                <w:p w14:paraId="4241D37D">
                  <w:pPr>
                    <w:keepNext w:val="0"/>
                    <w:keepLines w:val="0"/>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Q值</w:t>
                  </w:r>
                </w:p>
              </w:tc>
            </w:tr>
            <w:tr w14:paraId="29D43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285" w:type="pct"/>
                  <w:vMerge w:val="continue"/>
                  <w:noWrap w:val="0"/>
                  <w:vAlign w:val="center"/>
                </w:tcPr>
                <w:p w14:paraId="70244386">
                  <w:pPr>
                    <w:keepNext w:val="0"/>
                    <w:keepLines w:val="0"/>
                    <w:suppressLineNumbers w:val="0"/>
                    <w:autoSpaceDE w:val="0"/>
                    <w:autoSpaceDN w:val="0"/>
                    <w:adjustRightInd w:val="0"/>
                    <w:spacing w:before="0" w:beforeAutospacing="0" w:after="0" w:afterAutospacing="0"/>
                    <w:ind w:left="-105" w:leftChars="-50" w:right="-105" w:rightChars="-50"/>
                    <w:jc w:val="center"/>
                    <w:rPr>
                      <w:rFonts w:hint="default" w:ascii="Times New Roman" w:hAnsi="Times New Roman" w:eastAsia="宋体" w:cs="Times New Roman"/>
                      <w:b/>
                      <w:color w:val="auto"/>
                      <w:kern w:val="0"/>
                      <w:sz w:val="21"/>
                      <w:szCs w:val="21"/>
                    </w:rPr>
                  </w:pPr>
                </w:p>
              </w:tc>
              <w:tc>
                <w:tcPr>
                  <w:tcW w:w="1033" w:type="pct"/>
                  <w:vMerge w:val="continue"/>
                  <w:noWrap w:val="0"/>
                  <w:vAlign w:val="center"/>
                </w:tcPr>
                <w:p w14:paraId="29E4B1BD">
                  <w:pPr>
                    <w:keepNext w:val="0"/>
                    <w:keepLines w:val="0"/>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b/>
                      <w:color w:val="auto"/>
                      <w:kern w:val="0"/>
                      <w:sz w:val="21"/>
                      <w:szCs w:val="21"/>
                    </w:rPr>
                  </w:pPr>
                </w:p>
              </w:tc>
              <w:tc>
                <w:tcPr>
                  <w:tcW w:w="796" w:type="pct"/>
                  <w:noWrap w:val="0"/>
                  <w:vAlign w:val="center"/>
                </w:tcPr>
                <w:p w14:paraId="16F1605D">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bCs/>
                      <w:color w:val="auto"/>
                      <w:sz w:val="21"/>
                      <w:szCs w:val="21"/>
                    </w:rPr>
                    <w:t>最大贮存量</w:t>
                  </w:r>
                </w:p>
              </w:tc>
              <w:tc>
                <w:tcPr>
                  <w:tcW w:w="538" w:type="pct"/>
                  <w:noWrap w:val="0"/>
                  <w:vAlign w:val="center"/>
                </w:tcPr>
                <w:p w14:paraId="1E4AFAB4">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bCs/>
                      <w:color w:val="auto"/>
                      <w:sz w:val="21"/>
                      <w:szCs w:val="21"/>
                    </w:rPr>
                    <w:t>在线量</w:t>
                  </w:r>
                </w:p>
              </w:tc>
              <w:tc>
                <w:tcPr>
                  <w:tcW w:w="596" w:type="pct"/>
                  <w:noWrap w:val="0"/>
                  <w:vAlign w:val="center"/>
                </w:tcPr>
                <w:p w14:paraId="43CADD6D">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bCs/>
                      <w:color w:val="auto"/>
                      <w:sz w:val="21"/>
                      <w:szCs w:val="21"/>
                    </w:rPr>
                    <w:t>小计</w:t>
                  </w:r>
                </w:p>
              </w:tc>
              <w:tc>
                <w:tcPr>
                  <w:tcW w:w="594" w:type="pct"/>
                  <w:vMerge w:val="continue"/>
                  <w:noWrap w:val="0"/>
                  <w:vAlign w:val="center"/>
                </w:tcPr>
                <w:p w14:paraId="4D4AA41E">
                  <w:pPr>
                    <w:keepNext w:val="0"/>
                    <w:keepLines w:val="0"/>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b/>
                      <w:color w:val="auto"/>
                      <w:kern w:val="0"/>
                      <w:sz w:val="21"/>
                      <w:szCs w:val="21"/>
                    </w:rPr>
                  </w:pPr>
                </w:p>
              </w:tc>
              <w:tc>
                <w:tcPr>
                  <w:tcW w:w="574" w:type="pct"/>
                  <w:vMerge w:val="continue"/>
                  <w:noWrap w:val="0"/>
                  <w:vAlign w:val="center"/>
                </w:tcPr>
                <w:p w14:paraId="46F975F1">
                  <w:pPr>
                    <w:keepNext w:val="0"/>
                    <w:keepLines w:val="0"/>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b/>
                      <w:color w:val="auto"/>
                      <w:kern w:val="0"/>
                      <w:sz w:val="21"/>
                      <w:szCs w:val="21"/>
                    </w:rPr>
                  </w:pPr>
                </w:p>
              </w:tc>
              <w:tc>
                <w:tcPr>
                  <w:tcW w:w="581" w:type="pct"/>
                  <w:vMerge w:val="continue"/>
                  <w:noWrap w:val="0"/>
                  <w:vAlign w:val="center"/>
                </w:tcPr>
                <w:p w14:paraId="7CE7BED2">
                  <w:pPr>
                    <w:keepNext w:val="0"/>
                    <w:keepLines w:val="0"/>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b/>
                      <w:color w:val="auto"/>
                      <w:kern w:val="0"/>
                      <w:sz w:val="21"/>
                      <w:szCs w:val="21"/>
                    </w:rPr>
                  </w:pPr>
                </w:p>
              </w:tc>
            </w:tr>
            <w:tr w14:paraId="1F87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285" w:type="pct"/>
                  <w:noWrap w:val="0"/>
                  <w:vAlign w:val="center"/>
                </w:tcPr>
                <w:p w14:paraId="48547574">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1033" w:type="pct"/>
                  <w:noWrap w:val="0"/>
                  <w:vAlign w:val="center"/>
                </w:tcPr>
                <w:p w14:paraId="422F3A52">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油污</w:t>
                  </w:r>
                </w:p>
              </w:tc>
              <w:tc>
                <w:tcPr>
                  <w:tcW w:w="1367" w:type="dxa"/>
                  <w:noWrap w:val="0"/>
                  <w:vAlign w:val="center"/>
                </w:tcPr>
                <w:p w14:paraId="6C17FCA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0.485 </w:t>
                  </w:r>
                </w:p>
              </w:tc>
              <w:tc>
                <w:tcPr>
                  <w:tcW w:w="924" w:type="dxa"/>
                  <w:noWrap w:val="0"/>
                  <w:vAlign w:val="center"/>
                </w:tcPr>
                <w:p w14:paraId="684B7A9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i w:val="0"/>
                      <w:iCs w:val="0"/>
                      <w:color w:val="auto"/>
                      <w:kern w:val="0"/>
                      <w:sz w:val="21"/>
                      <w:szCs w:val="21"/>
                      <w:u w:val="none"/>
                      <w:lang w:val="en-US" w:eastAsia="zh-CN" w:bidi="ar"/>
                    </w:rPr>
                    <w:t>/</w:t>
                  </w:r>
                </w:p>
              </w:tc>
              <w:tc>
                <w:tcPr>
                  <w:tcW w:w="1024" w:type="dxa"/>
                  <w:noWrap w:val="0"/>
                  <w:vAlign w:val="center"/>
                </w:tcPr>
                <w:p w14:paraId="1C3A16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0.485 </w:t>
                  </w:r>
                </w:p>
              </w:tc>
              <w:tc>
                <w:tcPr>
                  <w:tcW w:w="594" w:type="pct"/>
                  <w:noWrap w:val="0"/>
                  <w:vAlign w:val="center"/>
                </w:tcPr>
                <w:p w14:paraId="3416DE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2</w:t>
                  </w:r>
                  <w:r>
                    <w:rPr>
                      <w:rFonts w:hint="default" w:ascii="Times New Roman" w:hAnsi="Times New Roman" w:eastAsia="宋体" w:cs="Times New Roman"/>
                      <w:i w:val="0"/>
                      <w:iCs w:val="0"/>
                      <w:color w:val="auto"/>
                      <w:kern w:val="0"/>
                      <w:sz w:val="21"/>
                      <w:szCs w:val="21"/>
                      <w:u w:val="none"/>
                      <w:lang w:val="en-US" w:eastAsia="zh-CN" w:bidi="ar"/>
                    </w:rPr>
                    <w:t>50</w:t>
                  </w:r>
                  <w:r>
                    <w:rPr>
                      <w:rFonts w:hint="eastAsia" w:ascii="Times New Roman" w:hAnsi="Times New Roman" w:cs="Times New Roman"/>
                      <w:i w:val="0"/>
                      <w:iCs w:val="0"/>
                      <w:color w:val="auto"/>
                      <w:kern w:val="0"/>
                      <w:sz w:val="21"/>
                      <w:szCs w:val="21"/>
                      <w:u w:val="none"/>
                      <w:lang w:val="en-US" w:eastAsia="zh-CN" w:bidi="ar"/>
                    </w:rPr>
                    <w:t>0</w:t>
                  </w:r>
                </w:p>
              </w:tc>
              <w:tc>
                <w:tcPr>
                  <w:tcW w:w="986" w:type="dxa"/>
                  <w:noWrap w:val="0"/>
                  <w:vAlign w:val="center"/>
                </w:tcPr>
                <w:p w14:paraId="50B884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0.00019 </w:t>
                  </w:r>
                </w:p>
              </w:tc>
              <w:tc>
                <w:tcPr>
                  <w:tcW w:w="581" w:type="pct"/>
                  <w:vMerge w:val="restart"/>
                  <w:noWrap w:val="0"/>
                  <w:vAlign w:val="center"/>
                </w:tcPr>
                <w:p w14:paraId="4B05AB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ascii="Times New Roman" w:hAnsi="Times New Roman" w:cs="Times New Roman"/>
                      <w:i w:val="0"/>
                      <w:iCs w:val="0"/>
                      <w:color w:val="auto"/>
                      <w:kern w:val="0"/>
                      <w:sz w:val="21"/>
                      <w:szCs w:val="21"/>
                      <w:u w:val="none"/>
                      <w:lang w:val="en-US" w:eastAsia="zh-CN" w:bidi="ar"/>
                    </w:rPr>
                    <w:t>5251</w:t>
                  </w:r>
                </w:p>
              </w:tc>
            </w:tr>
            <w:tr w14:paraId="1DDC5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285" w:type="pct"/>
                  <w:noWrap w:val="0"/>
                  <w:vAlign w:val="center"/>
                </w:tcPr>
                <w:p w14:paraId="4B4C020F">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033" w:type="pct"/>
                  <w:noWrap w:val="0"/>
                  <w:vAlign w:val="center"/>
                </w:tcPr>
                <w:p w14:paraId="4312DD30">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油泥</w:t>
                  </w:r>
                </w:p>
              </w:tc>
              <w:tc>
                <w:tcPr>
                  <w:tcW w:w="1367" w:type="dxa"/>
                  <w:noWrap w:val="0"/>
                  <w:vAlign w:val="center"/>
                </w:tcPr>
                <w:p w14:paraId="19F260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0.5</w:t>
                  </w:r>
                </w:p>
              </w:tc>
              <w:tc>
                <w:tcPr>
                  <w:tcW w:w="924" w:type="dxa"/>
                  <w:noWrap w:val="0"/>
                  <w:vAlign w:val="center"/>
                </w:tcPr>
                <w:p w14:paraId="651BE1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i w:val="0"/>
                      <w:iCs w:val="0"/>
                      <w:color w:val="auto"/>
                      <w:kern w:val="0"/>
                      <w:sz w:val="21"/>
                      <w:szCs w:val="21"/>
                      <w:u w:val="none"/>
                      <w:lang w:val="en-US" w:eastAsia="zh-CN" w:bidi="ar"/>
                    </w:rPr>
                    <w:t>/</w:t>
                  </w:r>
                </w:p>
              </w:tc>
              <w:tc>
                <w:tcPr>
                  <w:tcW w:w="1024" w:type="dxa"/>
                  <w:noWrap w:val="0"/>
                  <w:vAlign w:val="center"/>
                </w:tcPr>
                <w:p w14:paraId="0C4F1D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w:t>
                  </w:r>
                </w:p>
              </w:tc>
              <w:tc>
                <w:tcPr>
                  <w:tcW w:w="594" w:type="pct"/>
                  <w:noWrap w:val="0"/>
                  <w:vAlign w:val="center"/>
                </w:tcPr>
                <w:p w14:paraId="4174A2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2</w:t>
                  </w:r>
                  <w:r>
                    <w:rPr>
                      <w:rFonts w:hint="default" w:ascii="Times New Roman" w:hAnsi="Times New Roman" w:eastAsia="宋体" w:cs="Times New Roman"/>
                      <w:i w:val="0"/>
                      <w:iCs w:val="0"/>
                      <w:color w:val="auto"/>
                      <w:kern w:val="0"/>
                      <w:sz w:val="21"/>
                      <w:szCs w:val="21"/>
                      <w:u w:val="none"/>
                      <w:lang w:val="en-US" w:eastAsia="zh-CN" w:bidi="ar"/>
                    </w:rPr>
                    <w:t>50</w:t>
                  </w:r>
                  <w:r>
                    <w:rPr>
                      <w:rFonts w:hint="eastAsia" w:ascii="Times New Roman" w:hAnsi="Times New Roman" w:cs="Times New Roman"/>
                      <w:i w:val="0"/>
                      <w:iCs w:val="0"/>
                      <w:color w:val="auto"/>
                      <w:kern w:val="0"/>
                      <w:sz w:val="21"/>
                      <w:szCs w:val="21"/>
                      <w:u w:val="none"/>
                      <w:lang w:val="en-US" w:eastAsia="zh-CN" w:bidi="ar"/>
                    </w:rPr>
                    <w:t>0</w:t>
                  </w:r>
                </w:p>
              </w:tc>
              <w:tc>
                <w:tcPr>
                  <w:tcW w:w="986" w:type="dxa"/>
                  <w:noWrap w:val="0"/>
                  <w:vAlign w:val="center"/>
                </w:tcPr>
                <w:p w14:paraId="4769B8C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0.00020 </w:t>
                  </w:r>
                </w:p>
              </w:tc>
              <w:tc>
                <w:tcPr>
                  <w:tcW w:w="581" w:type="pct"/>
                  <w:vMerge w:val="continue"/>
                  <w:noWrap w:val="0"/>
                  <w:vAlign w:val="center"/>
                </w:tcPr>
                <w:p w14:paraId="26F47EFE">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color w:val="auto"/>
                      <w:sz w:val="21"/>
                      <w:szCs w:val="21"/>
                    </w:rPr>
                  </w:pPr>
                </w:p>
              </w:tc>
            </w:tr>
            <w:tr w14:paraId="7289C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285" w:type="pct"/>
                  <w:noWrap w:val="0"/>
                  <w:vAlign w:val="center"/>
                </w:tcPr>
                <w:p w14:paraId="32993DB0">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1033" w:type="pct"/>
                  <w:noWrap w:val="0"/>
                  <w:vAlign w:val="center"/>
                </w:tcPr>
                <w:p w14:paraId="54FD0178">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废活性炭</w:t>
                  </w:r>
                </w:p>
              </w:tc>
              <w:tc>
                <w:tcPr>
                  <w:tcW w:w="1367" w:type="dxa"/>
                  <w:noWrap w:val="0"/>
                  <w:vAlign w:val="center"/>
                </w:tcPr>
                <w:p w14:paraId="02E2501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0.558 </w:t>
                  </w:r>
                </w:p>
              </w:tc>
              <w:tc>
                <w:tcPr>
                  <w:tcW w:w="924" w:type="dxa"/>
                  <w:noWrap w:val="0"/>
                  <w:vAlign w:val="center"/>
                </w:tcPr>
                <w:p w14:paraId="5F8E14E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w:t>
                  </w:r>
                </w:p>
              </w:tc>
              <w:tc>
                <w:tcPr>
                  <w:tcW w:w="1024" w:type="dxa"/>
                  <w:noWrap w:val="0"/>
                  <w:vAlign w:val="center"/>
                </w:tcPr>
                <w:p w14:paraId="113560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0.558 </w:t>
                  </w:r>
                </w:p>
              </w:tc>
              <w:tc>
                <w:tcPr>
                  <w:tcW w:w="594" w:type="pct"/>
                  <w:noWrap w:val="0"/>
                  <w:vAlign w:val="center"/>
                </w:tcPr>
                <w:p w14:paraId="029F94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50</w:t>
                  </w:r>
                </w:p>
              </w:tc>
              <w:tc>
                <w:tcPr>
                  <w:tcW w:w="986" w:type="dxa"/>
                  <w:noWrap w:val="0"/>
                  <w:vAlign w:val="center"/>
                </w:tcPr>
                <w:p w14:paraId="33CE80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0.01116 </w:t>
                  </w:r>
                </w:p>
              </w:tc>
              <w:tc>
                <w:tcPr>
                  <w:tcW w:w="581" w:type="pct"/>
                  <w:vMerge w:val="continue"/>
                  <w:noWrap w:val="0"/>
                  <w:vAlign w:val="center"/>
                </w:tcPr>
                <w:p w14:paraId="723060EC">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p>
              </w:tc>
            </w:tr>
            <w:tr w14:paraId="5284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1" w:hRule="atLeast"/>
                <w:jc w:val="center"/>
              </w:trPr>
              <w:tc>
                <w:tcPr>
                  <w:tcW w:w="285" w:type="pct"/>
                  <w:noWrap w:val="0"/>
                  <w:vAlign w:val="center"/>
                </w:tcPr>
                <w:p w14:paraId="6DF7D45D">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4</w:t>
                  </w:r>
                </w:p>
              </w:tc>
              <w:tc>
                <w:tcPr>
                  <w:tcW w:w="1033" w:type="pct"/>
                  <w:noWrap w:val="0"/>
                  <w:vAlign w:val="center"/>
                </w:tcPr>
                <w:p w14:paraId="32D2C776">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w:t>
                  </w:r>
                  <w:r>
                    <w:rPr>
                      <w:rFonts w:hint="default" w:ascii="Times New Roman" w:hAnsi="Times New Roman" w:eastAsia="宋体" w:cs="Times New Roman"/>
                      <w:color w:val="auto"/>
                      <w:sz w:val="21"/>
                      <w:szCs w:val="21"/>
                      <w:lang w:val="en-US" w:eastAsia="zh-CN"/>
                    </w:rPr>
                    <w:t>润滑油</w:t>
                  </w:r>
                </w:p>
              </w:tc>
              <w:tc>
                <w:tcPr>
                  <w:tcW w:w="1367" w:type="dxa"/>
                  <w:noWrap w:val="0"/>
                  <w:vAlign w:val="center"/>
                </w:tcPr>
                <w:p w14:paraId="6E477C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0.060 </w:t>
                  </w:r>
                </w:p>
              </w:tc>
              <w:tc>
                <w:tcPr>
                  <w:tcW w:w="924" w:type="dxa"/>
                  <w:noWrap w:val="0"/>
                  <w:vAlign w:val="center"/>
                </w:tcPr>
                <w:p w14:paraId="6883EAF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w:t>
                  </w:r>
                </w:p>
              </w:tc>
              <w:tc>
                <w:tcPr>
                  <w:tcW w:w="1024" w:type="dxa"/>
                  <w:noWrap w:val="0"/>
                  <w:vAlign w:val="center"/>
                </w:tcPr>
                <w:p w14:paraId="4C3163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0.060 </w:t>
                  </w:r>
                </w:p>
              </w:tc>
              <w:tc>
                <w:tcPr>
                  <w:tcW w:w="594" w:type="pct"/>
                  <w:noWrap w:val="0"/>
                  <w:vAlign w:val="center"/>
                </w:tcPr>
                <w:p w14:paraId="0455403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2500</w:t>
                  </w:r>
                </w:p>
              </w:tc>
              <w:tc>
                <w:tcPr>
                  <w:tcW w:w="986" w:type="dxa"/>
                  <w:noWrap w:val="0"/>
                  <w:vAlign w:val="center"/>
                </w:tcPr>
                <w:p w14:paraId="767FC0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0.00002 </w:t>
                  </w:r>
                </w:p>
              </w:tc>
              <w:tc>
                <w:tcPr>
                  <w:tcW w:w="581" w:type="pct"/>
                  <w:vMerge w:val="continue"/>
                  <w:noWrap w:val="0"/>
                  <w:vAlign w:val="center"/>
                </w:tcPr>
                <w:p w14:paraId="571ED3DF">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color w:val="auto"/>
                      <w:sz w:val="21"/>
                      <w:szCs w:val="21"/>
                    </w:rPr>
                  </w:pPr>
                </w:p>
              </w:tc>
            </w:tr>
            <w:tr w14:paraId="4EA7F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285" w:type="pct"/>
                  <w:noWrap w:val="0"/>
                  <w:vAlign w:val="center"/>
                </w:tcPr>
                <w:p w14:paraId="4ED0F2ED">
                  <w:pPr>
                    <w:keepNext w:val="0"/>
                    <w:keepLines w:val="0"/>
                    <w:suppressLineNumbers w:val="0"/>
                    <w:adjustRightInd w:val="0"/>
                    <w:spacing w:before="0" w:beforeAutospacing="0" w:after="0" w:afterAutospacing="0"/>
                    <w:ind w:left="0" w:leftChars="0" w:right="0" w:rightChars="0"/>
                    <w:jc w:val="center"/>
                    <w:rPr>
                      <w:rFonts w:hint="eastAsia"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w:t>
                  </w:r>
                </w:p>
              </w:tc>
              <w:tc>
                <w:tcPr>
                  <w:tcW w:w="1033" w:type="pct"/>
                  <w:noWrap w:val="0"/>
                  <w:vAlign w:val="center"/>
                </w:tcPr>
                <w:p w14:paraId="47FB0622">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废包装桶</w:t>
                  </w:r>
                </w:p>
              </w:tc>
              <w:tc>
                <w:tcPr>
                  <w:tcW w:w="1367" w:type="dxa"/>
                  <w:noWrap w:val="0"/>
                  <w:vAlign w:val="center"/>
                </w:tcPr>
                <w:p w14:paraId="68405F3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ascii="Times New Roman" w:hAnsi="Times New Roman" w:eastAsia="宋体" w:cs="Times New Roman"/>
                      <w:i w:val="0"/>
                      <w:iCs w:val="0"/>
                      <w:color w:val="auto"/>
                      <w:kern w:val="0"/>
                      <w:sz w:val="21"/>
                      <w:szCs w:val="21"/>
                      <w:u w:val="none"/>
                      <w:lang w:val="en-US" w:eastAsia="zh-CN" w:bidi="ar"/>
                    </w:rPr>
                    <w:t>09</w:t>
                  </w:r>
                  <w:r>
                    <w:rPr>
                      <w:rFonts w:hint="default" w:ascii="Times New Roman" w:hAnsi="Times New Roman" w:eastAsia="宋体" w:cs="Times New Roman"/>
                      <w:i w:val="0"/>
                      <w:iCs w:val="0"/>
                      <w:color w:val="auto"/>
                      <w:kern w:val="0"/>
                      <w:sz w:val="21"/>
                      <w:szCs w:val="21"/>
                      <w:u w:val="none"/>
                      <w:lang w:val="en-US" w:eastAsia="zh-CN" w:bidi="ar"/>
                    </w:rPr>
                    <w:t xml:space="preserve">3 </w:t>
                  </w:r>
                </w:p>
              </w:tc>
              <w:tc>
                <w:tcPr>
                  <w:tcW w:w="924" w:type="dxa"/>
                  <w:noWrap w:val="0"/>
                  <w:vAlign w:val="center"/>
                </w:tcPr>
                <w:p w14:paraId="3BE3031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w:t>
                  </w:r>
                </w:p>
              </w:tc>
              <w:tc>
                <w:tcPr>
                  <w:tcW w:w="1024" w:type="dxa"/>
                  <w:noWrap w:val="0"/>
                  <w:vAlign w:val="center"/>
                </w:tcPr>
                <w:p w14:paraId="493425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ascii="Times New Roman" w:hAnsi="Times New Roman" w:eastAsia="宋体" w:cs="Times New Roman"/>
                      <w:i w:val="0"/>
                      <w:iCs w:val="0"/>
                      <w:color w:val="auto"/>
                      <w:kern w:val="0"/>
                      <w:sz w:val="21"/>
                      <w:szCs w:val="21"/>
                      <w:u w:val="none"/>
                      <w:lang w:val="en-US" w:eastAsia="zh-CN" w:bidi="ar"/>
                    </w:rPr>
                    <w:t>09</w:t>
                  </w:r>
                  <w:r>
                    <w:rPr>
                      <w:rFonts w:hint="default" w:ascii="Times New Roman" w:hAnsi="Times New Roman" w:eastAsia="宋体" w:cs="Times New Roman"/>
                      <w:i w:val="0"/>
                      <w:iCs w:val="0"/>
                      <w:color w:val="auto"/>
                      <w:kern w:val="0"/>
                      <w:sz w:val="21"/>
                      <w:szCs w:val="21"/>
                      <w:u w:val="none"/>
                      <w:lang w:val="en-US" w:eastAsia="zh-CN" w:bidi="ar"/>
                    </w:rPr>
                    <w:t xml:space="preserve">3 </w:t>
                  </w:r>
                </w:p>
              </w:tc>
              <w:tc>
                <w:tcPr>
                  <w:tcW w:w="594" w:type="pct"/>
                  <w:noWrap w:val="0"/>
                  <w:vAlign w:val="center"/>
                </w:tcPr>
                <w:p w14:paraId="1B43A29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100</w:t>
                  </w:r>
                </w:p>
              </w:tc>
              <w:tc>
                <w:tcPr>
                  <w:tcW w:w="986" w:type="dxa"/>
                  <w:noWrap w:val="0"/>
                  <w:vAlign w:val="center"/>
                </w:tcPr>
                <w:p w14:paraId="1527C9E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0.00093 </w:t>
                  </w:r>
                </w:p>
              </w:tc>
              <w:tc>
                <w:tcPr>
                  <w:tcW w:w="581" w:type="pct"/>
                  <w:vMerge w:val="continue"/>
                  <w:noWrap w:val="0"/>
                  <w:vAlign w:val="center"/>
                </w:tcPr>
                <w:p w14:paraId="6EE3FAE5">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color w:val="auto"/>
                      <w:sz w:val="21"/>
                      <w:szCs w:val="21"/>
                    </w:rPr>
                  </w:pPr>
                </w:p>
              </w:tc>
            </w:tr>
            <w:tr w14:paraId="2384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490" w:type="dxa"/>
                  <w:noWrap w:val="0"/>
                  <w:vAlign w:val="center"/>
                </w:tcPr>
                <w:p w14:paraId="2D266142">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6</w:t>
                  </w:r>
                </w:p>
              </w:tc>
              <w:tc>
                <w:tcPr>
                  <w:tcW w:w="1033" w:type="pct"/>
                  <w:noWrap w:val="0"/>
                  <w:vAlign w:val="center"/>
                </w:tcPr>
                <w:p w14:paraId="3528CE8A">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废过滤棉</w:t>
                  </w:r>
                </w:p>
              </w:tc>
              <w:tc>
                <w:tcPr>
                  <w:tcW w:w="1367" w:type="dxa"/>
                  <w:noWrap w:val="0"/>
                  <w:vAlign w:val="center"/>
                </w:tcPr>
                <w:p w14:paraId="6963C17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0.056</w:t>
                  </w:r>
                </w:p>
              </w:tc>
              <w:tc>
                <w:tcPr>
                  <w:tcW w:w="924" w:type="dxa"/>
                  <w:noWrap w:val="0"/>
                  <w:vAlign w:val="center"/>
                </w:tcPr>
                <w:p w14:paraId="25931835">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color w:val="auto"/>
                      <w:sz w:val="21"/>
                      <w:szCs w:val="21"/>
                      <w:lang w:val="en-US" w:eastAsia="zh-CN"/>
                    </w:rPr>
                    <w:t>/</w:t>
                  </w:r>
                </w:p>
              </w:tc>
              <w:tc>
                <w:tcPr>
                  <w:tcW w:w="1024" w:type="dxa"/>
                  <w:noWrap w:val="0"/>
                  <w:vAlign w:val="center"/>
                </w:tcPr>
                <w:p w14:paraId="1D1151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0.056</w:t>
                  </w:r>
                </w:p>
              </w:tc>
              <w:tc>
                <w:tcPr>
                  <w:tcW w:w="594" w:type="pct"/>
                  <w:noWrap w:val="0"/>
                  <w:vAlign w:val="center"/>
                </w:tcPr>
                <w:p w14:paraId="61B4FD6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2500</w:t>
                  </w:r>
                </w:p>
              </w:tc>
              <w:tc>
                <w:tcPr>
                  <w:tcW w:w="986" w:type="dxa"/>
                  <w:noWrap w:val="0"/>
                  <w:vAlign w:val="center"/>
                </w:tcPr>
                <w:p w14:paraId="69AE95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0.00002 </w:t>
                  </w:r>
                </w:p>
              </w:tc>
              <w:tc>
                <w:tcPr>
                  <w:tcW w:w="581" w:type="pct"/>
                  <w:vMerge w:val="continue"/>
                  <w:noWrap w:val="0"/>
                  <w:vAlign w:val="center"/>
                </w:tcPr>
                <w:p w14:paraId="4FDB2948">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color w:val="auto"/>
                      <w:sz w:val="21"/>
                      <w:szCs w:val="21"/>
                    </w:rPr>
                  </w:pPr>
                </w:p>
              </w:tc>
            </w:tr>
            <w:tr w14:paraId="71D6C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490" w:type="dxa"/>
                  <w:noWrap w:val="0"/>
                  <w:vAlign w:val="center"/>
                </w:tcPr>
                <w:p w14:paraId="62E95BBE">
                  <w:pPr>
                    <w:keepNext w:val="0"/>
                    <w:keepLines w:val="0"/>
                    <w:suppressLineNumbers w:val="0"/>
                    <w:adjustRightInd w:val="0"/>
                    <w:spacing w:before="0" w:beforeAutospacing="0" w:after="0" w:afterAutospacing="0"/>
                    <w:ind w:left="0" w:leftChars="0" w:right="0" w:rightChars="0"/>
                    <w:jc w:val="center"/>
                    <w:rPr>
                      <w:rFonts w:hint="eastAsia"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7</w:t>
                  </w:r>
                </w:p>
              </w:tc>
              <w:tc>
                <w:tcPr>
                  <w:tcW w:w="1033" w:type="pct"/>
                  <w:noWrap w:val="0"/>
                  <w:vAlign w:val="center"/>
                </w:tcPr>
                <w:p w14:paraId="06B798E9">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淬火油</w:t>
                  </w:r>
                </w:p>
              </w:tc>
              <w:tc>
                <w:tcPr>
                  <w:tcW w:w="1367" w:type="dxa"/>
                  <w:noWrap w:val="0"/>
                  <w:vAlign w:val="center"/>
                </w:tcPr>
                <w:p w14:paraId="5746C18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w:t>
                  </w:r>
                </w:p>
              </w:tc>
              <w:tc>
                <w:tcPr>
                  <w:tcW w:w="924" w:type="dxa"/>
                  <w:noWrap w:val="0"/>
                  <w:vAlign w:val="center"/>
                </w:tcPr>
                <w:p w14:paraId="4586E059">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3</w:t>
                  </w:r>
                </w:p>
              </w:tc>
              <w:tc>
                <w:tcPr>
                  <w:tcW w:w="1024" w:type="dxa"/>
                  <w:noWrap w:val="0"/>
                  <w:vAlign w:val="center"/>
                </w:tcPr>
                <w:p w14:paraId="7578452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4.2</w:t>
                  </w:r>
                </w:p>
              </w:tc>
              <w:tc>
                <w:tcPr>
                  <w:tcW w:w="594" w:type="pct"/>
                  <w:noWrap w:val="0"/>
                  <w:vAlign w:val="center"/>
                </w:tcPr>
                <w:p w14:paraId="5FC4E80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2500</w:t>
                  </w:r>
                </w:p>
              </w:tc>
              <w:tc>
                <w:tcPr>
                  <w:tcW w:w="986" w:type="dxa"/>
                  <w:noWrap w:val="0"/>
                  <w:vAlign w:val="center"/>
                </w:tcPr>
                <w:p w14:paraId="43F9D6FB">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0.00168 </w:t>
                  </w:r>
                </w:p>
              </w:tc>
              <w:tc>
                <w:tcPr>
                  <w:tcW w:w="581" w:type="pct"/>
                  <w:vMerge w:val="continue"/>
                  <w:noWrap w:val="0"/>
                  <w:vAlign w:val="center"/>
                </w:tcPr>
                <w:p w14:paraId="428BA33D">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color w:val="auto"/>
                      <w:sz w:val="21"/>
                      <w:szCs w:val="21"/>
                    </w:rPr>
                  </w:pPr>
                </w:p>
              </w:tc>
            </w:tr>
            <w:tr w14:paraId="46FD1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490" w:type="dxa"/>
                  <w:noWrap w:val="0"/>
                  <w:vAlign w:val="center"/>
                </w:tcPr>
                <w:p w14:paraId="06B98D1D">
                  <w:pPr>
                    <w:keepNext w:val="0"/>
                    <w:keepLines w:val="0"/>
                    <w:suppressLineNumbers w:val="0"/>
                    <w:adjustRightInd w:val="0"/>
                    <w:spacing w:before="0" w:beforeAutospacing="0" w:after="0" w:afterAutospacing="0"/>
                    <w:ind w:left="0" w:leftChars="0" w:right="0" w:rightChars="0"/>
                    <w:jc w:val="center"/>
                    <w:rPr>
                      <w:rFonts w:hint="eastAsia"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8</w:t>
                  </w:r>
                </w:p>
              </w:tc>
              <w:tc>
                <w:tcPr>
                  <w:tcW w:w="1033" w:type="pct"/>
                  <w:noWrap w:val="0"/>
                  <w:vAlign w:val="center"/>
                </w:tcPr>
                <w:p w14:paraId="34EFD1DC">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丙烷</w:t>
                  </w:r>
                </w:p>
              </w:tc>
              <w:tc>
                <w:tcPr>
                  <w:tcW w:w="1367" w:type="dxa"/>
                  <w:noWrap w:val="0"/>
                  <w:vAlign w:val="center"/>
                </w:tcPr>
                <w:p w14:paraId="51DF08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2.1</w:t>
                  </w:r>
                </w:p>
              </w:tc>
              <w:tc>
                <w:tcPr>
                  <w:tcW w:w="924" w:type="dxa"/>
                  <w:noWrap w:val="0"/>
                  <w:vAlign w:val="center"/>
                </w:tcPr>
                <w:p w14:paraId="46CB6056">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1024" w:type="dxa"/>
                  <w:noWrap w:val="0"/>
                  <w:vAlign w:val="center"/>
                </w:tcPr>
                <w:p w14:paraId="45C82D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2.1</w:t>
                  </w:r>
                </w:p>
              </w:tc>
              <w:tc>
                <w:tcPr>
                  <w:tcW w:w="594" w:type="pct"/>
                  <w:noWrap w:val="0"/>
                  <w:vAlign w:val="center"/>
                </w:tcPr>
                <w:p w14:paraId="079818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10</w:t>
                  </w:r>
                </w:p>
              </w:tc>
              <w:tc>
                <w:tcPr>
                  <w:tcW w:w="986" w:type="dxa"/>
                  <w:noWrap w:val="0"/>
                  <w:vAlign w:val="center"/>
                </w:tcPr>
                <w:p w14:paraId="46AF673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0.21000 </w:t>
                  </w:r>
                </w:p>
              </w:tc>
              <w:tc>
                <w:tcPr>
                  <w:tcW w:w="581" w:type="pct"/>
                  <w:vMerge w:val="continue"/>
                  <w:noWrap w:val="0"/>
                  <w:vAlign w:val="center"/>
                </w:tcPr>
                <w:p w14:paraId="7247A624">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color w:val="auto"/>
                      <w:sz w:val="21"/>
                      <w:szCs w:val="21"/>
                    </w:rPr>
                  </w:pPr>
                </w:p>
              </w:tc>
            </w:tr>
            <w:tr w14:paraId="299AD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490" w:type="dxa"/>
                  <w:noWrap w:val="0"/>
                  <w:vAlign w:val="center"/>
                </w:tcPr>
                <w:p w14:paraId="460D4DD8">
                  <w:pPr>
                    <w:keepNext w:val="0"/>
                    <w:keepLines w:val="0"/>
                    <w:suppressLineNumbers w:val="0"/>
                    <w:adjustRightInd w:val="0"/>
                    <w:spacing w:before="0" w:beforeAutospacing="0" w:after="0" w:afterAutospacing="0"/>
                    <w:ind w:left="0" w:leftChars="0" w:right="0" w:rightChars="0"/>
                    <w:jc w:val="center"/>
                    <w:rPr>
                      <w:rFonts w:hint="eastAsia"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9</w:t>
                  </w:r>
                </w:p>
              </w:tc>
              <w:tc>
                <w:tcPr>
                  <w:tcW w:w="1033" w:type="pct"/>
                  <w:noWrap w:val="0"/>
                  <w:vAlign w:val="center"/>
                </w:tcPr>
                <w:p w14:paraId="4666DE6A">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甲醇</w:t>
                  </w:r>
                </w:p>
              </w:tc>
              <w:tc>
                <w:tcPr>
                  <w:tcW w:w="1367" w:type="dxa"/>
                  <w:noWrap w:val="0"/>
                  <w:vAlign w:val="center"/>
                </w:tcPr>
                <w:p w14:paraId="5A85BAF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3</w:t>
                  </w:r>
                </w:p>
              </w:tc>
              <w:tc>
                <w:tcPr>
                  <w:tcW w:w="924" w:type="dxa"/>
                  <w:noWrap w:val="0"/>
                  <w:vAlign w:val="center"/>
                </w:tcPr>
                <w:p w14:paraId="738F5FA4">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1024" w:type="dxa"/>
                  <w:noWrap w:val="0"/>
                  <w:vAlign w:val="center"/>
                </w:tcPr>
                <w:p w14:paraId="0E5B32E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3</w:t>
                  </w:r>
                </w:p>
              </w:tc>
              <w:tc>
                <w:tcPr>
                  <w:tcW w:w="594" w:type="pct"/>
                  <w:noWrap w:val="0"/>
                  <w:vAlign w:val="center"/>
                </w:tcPr>
                <w:p w14:paraId="6A28CCD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10</w:t>
                  </w:r>
                </w:p>
              </w:tc>
              <w:tc>
                <w:tcPr>
                  <w:tcW w:w="986" w:type="dxa"/>
                  <w:noWrap w:val="0"/>
                  <w:vAlign w:val="center"/>
                </w:tcPr>
                <w:p w14:paraId="0B12B5F7">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0.30000 </w:t>
                  </w:r>
                </w:p>
              </w:tc>
              <w:tc>
                <w:tcPr>
                  <w:tcW w:w="581" w:type="pct"/>
                  <w:vMerge w:val="continue"/>
                  <w:noWrap w:val="0"/>
                  <w:vAlign w:val="center"/>
                </w:tcPr>
                <w:p w14:paraId="1A757666">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color w:val="auto"/>
                      <w:sz w:val="21"/>
                      <w:szCs w:val="21"/>
                    </w:rPr>
                  </w:pPr>
                </w:p>
              </w:tc>
            </w:tr>
            <w:tr w14:paraId="035B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490" w:type="dxa"/>
                  <w:noWrap w:val="0"/>
                  <w:vAlign w:val="center"/>
                </w:tcPr>
                <w:p w14:paraId="22220354">
                  <w:pPr>
                    <w:keepNext w:val="0"/>
                    <w:keepLines w:val="0"/>
                    <w:suppressLineNumbers w:val="0"/>
                    <w:adjustRightInd w:val="0"/>
                    <w:spacing w:before="0" w:beforeAutospacing="0" w:after="0" w:afterAutospacing="0"/>
                    <w:ind w:left="0" w:leftChars="0" w:right="0" w:rightChars="0"/>
                    <w:jc w:val="center"/>
                    <w:rPr>
                      <w:rFonts w:hint="eastAsia"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10</w:t>
                  </w:r>
                </w:p>
              </w:tc>
              <w:tc>
                <w:tcPr>
                  <w:tcW w:w="1033" w:type="pct"/>
                  <w:noWrap w:val="0"/>
                  <w:vAlign w:val="center"/>
                </w:tcPr>
                <w:p w14:paraId="74EEB574">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润滑油</w:t>
                  </w:r>
                </w:p>
              </w:tc>
              <w:tc>
                <w:tcPr>
                  <w:tcW w:w="1367" w:type="dxa"/>
                  <w:noWrap w:val="0"/>
                  <w:vAlign w:val="center"/>
                </w:tcPr>
                <w:p w14:paraId="21EE4B7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0.4</w:t>
                  </w:r>
                </w:p>
              </w:tc>
              <w:tc>
                <w:tcPr>
                  <w:tcW w:w="924" w:type="dxa"/>
                  <w:noWrap w:val="0"/>
                  <w:vAlign w:val="center"/>
                </w:tcPr>
                <w:p w14:paraId="6FC0FF35">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024" w:type="dxa"/>
                  <w:noWrap w:val="0"/>
                  <w:vAlign w:val="center"/>
                </w:tcPr>
                <w:p w14:paraId="40F1BC2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0.4</w:t>
                  </w:r>
                </w:p>
              </w:tc>
              <w:tc>
                <w:tcPr>
                  <w:tcW w:w="594" w:type="pct"/>
                  <w:noWrap w:val="0"/>
                  <w:vAlign w:val="center"/>
                </w:tcPr>
                <w:p w14:paraId="2986D5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2500</w:t>
                  </w:r>
                </w:p>
              </w:tc>
              <w:tc>
                <w:tcPr>
                  <w:tcW w:w="986" w:type="dxa"/>
                  <w:noWrap w:val="0"/>
                  <w:vAlign w:val="center"/>
                </w:tcPr>
                <w:p w14:paraId="2536744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0.00016 </w:t>
                  </w:r>
                </w:p>
              </w:tc>
              <w:tc>
                <w:tcPr>
                  <w:tcW w:w="581" w:type="pct"/>
                  <w:vMerge w:val="continue"/>
                  <w:noWrap w:val="0"/>
                  <w:vAlign w:val="center"/>
                </w:tcPr>
                <w:p w14:paraId="4945C2DC">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color w:val="auto"/>
                      <w:sz w:val="21"/>
                      <w:szCs w:val="21"/>
                    </w:rPr>
                  </w:pPr>
                </w:p>
              </w:tc>
            </w:tr>
            <w:tr w14:paraId="5D071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285" w:type="pct"/>
                  <w:noWrap w:val="0"/>
                  <w:vAlign w:val="center"/>
                </w:tcPr>
                <w:p w14:paraId="4841114F">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11</w:t>
                  </w:r>
                </w:p>
              </w:tc>
              <w:tc>
                <w:tcPr>
                  <w:tcW w:w="1033" w:type="pct"/>
                  <w:noWrap w:val="0"/>
                  <w:vAlign w:val="center"/>
                </w:tcPr>
                <w:p w14:paraId="6BA55109">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天然气</w:t>
                  </w:r>
                </w:p>
              </w:tc>
              <w:tc>
                <w:tcPr>
                  <w:tcW w:w="1367" w:type="dxa"/>
                  <w:noWrap w:val="0"/>
                  <w:vAlign w:val="center"/>
                </w:tcPr>
                <w:p w14:paraId="3F0B3A8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w:t>
                  </w:r>
                </w:p>
              </w:tc>
              <w:tc>
                <w:tcPr>
                  <w:tcW w:w="924" w:type="dxa"/>
                  <w:noWrap w:val="0"/>
                  <w:vAlign w:val="center"/>
                </w:tcPr>
                <w:p w14:paraId="1BF8706F">
                  <w:pPr>
                    <w:keepNext w:val="0"/>
                    <w:keepLines w:val="0"/>
                    <w:suppressLineNumbers w:val="0"/>
                    <w:adjustRightIn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0.00763</w:t>
                  </w:r>
                </w:p>
              </w:tc>
              <w:tc>
                <w:tcPr>
                  <w:tcW w:w="1024" w:type="dxa"/>
                  <w:noWrap w:val="0"/>
                  <w:vAlign w:val="center"/>
                </w:tcPr>
                <w:p w14:paraId="6F0581B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lang w:val="en-US" w:eastAsia="zh-CN"/>
                    </w:rPr>
                    <w:t>0.00763</w:t>
                  </w:r>
                </w:p>
              </w:tc>
              <w:tc>
                <w:tcPr>
                  <w:tcW w:w="594" w:type="pct"/>
                  <w:noWrap w:val="0"/>
                  <w:vAlign w:val="center"/>
                </w:tcPr>
                <w:p w14:paraId="238A902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10</w:t>
                  </w:r>
                </w:p>
              </w:tc>
              <w:tc>
                <w:tcPr>
                  <w:tcW w:w="986" w:type="dxa"/>
                  <w:noWrap w:val="0"/>
                  <w:vAlign w:val="center"/>
                </w:tcPr>
                <w:p w14:paraId="4176207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0.00076 </w:t>
                  </w:r>
                </w:p>
              </w:tc>
              <w:tc>
                <w:tcPr>
                  <w:tcW w:w="581" w:type="pct"/>
                  <w:vMerge w:val="continue"/>
                  <w:noWrap w:val="0"/>
                  <w:vAlign w:val="center"/>
                </w:tcPr>
                <w:p w14:paraId="081332BF">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color w:val="auto"/>
                      <w:sz w:val="21"/>
                      <w:szCs w:val="21"/>
                    </w:rPr>
                  </w:pPr>
                </w:p>
              </w:tc>
            </w:tr>
          </w:tbl>
          <w:p w14:paraId="46A47C2D">
            <w:pPr>
              <w:keepNext w:val="0"/>
              <w:keepLines w:val="0"/>
              <w:suppressLineNumbers w:val="0"/>
              <w:spacing w:before="0" w:beforeAutospacing="0" w:after="0" w:afterAutospacing="0" w:line="440" w:lineRule="exact"/>
              <w:ind w:left="0" w:right="0"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根据上表分析，项目危险物质数量与临界量比值Q=0.</w:t>
            </w:r>
            <w:r>
              <w:rPr>
                <w:rFonts w:hint="eastAsia" w:ascii="Times New Roman" w:hAnsi="Times New Roman" w:cs="Times New Roman"/>
                <w:color w:val="auto"/>
                <w:kern w:val="0"/>
                <w:sz w:val="24"/>
                <w:lang w:val="en-US" w:eastAsia="zh-CN"/>
              </w:rPr>
              <w:t>5251</w:t>
            </w:r>
            <w:r>
              <w:rPr>
                <w:rFonts w:hint="default" w:ascii="Times New Roman" w:hAnsi="Times New Roman" w:eastAsia="宋体" w:cs="Times New Roman"/>
                <w:color w:val="auto"/>
                <w:kern w:val="0"/>
                <w:sz w:val="24"/>
              </w:rPr>
              <w:t>＜1。</w:t>
            </w:r>
          </w:p>
          <w:p w14:paraId="4DD1B1AA">
            <w:pPr>
              <w:keepNext w:val="0"/>
              <w:keepLines w:val="0"/>
              <w:suppressLineNumbers w:val="0"/>
              <w:spacing w:before="0" w:beforeAutospacing="0" w:after="0" w:afterAutospacing="0" w:line="440" w:lineRule="exact"/>
              <w:ind w:left="0" w:right="0"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②环境风险潜势初判</w:t>
            </w:r>
          </w:p>
          <w:p w14:paraId="719A7960">
            <w:pPr>
              <w:keepNext w:val="0"/>
              <w:keepLines w:val="0"/>
              <w:suppressLineNumbers w:val="0"/>
              <w:spacing w:before="0" w:beforeAutospacing="0" w:after="0" w:afterAutospacing="0" w:line="440" w:lineRule="exact"/>
              <w:ind w:left="0" w:right="0" w:firstLine="480" w:firstLineChars="200"/>
              <w:rPr>
                <w:rFonts w:hint="default" w:ascii="Times New Roman" w:hAnsi="Times New Roman" w:eastAsia="宋体" w:cs="Times New Roman"/>
                <w:color w:val="0000FF"/>
                <w:kern w:val="0"/>
                <w:sz w:val="24"/>
              </w:rPr>
            </w:pPr>
            <w:r>
              <w:rPr>
                <w:rFonts w:hint="default" w:ascii="Times New Roman" w:hAnsi="Times New Roman" w:eastAsia="宋体" w:cs="Times New Roman"/>
                <w:color w:val="auto"/>
                <w:kern w:val="0"/>
                <w:sz w:val="24"/>
              </w:rPr>
              <w:t>根据HJ 169－2018，当Q＜1时，环境风险潜势为Ⅰ。项目危险物质数量与临界量比值Q=</w:t>
            </w:r>
            <w:r>
              <w:rPr>
                <w:rFonts w:hint="eastAsia" w:ascii="Times New Roman" w:hAnsi="Times New Roman" w:cs="Times New Roman"/>
                <w:color w:val="auto"/>
                <w:kern w:val="0"/>
                <w:sz w:val="24"/>
                <w:lang w:val="en-US" w:eastAsia="zh-CN"/>
              </w:rPr>
              <w:t>0.5251</w:t>
            </w:r>
            <w:r>
              <w:rPr>
                <w:rFonts w:hint="default" w:ascii="Times New Roman" w:hAnsi="Times New Roman" w:eastAsia="宋体" w:cs="Times New Roman"/>
                <w:color w:val="auto"/>
                <w:kern w:val="0"/>
                <w:sz w:val="24"/>
              </w:rPr>
              <w:t>＜1，因此，本项目环境风险潜势为Ⅰ，开展简单分析。</w:t>
            </w:r>
          </w:p>
          <w:p w14:paraId="3EEE6CAE">
            <w:pPr>
              <w:keepNext w:val="0"/>
              <w:keepLines w:val="0"/>
              <w:suppressLineNumbers w:val="0"/>
              <w:spacing w:before="0" w:beforeAutospacing="0" w:after="0" w:afterAutospacing="0" w:line="440" w:lineRule="exact"/>
              <w:ind w:left="0" w:right="0" w:firstLine="482" w:firstLineChars="200"/>
              <w:rPr>
                <w:rFonts w:hint="default" w:ascii="Times New Roman" w:hAnsi="Times New Roman" w:eastAsia="宋体" w:cs="Times New Roman"/>
                <w:b/>
                <w:color w:val="auto"/>
                <w:kern w:val="0"/>
                <w:sz w:val="24"/>
              </w:rPr>
            </w:pPr>
            <w:r>
              <w:rPr>
                <w:rFonts w:hint="default" w:ascii="Times New Roman" w:hAnsi="Times New Roman" w:eastAsia="宋体" w:cs="Times New Roman"/>
                <w:b/>
                <w:color w:val="auto"/>
                <w:kern w:val="0"/>
                <w:sz w:val="24"/>
              </w:rPr>
              <w:t>（3）环境风险评价</w:t>
            </w:r>
          </w:p>
          <w:p w14:paraId="13518FEC">
            <w:pPr>
              <w:pStyle w:val="50"/>
              <w:keepNext w:val="0"/>
              <w:keepLines w:val="0"/>
              <w:suppressLineNumbers w:val="0"/>
              <w:spacing w:beforeAutospacing="0" w:after="0" w:afterAutospacing="0" w:line="440" w:lineRule="exact"/>
              <w:ind w:left="0" w:firstLine="480" w:firstLineChars="200"/>
              <w:rPr>
                <w:rFonts w:hint="default" w:ascii="Times New Roman" w:hAnsi="Times New Roman" w:eastAsia="宋体" w:cs="Times New Roman"/>
                <w:color w:val="auto"/>
                <w:sz w:val="24"/>
                <w:szCs w:val="22"/>
              </w:rPr>
            </w:pPr>
            <w:r>
              <w:rPr>
                <w:rFonts w:hint="default" w:ascii="Times New Roman" w:hAnsi="Times New Roman" w:eastAsia="宋体" w:cs="Times New Roman"/>
                <w:color w:val="auto"/>
                <w:sz w:val="24"/>
                <w:szCs w:val="22"/>
              </w:rPr>
              <w:t>A、火灾爆炸伴生环境事件</w:t>
            </w:r>
          </w:p>
          <w:p w14:paraId="21201FAA">
            <w:pPr>
              <w:pStyle w:val="50"/>
              <w:keepNext w:val="0"/>
              <w:keepLines w:val="0"/>
              <w:suppressLineNumbers w:val="0"/>
              <w:spacing w:beforeAutospacing="0" w:after="0" w:afterAutospacing="0" w:line="440" w:lineRule="exact"/>
              <w:ind w:left="0" w:firstLine="480" w:firstLineChars="200"/>
              <w:rPr>
                <w:rFonts w:hint="default" w:ascii="Times New Roman" w:hAnsi="Times New Roman" w:eastAsia="宋体" w:cs="Times New Roman"/>
                <w:color w:val="auto"/>
                <w:sz w:val="24"/>
                <w:szCs w:val="22"/>
              </w:rPr>
            </w:pPr>
            <w:r>
              <w:rPr>
                <w:rFonts w:hint="default" w:ascii="Times New Roman" w:hAnsi="Times New Roman" w:eastAsia="宋体" w:cs="Times New Roman"/>
                <w:color w:val="auto"/>
                <w:sz w:val="24"/>
                <w:szCs w:val="22"/>
              </w:rPr>
              <w:t>厂区发生火灾，灭火产生事故废弃物或产生混合有环境污染物质的消防下水。</w:t>
            </w:r>
          </w:p>
          <w:p w14:paraId="3C3B2D31">
            <w:pPr>
              <w:pStyle w:val="50"/>
              <w:keepNext w:val="0"/>
              <w:keepLines w:val="0"/>
              <w:suppressLineNumbers w:val="0"/>
              <w:spacing w:beforeAutospacing="0" w:after="0" w:afterAutospacing="0" w:line="440" w:lineRule="exact"/>
              <w:ind w:left="0" w:firstLine="480" w:firstLineChars="200"/>
              <w:rPr>
                <w:rFonts w:hint="default" w:ascii="Times New Roman" w:hAnsi="Times New Roman" w:eastAsia="宋体" w:cs="Times New Roman"/>
                <w:color w:val="auto"/>
                <w:sz w:val="24"/>
                <w:szCs w:val="22"/>
              </w:rPr>
            </w:pPr>
            <w:r>
              <w:rPr>
                <w:rFonts w:hint="default" w:ascii="Times New Roman" w:hAnsi="Times New Roman" w:eastAsia="宋体" w:cs="Times New Roman"/>
                <w:color w:val="auto"/>
                <w:sz w:val="24"/>
                <w:szCs w:val="22"/>
              </w:rPr>
              <w:t>B、废气异常排放</w:t>
            </w:r>
          </w:p>
          <w:p w14:paraId="2A72ACFE">
            <w:pPr>
              <w:pStyle w:val="50"/>
              <w:keepNext w:val="0"/>
              <w:keepLines w:val="0"/>
              <w:suppressLineNumbers w:val="0"/>
              <w:spacing w:beforeAutospacing="0" w:after="0" w:afterAutospacing="0" w:line="440" w:lineRule="exact"/>
              <w:ind w:left="0" w:firstLine="480" w:firstLineChars="200"/>
              <w:rPr>
                <w:rFonts w:hint="default" w:ascii="Times New Roman" w:hAnsi="Times New Roman" w:eastAsia="宋体" w:cs="Times New Roman"/>
                <w:color w:val="auto"/>
                <w:sz w:val="24"/>
                <w:szCs w:val="22"/>
              </w:rPr>
            </w:pPr>
            <w:r>
              <w:rPr>
                <w:rFonts w:hint="default" w:ascii="Times New Roman" w:hAnsi="Times New Roman" w:eastAsia="宋体" w:cs="Times New Roman"/>
                <w:color w:val="auto"/>
                <w:sz w:val="24"/>
                <w:szCs w:val="22"/>
              </w:rPr>
              <w:t>若由于废气处理装置故障等原因，可能导致废气异常排放，会对空气环境质量产生影响。</w:t>
            </w:r>
          </w:p>
          <w:p w14:paraId="191D5B27">
            <w:pPr>
              <w:pStyle w:val="50"/>
              <w:keepNext w:val="0"/>
              <w:keepLines w:val="0"/>
              <w:suppressLineNumbers w:val="0"/>
              <w:spacing w:beforeAutospacing="0" w:after="0" w:afterAutospacing="0" w:line="440" w:lineRule="exact"/>
              <w:ind w:left="0" w:firstLine="480" w:firstLineChars="200"/>
              <w:rPr>
                <w:rFonts w:hint="default" w:ascii="Times New Roman" w:hAnsi="Times New Roman" w:eastAsia="宋体" w:cs="Times New Roman"/>
                <w:color w:val="auto"/>
                <w:sz w:val="24"/>
                <w:szCs w:val="22"/>
              </w:rPr>
            </w:pPr>
            <w:r>
              <w:rPr>
                <w:rFonts w:hint="default" w:ascii="Times New Roman" w:hAnsi="Times New Roman" w:eastAsia="宋体" w:cs="Times New Roman"/>
                <w:color w:val="auto"/>
                <w:sz w:val="24"/>
                <w:szCs w:val="22"/>
              </w:rPr>
              <w:t>C、危废流失</w:t>
            </w:r>
          </w:p>
          <w:p w14:paraId="195C4243">
            <w:pPr>
              <w:pStyle w:val="50"/>
              <w:keepNext w:val="0"/>
              <w:keepLines w:val="0"/>
              <w:suppressLineNumbers w:val="0"/>
              <w:spacing w:beforeAutospacing="0" w:after="0" w:afterAutospacing="0" w:line="440" w:lineRule="exact"/>
              <w:ind w:left="0" w:firstLine="480" w:firstLineChars="200"/>
              <w:rPr>
                <w:rFonts w:hint="default" w:ascii="Times New Roman" w:hAnsi="Times New Roman" w:eastAsia="宋体" w:cs="Times New Roman"/>
                <w:color w:val="auto"/>
                <w:sz w:val="24"/>
                <w:szCs w:val="22"/>
              </w:rPr>
            </w:pPr>
            <w:r>
              <w:rPr>
                <w:rFonts w:hint="default" w:ascii="Times New Roman" w:hAnsi="Times New Roman" w:eastAsia="宋体" w:cs="Times New Roman"/>
                <w:color w:val="auto"/>
                <w:sz w:val="24"/>
                <w:szCs w:val="22"/>
              </w:rPr>
              <w:t>危废在收集过程中因操作、管理不当，使得危废混入一般废物中，流失出厂。</w:t>
            </w:r>
          </w:p>
          <w:p w14:paraId="1A3C470E">
            <w:pPr>
              <w:keepNext w:val="0"/>
              <w:keepLines w:val="0"/>
              <w:suppressLineNumbers w:val="0"/>
              <w:spacing w:before="0" w:beforeAutospacing="0" w:after="0" w:afterAutospacing="0" w:line="440" w:lineRule="exact"/>
              <w:ind w:left="0" w:right="0" w:firstLine="482" w:firstLineChars="200"/>
              <w:rPr>
                <w:rFonts w:hint="default" w:ascii="Times New Roman" w:hAnsi="Times New Roman" w:eastAsia="宋体" w:cs="Times New Roman"/>
                <w:b/>
                <w:color w:val="auto"/>
                <w:kern w:val="0"/>
                <w:sz w:val="24"/>
              </w:rPr>
            </w:pPr>
            <w:r>
              <w:rPr>
                <w:rFonts w:hint="default" w:ascii="Times New Roman" w:hAnsi="Times New Roman" w:eastAsia="宋体" w:cs="Times New Roman"/>
                <w:b/>
                <w:color w:val="auto"/>
                <w:kern w:val="0"/>
                <w:sz w:val="24"/>
              </w:rPr>
              <w:t>（4）风险防范措施</w:t>
            </w:r>
          </w:p>
          <w:p w14:paraId="08F40D44">
            <w:pPr>
              <w:pStyle w:val="50"/>
              <w:keepNext w:val="0"/>
              <w:keepLines w:val="0"/>
              <w:suppressLineNumbers w:val="0"/>
              <w:spacing w:beforeAutospacing="0" w:after="0" w:afterAutospacing="0" w:line="440" w:lineRule="exact"/>
              <w:ind w:left="0" w:firstLine="480" w:firstLineChars="200"/>
              <w:rPr>
                <w:rFonts w:hint="default" w:ascii="Times New Roman" w:hAnsi="Times New Roman" w:eastAsia="宋体" w:cs="Times New Roman"/>
                <w:color w:val="auto"/>
                <w:sz w:val="24"/>
                <w:szCs w:val="22"/>
              </w:rPr>
            </w:pPr>
            <w:r>
              <w:rPr>
                <w:rFonts w:hint="default" w:ascii="Times New Roman" w:hAnsi="Times New Roman" w:eastAsia="宋体" w:cs="Times New Roman"/>
                <w:color w:val="auto"/>
                <w:sz w:val="24"/>
                <w:szCs w:val="22"/>
              </w:rPr>
              <w:t>A、废气事故风险防范措施</w:t>
            </w:r>
          </w:p>
          <w:p w14:paraId="2EA51A87">
            <w:pPr>
              <w:pStyle w:val="50"/>
              <w:keepNext w:val="0"/>
              <w:keepLines w:val="0"/>
              <w:suppressLineNumbers w:val="0"/>
              <w:spacing w:beforeAutospacing="0" w:after="0" w:afterAutospacing="0" w:line="440" w:lineRule="exact"/>
              <w:ind w:left="0" w:firstLine="480" w:firstLineChars="200"/>
              <w:rPr>
                <w:rFonts w:hint="default" w:ascii="Times New Roman" w:hAnsi="Times New Roman" w:eastAsia="宋体" w:cs="Times New Roman"/>
                <w:color w:val="auto"/>
                <w:sz w:val="24"/>
                <w:szCs w:val="22"/>
              </w:rPr>
            </w:pPr>
            <w:r>
              <w:rPr>
                <w:rFonts w:hint="default" w:ascii="Times New Roman" w:hAnsi="Times New Roman" w:eastAsia="宋体" w:cs="Times New Roman"/>
                <w:color w:val="auto"/>
                <w:sz w:val="24"/>
                <w:szCs w:val="22"/>
              </w:rPr>
              <w:t>发生事故的原因主要有以下几个：</w:t>
            </w:r>
          </w:p>
          <w:p w14:paraId="6831341B">
            <w:pPr>
              <w:pStyle w:val="50"/>
              <w:keepNext w:val="0"/>
              <w:keepLines w:val="0"/>
              <w:suppressLineNumbers w:val="0"/>
              <w:spacing w:beforeAutospacing="0" w:after="0" w:afterAutospacing="0" w:line="440" w:lineRule="exact"/>
              <w:ind w:left="0" w:firstLine="480" w:firstLineChars="200"/>
              <w:rPr>
                <w:rFonts w:hint="default" w:ascii="Times New Roman" w:hAnsi="Times New Roman" w:eastAsia="宋体" w:cs="Times New Roman"/>
                <w:color w:val="auto"/>
                <w:sz w:val="24"/>
                <w:szCs w:val="22"/>
              </w:rPr>
            </w:pPr>
            <w:r>
              <w:rPr>
                <w:rFonts w:hint="default" w:ascii="Times New Roman" w:hAnsi="Times New Roman" w:eastAsia="宋体" w:cs="Times New Roman"/>
                <w:color w:val="auto"/>
                <w:sz w:val="24"/>
                <w:szCs w:val="22"/>
              </w:rPr>
              <w:fldChar w:fldCharType="begin"/>
            </w:r>
            <w:r>
              <w:rPr>
                <w:rFonts w:hint="default" w:ascii="Times New Roman" w:hAnsi="Times New Roman" w:eastAsia="宋体" w:cs="Times New Roman"/>
                <w:color w:val="auto"/>
                <w:sz w:val="24"/>
                <w:szCs w:val="22"/>
              </w:rPr>
              <w:instrText xml:space="preserve"> = 1 \* GB3 \* MERGEFORMAT </w:instrText>
            </w:r>
            <w:r>
              <w:rPr>
                <w:rFonts w:hint="default" w:ascii="Times New Roman" w:hAnsi="Times New Roman" w:eastAsia="宋体" w:cs="Times New Roman"/>
                <w:color w:val="auto"/>
                <w:sz w:val="24"/>
                <w:szCs w:val="22"/>
              </w:rPr>
              <w:fldChar w:fldCharType="separate"/>
            </w:r>
            <w:r>
              <w:rPr>
                <w:rFonts w:hint="default" w:ascii="Times New Roman" w:hAnsi="Times New Roman" w:eastAsia="宋体" w:cs="Times New Roman"/>
                <w:color w:val="auto"/>
                <w:sz w:val="24"/>
                <w:szCs w:val="22"/>
              </w:rPr>
              <w:t>①</w:t>
            </w:r>
            <w:r>
              <w:rPr>
                <w:rFonts w:hint="default" w:ascii="Times New Roman" w:hAnsi="Times New Roman" w:eastAsia="宋体" w:cs="Times New Roman"/>
                <w:color w:val="auto"/>
                <w:sz w:val="24"/>
                <w:szCs w:val="22"/>
              </w:rPr>
              <w:fldChar w:fldCharType="end"/>
            </w:r>
            <w:r>
              <w:rPr>
                <w:rFonts w:hint="default" w:ascii="Times New Roman" w:hAnsi="Times New Roman" w:eastAsia="宋体" w:cs="Times New Roman"/>
                <w:color w:val="auto"/>
                <w:sz w:val="24"/>
                <w:szCs w:val="22"/>
              </w:rPr>
              <w:t>废气处理系统在出现故障，未经处理的废气排入大气环境中；</w:t>
            </w:r>
            <w:r>
              <w:rPr>
                <w:rFonts w:hint="default" w:ascii="Times New Roman" w:hAnsi="Times New Roman" w:eastAsia="宋体" w:cs="Times New Roman"/>
                <w:color w:val="auto"/>
                <w:sz w:val="24"/>
                <w:szCs w:val="22"/>
              </w:rPr>
              <w:fldChar w:fldCharType="begin"/>
            </w:r>
            <w:r>
              <w:rPr>
                <w:rFonts w:hint="default" w:ascii="Times New Roman" w:hAnsi="Times New Roman" w:eastAsia="宋体" w:cs="Times New Roman"/>
                <w:color w:val="auto"/>
                <w:sz w:val="24"/>
                <w:szCs w:val="22"/>
              </w:rPr>
              <w:instrText xml:space="preserve"> = 2 \* GB3 \* MERGEFORMAT </w:instrText>
            </w:r>
            <w:r>
              <w:rPr>
                <w:rFonts w:hint="default" w:ascii="Times New Roman" w:hAnsi="Times New Roman" w:eastAsia="宋体" w:cs="Times New Roman"/>
                <w:color w:val="auto"/>
                <w:sz w:val="24"/>
                <w:szCs w:val="22"/>
              </w:rPr>
              <w:fldChar w:fldCharType="separate"/>
            </w:r>
            <w:r>
              <w:rPr>
                <w:rFonts w:hint="default" w:ascii="Times New Roman" w:hAnsi="Times New Roman" w:eastAsia="宋体" w:cs="Times New Roman"/>
                <w:color w:val="auto"/>
                <w:sz w:val="24"/>
                <w:szCs w:val="22"/>
              </w:rPr>
              <w:t>②</w:t>
            </w:r>
            <w:r>
              <w:rPr>
                <w:rFonts w:hint="default" w:ascii="Times New Roman" w:hAnsi="Times New Roman" w:eastAsia="宋体" w:cs="Times New Roman"/>
                <w:color w:val="auto"/>
                <w:sz w:val="24"/>
                <w:szCs w:val="22"/>
              </w:rPr>
              <w:fldChar w:fldCharType="end"/>
            </w:r>
            <w:r>
              <w:rPr>
                <w:rFonts w:hint="default" w:ascii="Times New Roman" w:hAnsi="Times New Roman" w:eastAsia="宋体" w:cs="Times New Roman"/>
                <w:color w:val="auto"/>
                <w:sz w:val="24"/>
                <w:szCs w:val="22"/>
              </w:rPr>
              <w:t>生产过程中由于设备老化、腐蚀、失误操作等原因造成</w:t>
            </w:r>
            <w:r>
              <w:rPr>
                <w:rFonts w:hint="default" w:ascii="Times New Roman" w:hAnsi="Times New Roman" w:eastAsia="宋体" w:cs="Times New Roman"/>
                <w:color w:val="auto"/>
                <w:sz w:val="24"/>
                <w:szCs w:val="22"/>
                <w:lang w:val="en-US" w:eastAsia="zh-CN"/>
              </w:rPr>
              <w:t>厂房</w:t>
            </w:r>
            <w:r>
              <w:rPr>
                <w:rFonts w:hint="default" w:ascii="Times New Roman" w:hAnsi="Times New Roman" w:eastAsia="宋体" w:cs="Times New Roman"/>
                <w:color w:val="auto"/>
                <w:sz w:val="24"/>
                <w:szCs w:val="22"/>
              </w:rPr>
              <w:t>废气浓度超标；</w:t>
            </w:r>
            <w:r>
              <w:rPr>
                <w:rFonts w:hint="default" w:ascii="Times New Roman" w:hAnsi="Times New Roman" w:eastAsia="宋体" w:cs="Times New Roman"/>
                <w:color w:val="auto"/>
                <w:sz w:val="24"/>
                <w:szCs w:val="22"/>
              </w:rPr>
              <w:fldChar w:fldCharType="begin"/>
            </w:r>
            <w:r>
              <w:rPr>
                <w:rFonts w:hint="default" w:ascii="Times New Roman" w:hAnsi="Times New Roman" w:eastAsia="宋体" w:cs="Times New Roman"/>
                <w:color w:val="auto"/>
                <w:sz w:val="24"/>
                <w:szCs w:val="22"/>
              </w:rPr>
              <w:instrText xml:space="preserve"> = 3 \* GB3 \* MERGEFORMAT </w:instrText>
            </w:r>
            <w:r>
              <w:rPr>
                <w:rFonts w:hint="default" w:ascii="Times New Roman" w:hAnsi="Times New Roman" w:eastAsia="宋体" w:cs="Times New Roman"/>
                <w:color w:val="auto"/>
                <w:sz w:val="24"/>
                <w:szCs w:val="22"/>
              </w:rPr>
              <w:fldChar w:fldCharType="separate"/>
            </w:r>
            <w:r>
              <w:rPr>
                <w:rFonts w:hint="default" w:ascii="Times New Roman" w:hAnsi="Times New Roman" w:eastAsia="宋体" w:cs="Times New Roman"/>
                <w:color w:val="auto"/>
                <w:sz w:val="24"/>
                <w:szCs w:val="22"/>
              </w:rPr>
              <w:t>③</w:t>
            </w:r>
            <w:r>
              <w:rPr>
                <w:rFonts w:hint="default" w:ascii="Times New Roman" w:hAnsi="Times New Roman" w:eastAsia="宋体" w:cs="Times New Roman"/>
                <w:color w:val="auto"/>
                <w:sz w:val="24"/>
                <w:szCs w:val="22"/>
              </w:rPr>
              <w:fldChar w:fldCharType="end"/>
            </w:r>
            <w:r>
              <w:rPr>
                <w:rFonts w:hint="default" w:ascii="Times New Roman" w:hAnsi="Times New Roman" w:eastAsia="宋体" w:cs="Times New Roman"/>
                <w:color w:val="auto"/>
                <w:sz w:val="24"/>
                <w:szCs w:val="22"/>
              </w:rPr>
              <w:t>厂内突然停电，废气处理系统停止工作，致使废气不能得到及时处理而造成事故排放；</w:t>
            </w:r>
            <w:r>
              <w:rPr>
                <w:rFonts w:hint="default" w:ascii="Times New Roman" w:hAnsi="Times New Roman" w:eastAsia="宋体" w:cs="Times New Roman"/>
                <w:color w:val="auto"/>
                <w:sz w:val="24"/>
                <w:szCs w:val="22"/>
              </w:rPr>
              <w:fldChar w:fldCharType="begin"/>
            </w:r>
            <w:r>
              <w:rPr>
                <w:rFonts w:hint="default" w:ascii="Times New Roman" w:hAnsi="Times New Roman" w:eastAsia="宋体" w:cs="Times New Roman"/>
                <w:color w:val="auto"/>
                <w:sz w:val="24"/>
                <w:szCs w:val="22"/>
              </w:rPr>
              <w:instrText xml:space="preserve"> = 4 \* GB3 \* MERGEFORMAT </w:instrText>
            </w:r>
            <w:r>
              <w:rPr>
                <w:rFonts w:hint="default" w:ascii="Times New Roman" w:hAnsi="Times New Roman" w:eastAsia="宋体" w:cs="Times New Roman"/>
                <w:color w:val="auto"/>
                <w:sz w:val="24"/>
                <w:szCs w:val="22"/>
              </w:rPr>
              <w:fldChar w:fldCharType="separate"/>
            </w:r>
            <w:r>
              <w:rPr>
                <w:rFonts w:hint="default" w:ascii="Times New Roman" w:hAnsi="Times New Roman" w:eastAsia="宋体" w:cs="Times New Roman"/>
                <w:color w:val="auto"/>
                <w:sz w:val="24"/>
                <w:szCs w:val="22"/>
              </w:rPr>
              <w:t>④</w:t>
            </w:r>
            <w:r>
              <w:rPr>
                <w:rFonts w:hint="default" w:ascii="Times New Roman" w:hAnsi="Times New Roman" w:eastAsia="宋体" w:cs="Times New Roman"/>
                <w:color w:val="auto"/>
                <w:sz w:val="24"/>
                <w:szCs w:val="22"/>
              </w:rPr>
              <w:fldChar w:fldCharType="end"/>
            </w:r>
            <w:r>
              <w:rPr>
                <w:rFonts w:hint="default" w:ascii="Times New Roman" w:hAnsi="Times New Roman" w:eastAsia="宋体" w:cs="Times New Roman"/>
                <w:color w:val="auto"/>
                <w:sz w:val="24"/>
                <w:szCs w:val="22"/>
              </w:rPr>
              <w:t>对废气治理措施疏于管理，使废气治理措施处理效率降低造成废气浓度超标。</w:t>
            </w:r>
          </w:p>
          <w:p w14:paraId="1A1F3C67">
            <w:pPr>
              <w:pStyle w:val="50"/>
              <w:keepNext w:val="0"/>
              <w:keepLines w:val="0"/>
              <w:suppressLineNumbers w:val="0"/>
              <w:spacing w:beforeAutospacing="0" w:after="0" w:afterAutospacing="0" w:line="440" w:lineRule="exact"/>
              <w:ind w:left="0" w:firstLine="480" w:firstLineChars="200"/>
              <w:rPr>
                <w:rFonts w:hint="default" w:ascii="Times New Roman" w:hAnsi="Times New Roman" w:eastAsia="宋体" w:cs="Times New Roman"/>
                <w:color w:val="auto"/>
                <w:sz w:val="24"/>
                <w:szCs w:val="22"/>
              </w:rPr>
            </w:pPr>
            <w:r>
              <w:rPr>
                <w:rFonts w:hint="default" w:ascii="Times New Roman" w:hAnsi="Times New Roman" w:eastAsia="宋体" w:cs="Times New Roman"/>
                <w:color w:val="auto"/>
                <w:sz w:val="24"/>
                <w:szCs w:val="22"/>
              </w:rPr>
              <w:t>为杜绝事故性废气排放，建议采用以下措施来确保废气达标排放：</w:t>
            </w:r>
          </w:p>
          <w:p w14:paraId="45B2FD67">
            <w:pPr>
              <w:pStyle w:val="50"/>
              <w:keepNext w:val="0"/>
              <w:keepLines w:val="0"/>
              <w:suppressLineNumbers w:val="0"/>
              <w:spacing w:beforeAutospacing="0" w:after="0" w:afterAutospacing="0" w:line="440" w:lineRule="exact"/>
              <w:ind w:left="0" w:firstLine="480" w:firstLineChars="200"/>
              <w:rPr>
                <w:rFonts w:hint="default" w:ascii="Times New Roman" w:hAnsi="Times New Roman" w:eastAsia="宋体" w:cs="Times New Roman"/>
                <w:color w:val="auto"/>
                <w:sz w:val="24"/>
                <w:szCs w:val="22"/>
              </w:rPr>
            </w:pPr>
            <w:r>
              <w:rPr>
                <w:rFonts w:hint="default" w:ascii="Times New Roman" w:hAnsi="Times New Roman" w:eastAsia="宋体" w:cs="Times New Roman"/>
                <w:color w:val="auto"/>
                <w:sz w:val="24"/>
                <w:szCs w:val="22"/>
              </w:rPr>
              <w:fldChar w:fldCharType="begin"/>
            </w:r>
            <w:r>
              <w:rPr>
                <w:rFonts w:hint="default" w:ascii="Times New Roman" w:hAnsi="Times New Roman" w:eastAsia="宋体" w:cs="Times New Roman"/>
                <w:color w:val="auto"/>
                <w:sz w:val="24"/>
                <w:szCs w:val="22"/>
              </w:rPr>
              <w:instrText xml:space="preserve"> = 1 \* GB3 \* MERGEFORMAT </w:instrText>
            </w:r>
            <w:r>
              <w:rPr>
                <w:rFonts w:hint="default" w:ascii="Times New Roman" w:hAnsi="Times New Roman" w:eastAsia="宋体" w:cs="Times New Roman"/>
                <w:color w:val="auto"/>
                <w:sz w:val="24"/>
                <w:szCs w:val="22"/>
              </w:rPr>
              <w:fldChar w:fldCharType="separate"/>
            </w:r>
            <w:r>
              <w:rPr>
                <w:rFonts w:hint="default" w:ascii="Times New Roman" w:hAnsi="Times New Roman" w:eastAsia="宋体" w:cs="Times New Roman"/>
                <w:color w:val="auto"/>
                <w:sz w:val="24"/>
                <w:szCs w:val="22"/>
              </w:rPr>
              <w:t>①</w:t>
            </w:r>
            <w:r>
              <w:rPr>
                <w:rFonts w:hint="default" w:ascii="Times New Roman" w:hAnsi="Times New Roman" w:eastAsia="宋体" w:cs="Times New Roman"/>
                <w:color w:val="auto"/>
                <w:sz w:val="24"/>
                <w:szCs w:val="22"/>
              </w:rPr>
              <w:fldChar w:fldCharType="end"/>
            </w:r>
            <w:r>
              <w:rPr>
                <w:rFonts w:hint="default" w:ascii="Times New Roman" w:hAnsi="Times New Roman" w:eastAsia="宋体" w:cs="Times New Roman"/>
                <w:color w:val="auto"/>
                <w:sz w:val="24"/>
                <w:szCs w:val="22"/>
              </w:rPr>
              <w:t>平时加强废气处理设施的维护保养，及时发现处理设备的隐患，并及时进行维修，确保废气处理系统正常运行；</w:t>
            </w:r>
            <w:r>
              <w:rPr>
                <w:rFonts w:hint="default" w:ascii="Times New Roman" w:hAnsi="Times New Roman" w:eastAsia="宋体" w:cs="Times New Roman"/>
                <w:color w:val="auto"/>
                <w:sz w:val="24"/>
                <w:szCs w:val="22"/>
              </w:rPr>
              <w:fldChar w:fldCharType="begin"/>
            </w:r>
            <w:r>
              <w:rPr>
                <w:rFonts w:hint="default" w:ascii="Times New Roman" w:hAnsi="Times New Roman" w:eastAsia="宋体" w:cs="Times New Roman"/>
                <w:color w:val="auto"/>
                <w:sz w:val="24"/>
                <w:szCs w:val="22"/>
              </w:rPr>
              <w:instrText xml:space="preserve"> = 2 \* GB3 \* MERGEFORMAT </w:instrText>
            </w:r>
            <w:r>
              <w:rPr>
                <w:rFonts w:hint="default" w:ascii="Times New Roman" w:hAnsi="Times New Roman" w:eastAsia="宋体" w:cs="Times New Roman"/>
                <w:color w:val="auto"/>
                <w:sz w:val="24"/>
                <w:szCs w:val="22"/>
              </w:rPr>
              <w:fldChar w:fldCharType="separate"/>
            </w:r>
            <w:r>
              <w:rPr>
                <w:rFonts w:hint="default" w:ascii="Times New Roman" w:hAnsi="Times New Roman" w:eastAsia="宋体" w:cs="Times New Roman"/>
                <w:color w:val="auto"/>
                <w:sz w:val="24"/>
                <w:szCs w:val="22"/>
              </w:rPr>
              <w:t>②</w:t>
            </w:r>
            <w:r>
              <w:rPr>
                <w:rFonts w:hint="default" w:ascii="Times New Roman" w:hAnsi="Times New Roman" w:eastAsia="宋体" w:cs="Times New Roman"/>
                <w:color w:val="auto"/>
                <w:sz w:val="24"/>
                <w:szCs w:val="22"/>
              </w:rPr>
              <w:fldChar w:fldCharType="end"/>
            </w:r>
            <w:r>
              <w:rPr>
                <w:rFonts w:hint="default" w:ascii="Times New Roman" w:hAnsi="Times New Roman" w:eastAsia="宋体" w:cs="Times New Roman"/>
                <w:color w:val="auto"/>
                <w:sz w:val="24"/>
                <w:szCs w:val="22"/>
              </w:rPr>
              <w:t>建立健全的环保机构，对管理人员和技术人员进行岗位培训，对废气处理实行全过程跟踪控制；</w:t>
            </w:r>
            <w:r>
              <w:rPr>
                <w:rFonts w:hint="default" w:ascii="Times New Roman" w:hAnsi="Times New Roman" w:eastAsia="宋体" w:cs="Times New Roman"/>
                <w:color w:val="auto"/>
                <w:sz w:val="24"/>
                <w:szCs w:val="22"/>
              </w:rPr>
              <w:fldChar w:fldCharType="begin"/>
            </w:r>
            <w:r>
              <w:rPr>
                <w:rFonts w:hint="default" w:ascii="Times New Roman" w:hAnsi="Times New Roman" w:eastAsia="宋体" w:cs="Times New Roman"/>
                <w:color w:val="auto"/>
                <w:sz w:val="24"/>
                <w:szCs w:val="22"/>
              </w:rPr>
              <w:instrText xml:space="preserve"> = 3 \* GB3 \* MERGEFORMAT </w:instrText>
            </w:r>
            <w:r>
              <w:rPr>
                <w:rFonts w:hint="default" w:ascii="Times New Roman" w:hAnsi="Times New Roman" w:eastAsia="宋体" w:cs="Times New Roman"/>
                <w:color w:val="auto"/>
                <w:sz w:val="24"/>
                <w:szCs w:val="22"/>
              </w:rPr>
              <w:fldChar w:fldCharType="separate"/>
            </w:r>
            <w:r>
              <w:rPr>
                <w:rFonts w:hint="default" w:ascii="Times New Roman" w:hAnsi="Times New Roman" w:eastAsia="宋体" w:cs="Times New Roman"/>
                <w:color w:val="auto"/>
                <w:sz w:val="24"/>
                <w:szCs w:val="22"/>
              </w:rPr>
              <w:t>③</w:t>
            </w:r>
            <w:r>
              <w:rPr>
                <w:rFonts w:hint="default" w:ascii="Times New Roman" w:hAnsi="Times New Roman" w:eastAsia="宋体" w:cs="Times New Roman"/>
                <w:color w:val="auto"/>
                <w:sz w:val="24"/>
                <w:szCs w:val="22"/>
              </w:rPr>
              <w:fldChar w:fldCharType="end"/>
            </w:r>
            <w:r>
              <w:rPr>
                <w:rFonts w:hint="default" w:ascii="Times New Roman" w:hAnsi="Times New Roman" w:eastAsia="宋体" w:cs="Times New Roman"/>
                <w:color w:val="auto"/>
                <w:sz w:val="24"/>
                <w:szCs w:val="22"/>
              </w:rPr>
              <w:t>项目应设有备用电源和备用处理设备，以备停电或设备出现故障时保障废气全部抽入净化系统进行处理以达标排放。</w:t>
            </w:r>
          </w:p>
          <w:p w14:paraId="10E14C57">
            <w:pPr>
              <w:pStyle w:val="50"/>
              <w:keepNext w:val="0"/>
              <w:keepLines w:val="0"/>
              <w:suppressLineNumbers w:val="0"/>
              <w:spacing w:beforeAutospacing="0" w:after="0" w:afterAutospacing="0" w:line="440" w:lineRule="exact"/>
              <w:ind w:left="0" w:firstLine="480" w:firstLineChars="200"/>
              <w:rPr>
                <w:rFonts w:hint="default" w:ascii="Times New Roman" w:hAnsi="Times New Roman" w:eastAsia="宋体" w:cs="Times New Roman"/>
                <w:color w:val="auto"/>
                <w:sz w:val="24"/>
                <w:szCs w:val="22"/>
              </w:rPr>
            </w:pPr>
            <w:r>
              <w:rPr>
                <w:rFonts w:hint="default" w:ascii="Times New Roman" w:hAnsi="Times New Roman" w:eastAsia="宋体" w:cs="Times New Roman"/>
                <w:color w:val="auto"/>
                <w:sz w:val="24"/>
                <w:szCs w:val="22"/>
              </w:rPr>
              <w:t>B、固废事故风险防范措施</w:t>
            </w:r>
          </w:p>
          <w:p w14:paraId="2FAA2365">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rPr>
              <w:t>全厂各种固废分类收集，盛放，临时存放室内固定场所，不被雨淋、风吹、专车运送，所有固废都得到合适的处置或综合利用，生活垃圾由环卫部门统一收集处理，固废实现</w:t>
            </w:r>
            <w:r>
              <w:rPr>
                <w:rFonts w:hint="eastAsia" w:cs="Times New Roman"/>
                <w:color w:val="auto"/>
                <w:lang w:eastAsia="zh-CN"/>
              </w:rPr>
              <w:t>“</w:t>
            </w:r>
            <w:r>
              <w:rPr>
                <w:rFonts w:hint="default" w:ascii="Times New Roman" w:hAnsi="Times New Roman" w:eastAsia="宋体" w:cs="Times New Roman"/>
                <w:color w:val="auto"/>
              </w:rPr>
              <w:t>零排放</w:t>
            </w:r>
            <w:r>
              <w:rPr>
                <w:rFonts w:hint="eastAsia" w:cs="Times New Roman"/>
                <w:color w:val="auto"/>
                <w:lang w:eastAsia="zh-CN"/>
              </w:rPr>
              <w:t>”</w:t>
            </w:r>
            <w:r>
              <w:rPr>
                <w:rFonts w:hint="default" w:ascii="Times New Roman" w:hAnsi="Times New Roman" w:eastAsia="宋体" w:cs="Times New Roman"/>
                <w:color w:val="auto"/>
              </w:rPr>
              <w:t>是有保证的，不会对环境产生二次污染。危废暂存场所设置防渗层，防止固废对地下水和土壤的造成污染。</w:t>
            </w:r>
          </w:p>
          <w:p w14:paraId="540B523D">
            <w:pPr>
              <w:pStyle w:val="50"/>
              <w:keepNext w:val="0"/>
              <w:keepLines w:val="0"/>
              <w:pageBreakBefore w:val="0"/>
              <w:widowControl w:val="0"/>
              <w:suppressLineNumbers w:val="0"/>
              <w:kinsoku/>
              <w:wordWrap/>
              <w:overflowPunct/>
              <w:topLinePunct w:val="0"/>
              <w:autoSpaceDE/>
              <w:autoSpaceDN/>
              <w:bidi w:val="0"/>
              <w:snapToGrid/>
              <w:spacing w:beforeAutospacing="0" w:after="0" w:afterAutospacing="0" w:line="440" w:lineRule="exact"/>
              <w:ind w:left="0" w:firstLine="480" w:firstLineChars="200"/>
              <w:textAlignment w:val="auto"/>
              <w:rPr>
                <w:rFonts w:hint="default" w:ascii="Times New Roman" w:hAnsi="Times New Roman" w:eastAsia="宋体" w:cs="Times New Roman"/>
                <w:color w:val="auto"/>
                <w:sz w:val="24"/>
                <w:szCs w:val="22"/>
              </w:rPr>
            </w:pPr>
            <w:r>
              <w:rPr>
                <w:rFonts w:hint="default" w:ascii="Times New Roman" w:hAnsi="Times New Roman" w:eastAsia="宋体" w:cs="Times New Roman"/>
                <w:color w:val="auto"/>
                <w:sz w:val="24"/>
                <w:szCs w:val="22"/>
              </w:rPr>
              <w:t>C、</w:t>
            </w:r>
            <w:r>
              <w:rPr>
                <w:rFonts w:hint="default" w:ascii="Times New Roman" w:hAnsi="Times New Roman" w:eastAsia="宋体" w:cs="Times New Roman"/>
                <w:color w:val="auto"/>
                <w:sz w:val="24"/>
                <w:szCs w:val="24"/>
              </w:rPr>
              <w:t>火灾、爆炸事故应急预案及相应措施</w:t>
            </w:r>
          </w:p>
          <w:p w14:paraId="63D141C8">
            <w:pPr>
              <w:pStyle w:val="5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440" w:lineRule="exact"/>
              <w:ind w:left="0" w:firstLine="480" w:firstLineChars="200"/>
              <w:textAlignment w:val="auto"/>
              <w:rPr>
                <w:rFonts w:hint="default" w:ascii="Times New Roman" w:hAnsi="宋体" w:eastAsia="宋体" w:cs="Times New Roman"/>
                <w:color w:val="auto"/>
                <w:sz w:val="24"/>
                <w:szCs w:val="22"/>
              </w:rPr>
            </w:pPr>
            <w:r>
              <w:rPr>
                <w:rFonts w:hint="default" w:ascii="Times New Roman" w:hAnsi="宋体" w:eastAsia="宋体" w:cs="Times New Roman"/>
                <w:color w:val="auto"/>
                <w:sz w:val="24"/>
                <w:szCs w:val="22"/>
              </w:rPr>
              <w:fldChar w:fldCharType="begin"/>
            </w:r>
            <w:r>
              <w:rPr>
                <w:rFonts w:hint="default" w:ascii="Times New Roman" w:hAnsi="宋体" w:eastAsia="宋体" w:cs="Times New Roman"/>
                <w:color w:val="auto"/>
                <w:sz w:val="24"/>
                <w:szCs w:val="22"/>
              </w:rPr>
              <w:instrText xml:space="preserve"> = 1 \* GB3 \* MERGEFORMAT </w:instrText>
            </w:r>
            <w:r>
              <w:rPr>
                <w:rFonts w:hint="default" w:ascii="Times New Roman" w:hAnsi="宋体" w:eastAsia="宋体" w:cs="Times New Roman"/>
                <w:color w:val="auto"/>
                <w:sz w:val="24"/>
                <w:szCs w:val="22"/>
              </w:rPr>
              <w:fldChar w:fldCharType="separate"/>
            </w:r>
            <w:r>
              <w:rPr>
                <w:rFonts w:hint="default" w:ascii="Times New Roman" w:hAnsi="宋体" w:eastAsia="宋体" w:cs="Times New Roman"/>
                <w:color w:val="auto"/>
                <w:sz w:val="24"/>
                <w:szCs w:val="22"/>
              </w:rPr>
              <w:t>①</w:t>
            </w:r>
            <w:r>
              <w:rPr>
                <w:rFonts w:hint="default" w:ascii="Times New Roman" w:hAnsi="宋体" w:eastAsia="宋体" w:cs="Times New Roman"/>
                <w:color w:val="auto"/>
                <w:sz w:val="24"/>
                <w:szCs w:val="22"/>
              </w:rPr>
              <w:fldChar w:fldCharType="end"/>
            </w:r>
            <w:r>
              <w:rPr>
                <w:rFonts w:hint="default" w:ascii="Times New Roman" w:hAnsi="宋体" w:eastAsia="宋体" w:cs="Times New Roman"/>
                <w:color w:val="auto"/>
                <w:sz w:val="24"/>
                <w:szCs w:val="22"/>
              </w:rPr>
              <w:t>总图布置和建筑安全防范措施</w:t>
            </w:r>
          </w:p>
          <w:p w14:paraId="46662395">
            <w:pPr>
              <w:pStyle w:val="5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440" w:lineRule="exact"/>
              <w:ind w:left="0" w:firstLine="480" w:firstLineChars="200"/>
              <w:textAlignment w:val="auto"/>
              <w:rPr>
                <w:rFonts w:hint="default" w:ascii="Times New Roman" w:hAnsi="宋体" w:eastAsia="宋体" w:cs="Times New Roman"/>
                <w:color w:val="auto"/>
                <w:sz w:val="24"/>
                <w:szCs w:val="22"/>
              </w:rPr>
            </w:pPr>
            <w:r>
              <w:rPr>
                <w:rFonts w:hint="default" w:ascii="Times New Roman" w:hAnsi="宋体" w:eastAsia="宋体" w:cs="Times New Roman"/>
                <w:color w:val="auto"/>
                <w:sz w:val="24"/>
                <w:szCs w:val="22"/>
              </w:rPr>
              <w:t>厂区总平面布置、防火间距应符合《建筑设计防火规范》和《工业企业总平面设计规范》等相关规定。物料储存车间建筑物耐火等级应符合《建筑设计防火规范》的有关规定，并通过消防、安全验收。</w:t>
            </w:r>
          </w:p>
          <w:p w14:paraId="5AA91E40">
            <w:pPr>
              <w:pStyle w:val="5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440" w:lineRule="exact"/>
              <w:ind w:left="0" w:firstLine="480" w:firstLineChars="200"/>
              <w:textAlignment w:val="auto"/>
              <w:rPr>
                <w:rFonts w:hint="default" w:ascii="Times New Roman" w:hAnsi="宋体" w:eastAsia="宋体" w:cs="Times New Roman"/>
                <w:color w:val="auto"/>
                <w:sz w:val="24"/>
                <w:szCs w:val="22"/>
              </w:rPr>
            </w:pPr>
            <w:r>
              <w:rPr>
                <w:rFonts w:hint="default" w:ascii="Times New Roman" w:hAnsi="宋体" w:eastAsia="宋体" w:cs="Times New Roman"/>
                <w:color w:val="auto"/>
                <w:sz w:val="24"/>
                <w:szCs w:val="22"/>
              </w:rPr>
              <w:fldChar w:fldCharType="begin"/>
            </w:r>
            <w:r>
              <w:rPr>
                <w:rFonts w:hint="default" w:ascii="Times New Roman" w:hAnsi="宋体" w:eastAsia="宋体" w:cs="Times New Roman"/>
                <w:color w:val="auto"/>
                <w:sz w:val="24"/>
                <w:szCs w:val="22"/>
              </w:rPr>
              <w:instrText xml:space="preserve"> = 2 \* GB3 \* MERGEFORMAT </w:instrText>
            </w:r>
            <w:r>
              <w:rPr>
                <w:rFonts w:hint="default" w:ascii="Times New Roman" w:hAnsi="宋体" w:eastAsia="宋体" w:cs="Times New Roman"/>
                <w:color w:val="auto"/>
                <w:sz w:val="24"/>
                <w:szCs w:val="22"/>
              </w:rPr>
              <w:fldChar w:fldCharType="separate"/>
            </w:r>
            <w:r>
              <w:rPr>
                <w:rFonts w:hint="default" w:ascii="Times New Roman" w:hAnsi="宋体" w:eastAsia="宋体" w:cs="Times New Roman"/>
                <w:color w:val="auto"/>
                <w:sz w:val="24"/>
                <w:szCs w:val="22"/>
              </w:rPr>
              <w:t>②</w:t>
            </w:r>
            <w:r>
              <w:rPr>
                <w:rFonts w:hint="default" w:ascii="Times New Roman" w:hAnsi="宋体" w:eastAsia="宋体" w:cs="Times New Roman"/>
                <w:color w:val="auto"/>
                <w:sz w:val="24"/>
                <w:szCs w:val="22"/>
              </w:rPr>
              <w:fldChar w:fldCharType="end"/>
            </w:r>
            <w:r>
              <w:rPr>
                <w:rFonts w:hint="default" w:ascii="Times New Roman" w:hAnsi="宋体" w:eastAsia="宋体" w:cs="Times New Roman"/>
                <w:color w:val="auto"/>
                <w:sz w:val="24"/>
                <w:szCs w:val="22"/>
              </w:rPr>
              <w:t>可燃易燃品储运防范措施</w:t>
            </w:r>
          </w:p>
          <w:p w14:paraId="28FF1132">
            <w:pPr>
              <w:pStyle w:val="5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440" w:lineRule="exact"/>
              <w:ind w:left="0" w:firstLine="480" w:firstLineChars="200"/>
              <w:textAlignment w:val="auto"/>
              <w:rPr>
                <w:rFonts w:hint="default" w:ascii="Times New Roman" w:hAnsi="宋体" w:eastAsia="宋体" w:cs="Times New Roman"/>
                <w:color w:val="auto"/>
                <w:sz w:val="24"/>
                <w:szCs w:val="22"/>
              </w:rPr>
            </w:pPr>
            <w:r>
              <w:rPr>
                <w:rFonts w:hint="default" w:ascii="Times New Roman" w:hAnsi="宋体" w:eastAsia="宋体" w:cs="Times New Roman"/>
                <w:color w:val="auto"/>
                <w:sz w:val="24"/>
                <w:szCs w:val="22"/>
              </w:rPr>
              <w:t>尽可能减少可燃易燃品储存量和储存周期，物料储存应符合《易燃易爆性商品储藏养护技术条件》等相关技术规范。</w:t>
            </w:r>
          </w:p>
          <w:p w14:paraId="4389725E">
            <w:pPr>
              <w:pStyle w:val="5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440" w:lineRule="exact"/>
              <w:ind w:left="0" w:firstLine="480" w:firstLineChars="200"/>
              <w:textAlignment w:val="auto"/>
              <w:rPr>
                <w:rFonts w:hint="default" w:ascii="Times New Roman" w:hAnsi="宋体" w:eastAsia="宋体" w:cs="Times New Roman"/>
                <w:color w:val="auto"/>
                <w:sz w:val="24"/>
                <w:szCs w:val="22"/>
              </w:rPr>
            </w:pPr>
            <w:r>
              <w:rPr>
                <w:rFonts w:hint="default" w:ascii="Times New Roman" w:hAnsi="宋体" w:eastAsia="宋体" w:cs="Times New Roman"/>
                <w:color w:val="auto"/>
                <w:sz w:val="24"/>
                <w:szCs w:val="22"/>
              </w:rPr>
              <w:fldChar w:fldCharType="begin"/>
            </w:r>
            <w:r>
              <w:rPr>
                <w:rFonts w:hint="default" w:ascii="Times New Roman" w:hAnsi="宋体" w:eastAsia="宋体" w:cs="Times New Roman"/>
                <w:color w:val="auto"/>
                <w:sz w:val="24"/>
                <w:szCs w:val="22"/>
              </w:rPr>
              <w:instrText xml:space="preserve"> = 3 \* GB3 \* MERGEFORMAT </w:instrText>
            </w:r>
            <w:r>
              <w:rPr>
                <w:rFonts w:hint="default" w:ascii="Times New Roman" w:hAnsi="宋体" w:eastAsia="宋体" w:cs="Times New Roman"/>
                <w:color w:val="auto"/>
                <w:sz w:val="24"/>
                <w:szCs w:val="22"/>
              </w:rPr>
              <w:fldChar w:fldCharType="separate"/>
            </w:r>
            <w:r>
              <w:rPr>
                <w:rFonts w:hint="default" w:ascii="Times New Roman" w:hAnsi="宋体" w:eastAsia="宋体" w:cs="Times New Roman"/>
                <w:color w:val="auto"/>
                <w:sz w:val="24"/>
                <w:szCs w:val="22"/>
              </w:rPr>
              <w:t>③</w:t>
            </w:r>
            <w:r>
              <w:rPr>
                <w:rFonts w:hint="default" w:ascii="Times New Roman" w:hAnsi="宋体" w:eastAsia="宋体" w:cs="Times New Roman"/>
                <w:color w:val="auto"/>
                <w:sz w:val="24"/>
                <w:szCs w:val="22"/>
              </w:rPr>
              <w:fldChar w:fldCharType="end"/>
            </w:r>
            <w:r>
              <w:rPr>
                <w:rFonts w:hint="default" w:ascii="Times New Roman" w:hAnsi="宋体" w:eastAsia="宋体" w:cs="Times New Roman"/>
                <w:color w:val="auto"/>
                <w:sz w:val="24"/>
                <w:szCs w:val="22"/>
              </w:rPr>
              <w:t>环境安全管理措施</w:t>
            </w:r>
          </w:p>
          <w:p w14:paraId="41FB8C8D">
            <w:pPr>
              <w:pStyle w:val="5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440" w:lineRule="exact"/>
              <w:ind w:left="0" w:firstLine="480" w:firstLineChars="200"/>
              <w:textAlignment w:val="auto"/>
              <w:rPr>
                <w:rFonts w:hint="default" w:ascii="Times New Roman" w:hAnsi="宋体" w:eastAsia="宋体" w:cs="Times New Roman"/>
                <w:color w:val="auto"/>
                <w:sz w:val="24"/>
                <w:szCs w:val="22"/>
              </w:rPr>
            </w:pPr>
            <w:r>
              <w:rPr>
                <w:rFonts w:hint="default" w:ascii="Times New Roman" w:hAnsi="宋体" w:eastAsia="宋体" w:cs="Times New Roman"/>
                <w:color w:val="auto"/>
                <w:sz w:val="24"/>
                <w:szCs w:val="22"/>
              </w:rPr>
              <w:t>对安全专用设施和设备（如安全防护设施、通风设施、消防设施、应急救援器材及急救药品等）以及劳防用品，配备专人维修和管理，确保这些设施、设备正常运行和有效使用。定期对所有从业人员进行安全培训教育，使员工掌握各类危险物质的特性及防护措施，提高人员的安全防范和自我保护意识。</w:t>
            </w:r>
          </w:p>
          <w:p w14:paraId="66826645">
            <w:pPr>
              <w:pStyle w:val="5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440" w:lineRule="exact"/>
              <w:ind w:left="0" w:firstLine="480" w:firstLineChars="200"/>
              <w:textAlignment w:val="auto"/>
              <w:rPr>
                <w:rFonts w:hint="default" w:ascii="Times New Roman" w:hAnsi="宋体" w:eastAsia="宋体" w:cs="Times New Roman"/>
                <w:color w:val="auto"/>
                <w:sz w:val="24"/>
                <w:szCs w:val="22"/>
              </w:rPr>
            </w:pPr>
            <w:r>
              <w:rPr>
                <w:rFonts w:hint="default" w:ascii="Times New Roman" w:hAnsi="宋体" w:eastAsia="宋体" w:cs="Times New Roman"/>
                <w:color w:val="auto"/>
                <w:sz w:val="24"/>
                <w:szCs w:val="22"/>
              </w:rPr>
              <w:fldChar w:fldCharType="begin"/>
            </w:r>
            <w:r>
              <w:rPr>
                <w:rFonts w:hint="default" w:ascii="Times New Roman" w:hAnsi="宋体" w:eastAsia="宋体" w:cs="Times New Roman"/>
                <w:color w:val="auto"/>
                <w:sz w:val="24"/>
                <w:szCs w:val="22"/>
              </w:rPr>
              <w:instrText xml:space="preserve"> = 4 \* GB3 \* MERGEFORMAT </w:instrText>
            </w:r>
            <w:r>
              <w:rPr>
                <w:rFonts w:hint="default" w:ascii="Times New Roman" w:hAnsi="宋体" w:eastAsia="宋体" w:cs="Times New Roman"/>
                <w:color w:val="auto"/>
                <w:sz w:val="24"/>
                <w:szCs w:val="22"/>
              </w:rPr>
              <w:fldChar w:fldCharType="separate"/>
            </w:r>
            <w:r>
              <w:rPr>
                <w:rFonts w:hint="default" w:ascii="Times New Roman" w:hAnsi="宋体" w:eastAsia="宋体" w:cs="Times New Roman"/>
                <w:color w:val="auto"/>
                <w:sz w:val="24"/>
                <w:szCs w:val="22"/>
              </w:rPr>
              <w:t>④</w:t>
            </w:r>
            <w:r>
              <w:rPr>
                <w:rFonts w:hint="default" w:ascii="Times New Roman" w:hAnsi="宋体" w:eastAsia="宋体" w:cs="Times New Roman"/>
                <w:color w:val="auto"/>
                <w:sz w:val="24"/>
                <w:szCs w:val="22"/>
              </w:rPr>
              <w:fldChar w:fldCharType="end"/>
            </w:r>
            <w:r>
              <w:rPr>
                <w:rFonts w:hint="eastAsia" w:ascii="Times New Roman" w:hAnsi="宋体" w:eastAsia="宋体" w:cs="Times New Roman"/>
                <w:color w:val="auto"/>
                <w:sz w:val="24"/>
                <w:szCs w:val="22"/>
                <w:lang w:val="en-US" w:eastAsia="zh-CN"/>
              </w:rPr>
              <w:t>灭火</w:t>
            </w:r>
            <w:r>
              <w:rPr>
                <w:rFonts w:hint="default" w:ascii="Times New Roman" w:hAnsi="宋体" w:eastAsia="宋体" w:cs="Times New Roman"/>
                <w:color w:val="auto"/>
                <w:sz w:val="24"/>
                <w:szCs w:val="22"/>
              </w:rPr>
              <w:t>措施</w:t>
            </w:r>
          </w:p>
          <w:p w14:paraId="501D6FFC">
            <w:pPr>
              <w:pStyle w:val="5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440" w:lineRule="exact"/>
              <w:ind w:left="0"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宋体" w:eastAsia="宋体" w:cs="Times New Roman"/>
                <w:color w:val="auto"/>
                <w:sz w:val="24"/>
                <w:szCs w:val="22"/>
                <w:lang w:val="en-US" w:eastAsia="zh-CN"/>
              </w:rPr>
              <w:t>配备</w:t>
            </w:r>
            <w:r>
              <w:rPr>
                <w:rFonts w:hint="eastAsia" w:ascii="Times New Roman" w:hAnsi="宋体" w:eastAsia="宋体" w:cs="Times New Roman"/>
                <w:color w:val="auto"/>
                <w:sz w:val="24"/>
                <w:szCs w:val="22"/>
              </w:rPr>
              <w:t>移动式灭火设备，按照《建筑灭火器配置设计规范》（GB50140-20</w:t>
            </w:r>
            <w:r>
              <w:rPr>
                <w:rFonts w:hint="eastAsia" w:ascii="Times New Roman" w:hAnsi="宋体" w:eastAsia="宋体" w:cs="Times New Roman"/>
                <w:color w:val="auto"/>
                <w:sz w:val="24"/>
                <w:szCs w:val="22"/>
                <w:lang w:val="en-US" w:eastAsia="zh-CN"/>
              </w:rPr>
              <w:t>20</w:t>
            </w:r>
            <w:r>
              <w:rPr>
                <w:rFonts w:hint="eastAsia" w:ascii="Times New Roman" w:hAnsi="宋体" w:eastAsia="宋体" w:cs="Times New Roman"/>
                <w:color w:val="auto"/>
                <w:sz w:val="24"/>
                <w:szCs w:val="22"/>
              </w:rPr>
              <w:t>），</w:t>
            </w:r>
            <w:r>
              <w:rPr>
                <w:rFonts w:hint="eastAsia" w:ascii="Times New Roman" w:hAnsi="宋体" w:eastAsia="宋体" w:cs="Times New Roman"/>
                <w:color w:val="auto"/>
                <w:sz w:val="24"/>
                <w:szCs w:val="22"/>
                <w:lang w:val="en-US" w:eastAsia="zh-CN"/>
              </w:rPr>
              <w:t>存放原料的区域</w:t>
            </w:r>
            <w:r>
              <w:rPr>
                <w:rFonts w:hint="eastAsia" w:ascii="Times New Roman" w:hAnsi="宋体" w:eastAsia="宋体" w:cs="Times New Roman"/>
                <w:color w:val="auto"/>
                <w:sz w:val="24"/>
                <w:szCs w:val="22"/>
              </w:rPr>
              <w:t>配置一定数量不同类型、不同规格的移动式灭火器材，</w:t>
            </w:r>
            <w:r>
              <w:rPr>
                <w:rFonts w:hint="eastAsia" w:ascii="Times New Roman" w:hAnsi="宋体" w:eastAsia="宋体" w:cs="Times New Roman"/>
                <w:color w:val="auto"/>
                <w:sz w:val="24"/>
                <w:szCs w:val="22"/>
                <w:lang w:val="en-US" w:eastAsia="zh-CN"/>
              </w:rPr>
              <w:t>当</w:t>
            </w:r>
            <w:r>
              <w:rPr>
                <w:rFonts w:hint="eastAsia" w:ascii="Times New Roman" w:hAnsi="宋体" w:eastAsia="宋体" w:cs="Times New Roman"/>
                <w:color w:val="auto"/>
                <w:sz w:val="24"/>
                <w:szCs w:val="22"/>
              </w:rPr>
              <w:t>厂房发生小规模火灾事故时，立即使用附近的灭火器和消防水进行灭火，会产生部分消防废水。要求厂区在雨水总排口处设置切断措施，当发生火灾产生事故下水进入厂区雨水管网时，立即关闭雨水总排口处雨水截流阀，及时拦截事故下水。</w:t>
            </w:r>
            <w:r>
              <w:rPr>
                <w:rStyle w:val="469"/>
                <w:rFonts w:hint="default" w:ascii="Times New Roman" w:hAnsi="Times New Roman" w:cs="Times New Roman"/>
                <w:color w:val="auto"/>
                <w:kern w:val="44"/>
                <w:sz w:val="24"/>
                <w:szCs w:val="24"/>
              </w:rPr>
              <w:t>采取上述措施后，因消防水排放而发生周围地表水污染事故的可能性极小，因此报告中项目消防水排放对周围水环境的污染后果</w:t>
            </w:r>
            <w:r>
              <w:rPr>
                <w:rStyle w:val="469"/>
                <w:rFonts w:hint="eastAsia" w:cs="Times New Roman"/>
                <w:color w:val="auto"/>
                <w:kern w:val="44"/>
                <w:sz w:val="24"/>
                <w:szCs w:val="24"/>
                <w:lang w:val="en-US" w:eastAsia="zh-CN"/>
              </w:rPr>
              <w:t>不作</w:t>
            </w:r>
            <w:r>
              <w:rPr>
                <w:rStyle w:val="469"/>
                <w:rFonts w:hint="default" w:ascii="Times New Roman" w:hAnsi="Times New Roman" w:cs="Times New Roman"/>
                <w:color w:val="auto"/>
                <w:kern w:val="44"/>
                <w:sz w:val="24"/>
                <w:szCs w:val="24"/>
              </w:rPr>
              <w:t>预测分析。</w:t>
            </w:r>
          </w:p>
          <w:p w14:paraId="5765D918">
            <w:pPr>
              <w:pStyle w:val="5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440" w:lineRule="exact"/>
              <w:ind w:left="0" w:firstLine="482" w:firstLineChars="200"/>
              <w:textAlignment w:val="auto"/>
              <w:rPr>
                <w:rFonts w:hint="default" w:ascii="Times New Roman" w:hAnsi="Times New Roman" w:eastAsia="宋体" w:cs="Times New Roman"/>
                <w:color w:val="auto"/>
                <w:sz w:val="24"/>
                <w:szCs w:val="22"/>
              </w:rPr>
            </w:pPr>
            <w:r>
              <w:rPr>
                <w:rFonts w:hint="default" w:ascii="Times New Roman" w:hAnsi="Times New Roman" w:eastAsia="宋体" w:cs="Times New Roman"/>
                <w:b/>
                <w:bCs/>
                <w:color w:val="auto"/>
                <w:sz w:val="24"/>
                <w:szCs w:val="22"/>
              </w:rPr>
              <w:t>（5）分析结论</w:t>
            </w:r>
          </w:p>
          <w:p w14:paraId="2DC37AAF">
            <w:pPr>
              <w:pStyle w:val="5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440" w:lineRule="exact"/>
              <w:ind w:left="0"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szCs w:val="22"/>
              </w:rPr>
              <w:t>项目运营后应加强风险管理，认真落实各种风险防范措施，通过相应的技术手段降低风险发生概率，并在风险事故发生后，及时采取风险防范措施及应急预案，使风险事故对环境的危害得到有效控制，将事故风险控制在可以接受的范围内。</w:t>
            </w:r>
          </w:p>
          <w:p w14:paraId="77FDA265">
            <w:pPr>
              <w:pStyle w:val="5"/>
              <w:suppressLineNumbers w:val="0"/>
              <w:spacing w:before="0" w:beforeAutospacing="0" w:after="0" w:afterAutospacing="0" w:line="440" w:lineRule="exact"/>
              <w:ind w:left="0" w:right="0" w:firstLine="482" w:firstLineChars="200"/>
              <w:outlineLvl w:val="2"/>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8、电磁辐射</w:t>
            </w:r>
          </w:p>
          <w:p w14:paraId="31653D99">
            <w:pPr>
              <w:pStyle w:val="62"/>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本项目不涉及</w:t>
            </w:r>
            <w:r>
              <w:rPr>
                <w:rFonts w:hint="default" w:ascii="Times New Roman" w:hAnsi="Times New Roman" w:eastAsia="宋体" w:cs="Times New Roman"/>
                <w:b w:val="0"/>
                <w:bCs w:val="0"/>
                <w:color w:val="auto"/>
                <w:lang w:val="en-US" w:eastAsia="zh-CN"/>
              </w:rPr>
              <w:t>，因此可不分析。</w:t>
            </w:r>
          </w:p>
          <w:p w14:paraId="48A3C3A0">
            <w:pPr>
              <w:keepNext w:val="0"/>
              <w:keepLines w:val="0"/>
              <w:suppressLineNumbers w:val="0"/>
              <w:spacing w:before="0" w:beforeAutospacing="0" w:after="0" w:afterAutospacing="0" w:line="440" w:lineRule="exact"/>
              <w:ind w:left="0" w:right="0" w:firstLine="472" w:firstLineChars="196"/>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9、环保投资</w:t>
            </w:r>
          </w:p>
          <w:p w14:paraId="32451474">
            <w:pPr>
              <w:keepNext w:val="0"/>
              <w:keepLines w:val="0"/>
              <w:suppressLineNumbers w:val="0"/>
              <w:spacing w:before="0" w:beforeAutospacing="0" w:after="0" w:afterAutospacing="0" w:line="440" w:lineRule="exact"/>
              <w:ind w:left="0" w:right="0" w:firstLine="480" w:firstLineChars="200"/>
              <w:rPr>
                <w:rFonts w:hint="default" w:ascii="Times New Roman" w:hAnsi="Times New Roman" w:eastAsia="宋体" w:cs="Times New Roman"/>
                <w:color w:val="0000FF"/>
                <w:sz w:val="24"/>
              </w:rPr>
            </w:pPr>
            <w:r>
              <w:rPr>
                <w:rFonts w:hint="default" w:ascii="Times New Roman" w:hAnsi="Times New Roman" w:eastAsia="宋体" w:cs="Times New Roman"/>
                <w:color w:val="auto"/>
                <w:sz w:val="24"/>
              </w:rPr>
              <w:t>该项目环保投资</w:t>
            </w:r>
            <w:r>
              <w:rPr>
                <w:rFonts w:hint="eastAsia" w:ascii="Times New Roman" w:hAnsi="Times New Roman" w:cs="Times New Roman"/>
                <w:color w:val="auto"/>
                <w:sz w:val="24"/>
                <w:lang w:val="en-US" w:eastAsia="zh-CN"/>
              </w:rPr>
              <w:t>56</w:t>
            </w:r>
            <w:r>
              <w:rPr>
                <w:rFonts w:hint="default" w:ascii="Times New Roman" w:hAnsi="Times New Roman" w:eastAsia="宋体" w:cs="Times New Roman"/>
                <w:color w:val="auto"/>
                <w:sz w:val="24"/>
              </w:rPr>
              <w:t>万元，占项目投资</w:t>
            </w:r>
            <w:r>
              <w:rPr>
                <w:rFonts w:hint="eastAsia" w:ascii="Times New Roman" w:hAnsi="Times New Roman" w:cs="Times New Roman"/>
                <w:color w:val="auto"/>
                <w:sz w:val="24"/>
                <w:lang w:val="en-US" w:eastAsia="zh-CN"/>
              </w:rPr>
              <w:t>3300</w:t>
            </w:r>
            <w:r>
              <w:rPr>
                <w:rFonts w:hint="default" w:ascii="Times New Roman" w:hAnsi="Times New Roman" w:eastAsia="宋体" w:cs="Times New Roman"/>
                <w:color w:val="auto"/>
                <w:sz w:val="24"/>
              </w:rPr>
              <w:t>万元的</w:t>
            </w:r>
            <w:r>
              <w:rPr>
                <w:rFonts w:hint="eastAsia" w:ascii="Times New Roman" w:hAnsi="Times New Roman" w:cs="Times New Roman"/>
                <w:color w:val="auto"/>
                <w:sz w:val="24"/>
                <w:lang w:val="en-US" w:eastAsia="zh-CN"/>
              </w:rPr>
              <w:t>1.7</w:t>
            </w:r>
            <w:r>
              <w:rPr>
                <w:rFonts w:hint="default" w:ascii="Times New Roman" w:hAnsi="Times New Roman" w:eastAsia="宋体" w:cs="Times New Roman"/>
                <w:color w:val="auto"/>
                <w:sz w:val="24"/>
              </w:rPr>
              <w:t>%，具体见</w:t>
            </w:r>
            <w:r>
              <w:rPr>
                <w:rFonts w:hint="eastAsia" w:ascii="Times New Roman" w:hAnsi="Times New Roman" w:cs="Times New Roman"/>
                <w:color w:val="auto"/>
                <w:sz w:val="24"/>
                <w:lang w:val="en-US" w:eastAsia="zh-CN"/>
              </w:rPr>
              <w:t>下</w:t>
            </w:r>
            <w:r>
              <w:rPr>
                <w:rFonts w:hint="default" w:ascii="Times New Roman" w:hAnsi="Times New Roman" w:eastAsia="宋体" w:cs="Times New Roman"/>
                <w:color w:val="auto"/>
                <w:sz w:val="24"/>
              </w:rPr>
              <w:t>表：</w:t>
            </w:r>
          </w:p>
          <w:p w14:paraId="091AC876">
            <w:pPr>
              <w:keepNext w:val="0"/>
              <w:keepLines w:val="0"/>
              <w:suppressLineNumbers w:val="0"/>
              <w:spacing w:before="0" w:beforeAutospacing="0" w:after="0" w:afterAutospacing="0" w:line="440" w:lineRule="exact"/>
              <w:ind w:left="0" w:right="480"/>
              <w:jc w:val="center"/>
              <w:rPr>
                <w:rFonts w:hint="default" w:ascii="Times New Roman" w:hAnsi="Times New Roman" w:eastAsia="宋体" w:cs="Times New Roman"/>
                <w:b/>
                <w:bCs/>
                <w:color w:val="auto"/>
                <w:kern w:val="0"/>
              </w:rPr>
            </w:pPr>
            <w:r>
              <w:rPr>
                <w:rFonts w:hint="default" w:ascii="Times New Roman" w:hAnsi="Times New Roman" w:eastAsia="宋体" w:cs="Times New Roman"/>
                <w:b/>
                <w:bCs/>
                <w:color w:val="auto"/>
              </w:rPr>
              <w:t>表4-</w:t>
            </w:r>
            <w:r>
              <w:rPr>
                <w:rFonts w:hint="eastAsia" w:ascii="Times New Roman" w:hAnsi="Times New Roman" w:eastAsia="宋体" w:cs="Times New Roman"/>
                <w:b/>
                <w:bCs/>
                <w:color w:val="auto"/>
                <w:lang w:val="en-US" w:eastAsia="zh-CN"/>
              </w:rPr>
              <w:t>2</w:t>
            </w:r>
            <w:r>
              <w:rPr>
                <w:rFonts w:hint="eastAsia" w:ascii="Times New Roman" w:hAnsi="Times New Roman" w:cs="Times New Roman"/>
                <w:b/>
                <w:bCs/>
                <w:color w:val="auto"/>
                <w:lang w:val="en-US" w:eastAsia="zh-CN"/>
              </w:rPr>
              <w:t>9</w:t>
            </w:r>
            <w:r>
              <w:rPr>
                <w:rFonts w:hint="default" w:ascii="Times New Roman" w:hAnsi="Times New Roman" w:eastAsia="宋体" w:cs="Times New Roman"/>
                <w:b/>
                <w:bCs/>
                <w:color w:val="auto"/>
              </w:rPr>
              <w:t xml:space="preserve">  </w:t>
            </w:r>
            <w:r>
              <w:rPr>
                <w:rFonts w:hint="default" w:ascii="Times New Roman" w:hAnsi="Times New Roman" w:eastAsia="宋体" w:cs="Times New Roman"/>
                <w:b/>
                <w:bCs/>
                <w:color w:val="auto"/>
                <w:kern w:val="0"/>
              </w:rPr>
              <w:t>建设项目环保措施投资一览表   单位：万元</w:t>
            </w:r>
          </w:p>
          <w:tbl>
            <w:tblPr>
              <w:tblStyle w:val="5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fixed"/>
              <w:tblCellMar>
                <w:top w:w="0" w:type="dxa"/>
                <w:left w:w="108" w:type="dxa"/>
                <w:bottom w:w="0" w:type="dxa"/>
                <w:right w:w="108" w:type="dxa"/>
              </w:tblCellMar>
            </w:tblPr>
            <w:tblGrid>
              <w:gridCol w:w="862"/>
              <w:gridCol w:w="1250"/>
              <w:gridCol w:w="5850"/>
              <w:gridCol w:w="622"/>
            </w:tblGrid>
            <w:tr w14:paraId="3CAF76FD">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306" w:hRule="atLeast"/>
                <w:jc w:val="center"/>
              </w:trPr>
              <w:tc>
                <w:tcPr>
                  <w:tcW w:w="502" w:type="pct"/>
                  <w:noWrap w:val="0"/>
                  <w:vAlign w:val="center"/>
                </w:tcPr>
                <w:p w14:paraId="01F6BD2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类别</w:t>
                  </w:r>
                </w:p>
              </w:tc>
              <w:tc>
                <w:tcPr>
                  <w:tcW w:w="728" w:type="pct"/>
                  <w:noWrap w:val="0"/>
                  <w:vAlign w:val="center"/>
                </w:tcPr>
                <w:p w14:paraId="13150D9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治理对象</w:t>
                  </w:r>
                </w:p>
              </w:tc>
              <w:tc>
                <w:tcPr>
                  <w:tcW w:w="3407" w:type="pct"/>
                  <w:noWrap w:val="0"/>
                  <w:vAlign w:val="center"/>
                </w:tcPr>
                <w:p w14:paraId="4F0573B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治理方案</w:t>
                  </w:r>
                </w:p>
              </w:tc>
              <w:tc>
                <w:tcPr>
                  <w:tcW w:w="362" w:type="pct"/>
                  <w:noWrap w:val="0"/>
                  <w:vAlign w:val="center"/>
                </w:tcPr>
                <w:p w14:paraId="05A1FA9E">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投资</w:t>
                  </w:r>
                </w:p>
              </w:tc>
            </w:tr>
            <w:tr w14:paraId="27843AAB">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590" w:hRule="atLeast"/>
                <w:jc w:val="center"/>
              </w:trPr>
              <w:tc>
                <w:tcPr>
                  <w:tcW w:w="502" w:type="pct"/>
                  <w:vMerge w:val="restart"/>
                  <w:noWrap w:val="0"/>
                  <w:vAlign w:val="center"/>
                </w:tcPr>
                <w:p w14:paraId="2BB2F1B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color w:val="auto"/>
                      <w:sz w:val="21"/>
                      <w:szCs w:val="21"/>
                    </w:rPr>
                    <w:t>废气防治措施</w:t>
                  </w:r>
                </w:p>
              </w:tc>
              <w:tc>
                <w:tcPr>
                  <w:tcW w:w="728" w:type="pct"/>
                  <w:noWrap w:val="0"/>
                  <w:vAlign w:val="center"/>
                </w:tcPr>
                <w:p w14:paraId="408240D2">
                  <w:pPr>
                    <w:pStyle w:val="160"/>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21" w:leftChars="-10" w:right="-21" w:rightChars="-10" w:firstLine="0" w:firstLineChars="0"/>
                    <w:jc w:val="center"/>
                    <w:textAlignment w:val="auto"/>
                    <w:rPr>
                      <w:rFonts w:hint="default" w:ascii="Times New Roman" w:hAnsi="Times New Roman" w:eastAsia="宋体" w:cs="Times New Roman"/>
                      <w:b/>
                      <w:color w:val="auto"/>
                      <w:sz w:val="21"/>
                      <w:szCs w:val="21"/>
                      <w:lang w:val="en-US"/>
                    </w:rPr>
                  </w:pPr>
                  <w:r>
                    <w:rPr>
                      <w:rFonts w:hint="eastAsia" w:ascii="Times New Roman" w:hAnsi="Times New Roman" w:cs="Times New Roman"/>
                      <w:color w:val="auto"/>
                      <w:sz w:val="21"/>
                      <w:szCs w:val="21"/>
                      <w:lang w:val="en-US" w:eastAsia="zh-CN"/>
                    </w:rPr>
                    <w:t>箱式渗碳、淬火回火废气</w:t>
                  </w:r>
                </w:p>
              </w:tc>
              <w:tc>
                <w:tcPr>
                  <w:tcW w:w="3407" w:type="pct"/>
                  <w:noWrap w:val="0"/>
                  <w:vAlign w:val="center"/>
                </w:tcPr>
                <w:p w14:paraId="4FDC910F">
                  <w:pPr>
                    <w:pStyle w:val="64"/>
                    <w:keepNext w:val="0"/>
                    <w:keepLines w:val="0"/>
                    <w:suppressLineNumbers w:val="0"/>
                    <w:tabs>
                      <w:tab w:val="center" w:pos="0"/>
                    </w:tabs>
                    <w:bidi w:val="0"/>
                    <w:spacing w:before="0" w:beforeAutospacing="0" w:after="0" w:afterAutospacing="0"/>
                    <w:ind w:left="0" w:leftChars="0" w:right="0" w:firstLine="0" w:firstLineChars="0"/>
                    <w:jc w:val="both"/>
                    <w:rPr>
                      <w:rFonts w:hint="default" w:ascii="Times New Roman" w:hAnsi="Times New Roman" w:eastAsia="宋体" w:cs="Times New Roman"/>
                      <w:b/>
                      <w:color w:val="auto"/>
                      <w:sz w:val="21"/>
                      <w:szCs w:val="21"/>
                    </w:rPr>
                  </w:pPr>
                  <w:r>
                    <w:rPr>
                      <w:rFonts w:hint="eastAsia"/>
                      <w:color w:val="auto"/>
                      <w:sz w:val="21"/>
                      <w:szCs w:val="21"/>
                      <w:lang w:val="en-US" w:eastAsia="zh-CN"/>
                    </w:rPr>
                    <w:t>密封箱式可控气氛多用炉排气口配备火炬燃烧装置；</w:t>
                  </w:r>
                  <w:r>
                    <w:rPr>
                      <w:rFonts w:hint="eastAsia" w:ascii="Times New Roman" w:hAnsi="Times New Roman" w:eastAsia="宋体" w:cs="Times New Roman"/>
                      <w:bCs/>
                      <w:color w:val="auto"/>
                      <w:kern w:val="0"/>
                      <w:sz w:val="21"/>
                      <w:szCs w:val="21"/>
                      <w:highlight w:val="none"/>
                      <w:lang w:val="en-US" w:eastAsia="zh-CN"/>
                    </w:rPr>
                    <w:t>废气经集气罩收集后一同经</w:t>
                  </w:r>
                  <w:r>
                    <w:rPr>
                      <w:rFonts w:hint="eastAsia"/>
                      <w:color w:val="auto"/>
                      <w:sz w:val="21"/>
                      <w:szCs w:val="21"/>
                      <w:lang w:val="en-US" w:eastAsia="zh-CN"/>
                    </w:rPr>
                    <w:t>废气间接冷却装置+</w:t>
                  </w:r>
                  <w:r>
                    <w:rPr>
                      <w:rFonts w:hint="eastAsia" w:ascii="Times New Roman" w:hAnsi="Times New Roman" w:eastAsia="宋体" w:cs="Times New Roman"/>
                      <w:bCs/>
                      <w:color w:val="auto"/>
                      <w:kern w:val="0"/>
                      <w:sz w:val="21"/>
                      <w:szCs w:val="21"/>
                      <w:highlight w:val="none"/>
                      <w:lang w:val="en-US" w:eastAsia="zh-CN"/>
                    </w:rPr>
                    <w:t>静电吸附油雾净化装置</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三级干式过滤器+</w:t>
                  </w:r>
                  <w:r>
                    <w:rPr>
                      <w:rFonts w:hint="eastAsia" w:ascii="Times New Roman" w:hAnsi="Times New Roman" w:cs="Times New Roman"/>
                      <w:color w:val="auto"/>
                      <w:sz w:val="21"/>
                      <w:szCs w:val="21"/>
                      <w:highlight w:val="none"/>
                      <w:lang w:val="en-US" w:eastAsia="zh-CN"/>
                    </w:rPr>
                    <w:t>二级活性炭吸附装置+</w:t>
                  </w:r>
                  <w:r>
                    <w:rPr>
                      <w:rFonts w:hint="eastAsia" w:ascii="Times New Roman" w:hAnsi="Times New Roman" w:eastAsia="宋体" w:cs="Times New Roman"/>
                      <w:bCs/>
                      <w:color w:val="auto"/>
                      <w:kern w:val="0"/>
                      <w:sz w:val="21"/>
                      <w:szCs w:val="21"/>
                      <w:highlight w:val="none"/>
                      <w:lang w:val="en-US" w:eastAsia="zh-CN"/>
                    </w:rPr>
                    <w:t>1根15m高排气筒（DA001）排放</w:t>
                  </w:r>
                  <w:r>
                    <w:rPr>
                      <w:rFonts w:hint="eastAsia" w:ascii="Times New Roman" w:hAnsi="Times New Roman" w:cs="Times New Roman"/>
                      <w:bCs/>
                      <w:color w:val="auto"/>
                      <w:kern w:val="0"/>
                      <w:sz w:val="21"/>
                      <w:szCs w:val="21"/>
                      <w:highlight w:val="none"/>
                      <w:lang w:val="en-US" w:eastAsia="zh-CN"/>
                    </w:rPr>
                    <w:t>。</w:t>
                  </w:r>
                </w:p>
              </w:tc>
              <w:tc>
                <w:tcPr>
                  <w:tcW w:w="362" w:type="pct"/>
                  <w:noWrap w:val="0"/>
                  <w:vAlign w:val="center"/>
                </w:tcPr>
                <w:p w14:paraId="5AAF6388">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cs="Times New Roman"/>
                      <w:b w:val="0"/>
                      <w:bCs/>
                      <w:color w:val="auto"/>
                      <w:sz w:val="21"/>
                      <w:szCs w:val="21"/>
                      <w:lang w:val="en-US" w:eastAsia="zh-CN"/>
                    </w:rPr>
                    <w:t>25</w:t>
                  </w:r>
                </w:p>
              </w:tc>
            </w:tr>
            <w:tr w14:paraId="0AE83A95">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349" w:hRule="atLeast"/>
                <w:jc w:val="center"/>
              </w:trPr>
              <w:tc>
                <w:tcPr>
                  <w:tcW w:w="502" w:type="pct"/>
                  <w:vMerge w:val="continue"/>
                  <w:noWrap w:val="0"/>
                  <w:vAlign w:val="center"/>
                </w:tcPr>
                <w:p w14:paraId="171ADF7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p>
              </w:tc>
              <w:tc>
                <w:tcPr>
                  <w:tcW w:w="728" w:type="pct"/>
                  <w:noWrap w:val="0"/>
                  <w:vAlign w:val="center"/>
                </w:tcPr>
                <w:p w14:paraId="751A3198">
                  <w:pPr>
                    <w:pStyle w:val="160"/>
                    <w:keepNext w:val="0"/>
                    <w:keepLines w:val="0"/>
                    <w:suppressLineNumbers w:val="0"/>
                    <w:spacing w:before="0" w:beforeAutospacing="0" w:after="0" w:afterAutospacing="0" w:line="240" w:lineRule="auto"/>
                    <w:ind w:left="0" w:leftChars="0" w:right="0" w:rightChars="0" w:firstLine="0" w:firstLineChars="0"/>
                    <w:jc w:val="center"/>
                    <w:rPr>
                      <w:rFonts w:hint="default"/>
                      <w:color w:val="auto"/>
                      <w:lang w:val="en-US" w:eastAsia="zh-CN"/>
                    </w:rPr>
                  </w:pPr>
                  <w:r>
                    <w:rPr>
                      <w:rFonts w:hint="eastAsia" w:ascii="Times New Roman" w:hAnsi="Times New Roman" w:eastAsia="Times New Roman" w:cs="Times New Roman"/>
                      <w:color w:val="auto"/>
                      <w:sz w:val="21"/>
                      <w:szCs w:val="21"/>
                      <w:lang w:val="en-US" w:eastAsia="zh-CN"/>
                    </w:rPr>
                    <w:t>天然气燃烧废气</w:t>
                  </w:r>
                </w:p>
              </w:tc>
              <w:tc>
                <w:tcPr>
                  <w:tcW w:w="3407" w:type="pct"/>
                  <w:noWrap w:val="0"/>
                  <w:vAlign w:val="center"/>
                </w:tcPr>
                <w:p w14:paraId="755F93B3">
                  <w:pPr>
                    <w:pStyle w:val="64"/>
                    <w:keepNext w:val="0"/>
                    <w:keepLines w:val="0"/>
                    <w:suppressLineNumbers w:val="0"/>
                    <w:tabs>
                      <w:tab w:val="center" w:pos="0"/>
                    </w:tabs>
                    <w:bidi w:val="0"/>
                    <w:spacing w:before="0" w:beforeAutospacing="0" w:after="0" w:afterAutospacing="0"/>
                    <w:ind w:left="0" w:leftChars="0" w:right="0" w:firstLine="0" w:firstLineChars="0"/>
                    <w:jc w:val="both"/>
                    <w:rPr>
                      <w:rFonts w:hint="eastAsia"/>
                      <w:color w:val="auto"/>
                      <w:lang w:val="en-US" w:eastAsia="zh-CN"/>
                    </w:rPr>
                  </w:pPr>
                  <w:r>
                    <w:rPr>
                      <w:rFonts w:hint="eastAsia" w:ascii="Times New Roman" w:hAnsi="Times New Roman" w:cs="Times New Roman"/>
                      <w:color w:val="auto"/>
                      <w:sz w:val="21"/>
                      <w:szCs w:val="21"/>
                      <w:lang w:val="en-US" w:eastAsia="zh-CN"/>
                    </w:rPr>
                    <w:t>配备FGR低氮燃烧器；废气烟道收集后经</w:t>
                  </w:r>
                  <w:r>
                    <w:rPr>
                      <w:rFonts w:hint="eastAsia" w:ascii="Times New Roman" w:hAnsi="Times New Roman" w:eastAsia="宋体" w:cs="Times New Roman"/>
                      <w:bCs/>
                      <w:color w:val="auto"/>
                      <w:kern w:val="0"/>
                      <w:sz w:val="21"/>
                      <w:szCs w:val="21"/>
                      <w:highlight w:val="none"/>
                      <w:lang w:val="en-US" w:eastAsia="zh-CN"/>
                    </w:rPr>
                    <w:t>1根15m高排气筒（DA002）排放</w:t>
                  </w:r>
                  <w:r>
                    <w:rPr>
                      <w:rFonts w:hint="eastAsia" w:ascii="Times New Roman" w:hAnsi="Times New Roman" w:cs="Times New Roman"/>
                      <w:bCs/>
                      <w:color w:val="auto"/>
                      <w:kern w:val="0"/>
                      <w:sz w:val="21"/>
                      <w:szCs w:val="21"/>
                      <w:highlight w:val="none"/>
                      <w:lang w:val="en-US" w:eastAsia="zh-CN"/>
                    </w:rPr>
                    <w:t>。</w:t>
                  </w:r>
                </w:p>
              </w:tc>
              <w:tc>
                <w:tcPr>
                  <w:tcW w:w="362" w:type="pct"/>
                  <w:noWrap w:val="0"/>
                  <w:vAlign w:val="center"/>
                </w:tcPr>
                <w:p w14:paraId="773D0954">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cs="Times New Roman"/>
                      <w:b w:val="0"/>
                      <w:bCs/>
                      <w:color w:val="auto"/>
                      <w:sz w:val="21"/>
                      <w:szCs w:val="21"/>
                      <w:lang w:val="en-US" w:eastAsia="zh-CN"/>
                    </w:rPr>
                    <w:t>15</w:t>
                  </w:r>
                </w:p>
              </w:tc>
            </w:tr>
            <w:tr w14:paraId="786C8B70">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247" w:hRule="atLeast"/>
                <w:jc w:val="center"/>
              </w:trPr>
              <w:tc>
                <w:tcPr>
                  <w:tcW w:w="502" w:type="pct"/>
                  <w:noWrap w:val="0"/>
                  <w:vAlign w:val="center"/>
                </w:tcPr>
                <w:p w14:paraId="082BECD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废水防治措施</w:t>
                  </w:r>
                </w:p>
              </w:tc>
              <w:tc>
                <w:tcPr>
                  <w:tcW w:w="728" w:type="pct"/>
                  <w:noWrap w:val="0"/>
                  <w:vAlign w:val="center"/>
                </w:tcPr>
                <w:p w14:paraId="2D050AA3">
                  <w:pPr>
                    <w:pStyle w:val="160"/>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val="en-US" w:eastAsia="zh-CN"/>
                    </w:rPr>
                    <w:t>生活污水</w:t>
                  </w:r>
                </w:p>
              </w:tc>
              <w:tc>
                <w:tcPr>
                  <w:tcW w:w="3407" w:type="pct"/>
                  <w:noWrap w:val="0"/>
                  <w:vAlign w:val="center"/>
                </w:tcPr>
                <w:p w14:paraId="5925A280">
                  <w:pPr>
                    <w:pStyle w:val="18"/>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rPr>
                  </w:pPr>
                  <w:r>
                    <w:rPr>
                      <w:rFonts w:hint="eastAsia" w:ascii="Times New Roman" w:hAnsi="Times New Roman" w:eastAsia="Times New Roman" w:cs="Times New Roman"/>
                      <w:color w:val="auto"/>
                      <w:sz w:val="21"/>
                      <w:szCs w:val="21"/>
                      <w:lang w:val="en-US" w:eastAsia="zh-CN"/>
                    </w:rPr>
                    <w:t>依托现有</w:t>
                  </w:r>
                  <w:r>
                    <w:rPr>
                      <w:rFonts w:hint="default" w:ascii="Times New Roman" w:hAnsi="Times New Roman" w:eastAsia="Times New Roman" w:cs="Times New Roman"/>
                      <w:color w:val="auto"/>
                      <w:sz w:val="21"/>
                      <w:szCs w:val="21"/>
                      <w:lang w:val="en-US" w:eastAsia="zh-CN"/>
                    </w:rPr>
                    <w:t>化粪池预处理后排入污水管网</w:t>
                  </w:r>
                  <w:r>
                    <w:rPr>
                      <w:rFonts w:hint="eastAsia" w:ascii="Times New Roman" w:hAnsi="Times New Roman" w:eastAsia="Times New Roman" w:cs="Times New Roman"/>
                      <w:color w:val="auto"/>
                      <w:sz w:val="21"/>
                      <w:szCs w:val="21"/>
                      <w:lang w:val="en-US" w:eastAsia="zh-CN"/>
                    </w:rPr>
                    <w:t>。</w:t>
                  </w:r>
                </w:p>
              </w:tc>
              <w:tc>
                <w:tcPr>
                  <w:tcW w:w="362" w:type="pct"/>
                  <w:noWrap w:val="0"/>
                  <w:vAlign w:val="center"/>
                </w:tcPr>
                <w:p w14:paraId="16B152E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val="en-US" w:eastAsia="zh-CN"/>
                    </w:rPr>
                    <w:t>0</w:t>
                  </w:r>
                </w:p>
              </w:tc>
            </w:tr>
            <w:tr w14:paraId="4EDD12E9">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306" w:hRule="atLeast"/>
                <w:jc w:val="center"/>
              </w:trPr>
              <w:tc>
                <w:tcPr>
                  <w:tcW w:w="502" w:type="pct"/>
                  <w:tcBorders>
                    <w:right w:val="single" w:color="auto" w:sz="4" w:space="0"/>
                  </w:tcBorders>
                  <w:noWrap w:val="0"/>
                  <w:vAlign w:val="center"/>
                </w:tcPr>
                <w:p w14:paraId="4CC8FED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噪声防治措施</w:t>
                  </w:r>
                </w:p>
              </w:tc>
              <w:tc>
                <w:tcPr>
                  <w:tcW w:w="728" w:type="pct"/>
                  <w:tcBorders>
                    <w:left w:val="single" w:color="auto" w:sz="4" w:space="0"/>
                  </w:tcBorders>
                  <w:noWrap w:val="0"/>
                  <w:vAlign w:val="center"/>
                </w:tcPr>
                <w:p w14:paraId="5C1962E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产噪设备</w:t>
                  </w:r>
                </w:p>
              </w:tc>
              <w:tc>
                <w:tcPr>
                  <w:tcW w:w="3407" w:type="pct"/>
                  <w:noWrap w:val="0"/>
                  <w:vAlign w:val="center"/>
                </w:tcPr>
                <w:p w14:paraId="1C72AF01">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选用低噪声设备、</w:t>
                  </w:r>
                  <w:r>
                    <w:rPr>
                      <w:rFonts w:hint="default" w:ascii="Times New Roman" w:hAnsi="Times New Roman" w:eastAsia="宋体" w:cs="Times New Roman"/>
                      <w:color w:val="auto"/>
                      <w:sz w:val="21"/>
                      <w:szCs w:val="21"/>
                      <w:lang w:val="en-US" w:eastAsia="zh-CN"/>
                    </w:rPr>
                    <w:t>厂房</w:t>
                  </w:r>
                  <w:r>
                    <w:rPr>
                      <w:rFonts w:hint="default" w:ascii="Times New Roman" w:hAnsi="Times New Roman" w:eastAsia="宋体" w:cs="Times New Roman"/>
                      <w:color w:val="auto"/>
                      <w:sz w:val="21"/>
                      <w:szCs w:val="21"/>
                    </w:rPr>
                    <w:t>内布置、隔声、减振</w:t>
                  </w:r>
                  <w:r>
                    <w:rPr>
                      <w:rFonts w:hint="eastAsia" w:ascii="Times New Roman" w:hAnsi="Times New Roman" w:cs="Times New Roman"/>
                      <w:color w:val="auto"/>
                      <w:sz w:val="21"/>
                      <w:szCs w:val="21"/>
                      <w:lang w:eastAsia="zh-CN"/>
                    </w:rPr>
                    <w:t>。</w:t>
                  </w:r>
                </w:p>
              </w:tc>
              <w:tc>
                <w:tcPr>
                  <w:tcW w:w="362" w:type="pct"/>
                  <w:noWrap w:val="0"/>
                  <w:vAlign w:val="center"/>
                </w:tcPr>
                <w:p w14:paraId="48080FAC">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val="en-US" w:eastAsia="zh-CN"/>
                    </w:rPr>
                    <w:t>5</w:t>
                  </w:r>
                </w:p>
              </w:tc>
            </w:tr>
            <w:tr w14:paraId="36951231">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306" w:hRule="atLeast"/>
                <w:jc w:val="center"/>
              </w:trPr>
              <w:tc>
                <w:tcPr>
                  <w:tcW w:w="502" w:type="pct"/>
                  <w:vMerge w:val="restart"/>
                  <w:tcBorders>
                    <w:right w:val="single" w:color="auto" w:sz="4" w:space="0"/>
                  </w:tcBorders>
                  <w:noWrap w:val="0"/>
                  <w:vAlign w:val="center"/>
                </w:tcPr>
                <w:p w14:paraId="585AB0FF">
                  <w:pPr>
                    <w:keepNext w:val="0"/>
                    <w:keepLines w:val="0"/>
                    <w:suppressLineNumbers w:val="0"/>
                    <w:spacing w:before="0" w:beforeAutospacing="0" w:after="0" w:afterAutospacing="0" w:line="240" w:lineRule="auto"/>
                    <w:ind w:left="-84" w:leftChars="-40" w:right="-84" w:rightChars="-4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固废防治措施</w:t>
                  </w:r>
                </w:p>
              </w:tc>
              <w:tc>
                <w:tcPr>
                  <w:tcW w:w="728" w:type="pct"/>
                  <w:tcBorders>
                    <w:left w:val="single" w:color="auto" w:sz="4" w:space="0"/>
                  </w:tcBorders>
                  <w:noWrap w:val="0"/>
                  <w:vAlign w:val="center"/>
                </w:tcPr>
                <w:p w14:paraId="39858FC2">
                  <w:pPr>
                    <w:keepNext w:val="0"/>
                    <w:keepLines w:val="0"/>
                    <w:suppressLineNumbers w:val="0"/>
                    <w:spacing w:before="0" w:beforeAutospacing="0" w:after="0" w:afterAutospacing="0" w:line="240" w:lineRule="auto"/>
                    <w:ind w:left="-84" w:leftChars="-40" w:right="-84" w:rightChars="-4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一般固废</w:t>
                  </w:r>
                </w:p>
              </w:tc>
              <w:tc>
                <w:tcPr>
                  <w:tcW w:w="3407" w:type="pct"/>
                  <w:noWrap w:val="0"/>
                  <w:vAlign w:val="center"/>
                </w:tcPr>
                <w:p w14:paraId="285B335B">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textAlignment w:val="auto"/>
                    <w:rPr>
                      <w:rFonts w:hint="default" w:ascii="Times New Roman" w:hAnsi="Times New Roman" w:eastAsia="宋体" w:cs="Times New Roman"/>
                      <w:color w:val="auto"/>
                      <w:sz w:val="21"/>
                      <w:szCs w:val="21"/>
                      <w:vertAlign w:val="superscript"/>
                    </w:rPr>
                  </w:pPr>
                  <w:r>
                    <w:rPr>
                      <w:rFonts w:hint="default" w:ascii="Times New Roman" w:hAnsi="Times New Roman" w:eastAsia="Times New Roman" w:cs="Times New Roman"/>
                      <w:color w:val="auto"/>
                      <w:sz w:val="21"/>
                      <w:szCs w:val="21"/>
                    </w:rPr>
                    <w:t>于</w:t>
                  </w:r>
                  <w:r>
                    <w:rPr>
                      <w:rFonts w:hint="default" w:ascii="Times New Roman" w:hAnsi="Times New Roman" w:eastAsia="Times New Roman" w:cs="Times New Roman"/>
                      <w:color w:val="auto"/>
                      <w:sz w:val="21"/>
                      <w:szCs w:val="21"/>
                      <w:lang w:val="en-US" w:eastAsia="zh-CN"/>
                    </w:rPr>
                    <w:t>厂房内南侧设置一间</w:t>
                  </w:r>
                  <w:r>
                    <w:rPr>
                      <w:rFonts w:hint="default" w:ascii="Times New Roman" w:hAnsi="Times New Roman" w:eastAsia="Times New Roman" w:cs="Times New Roman"/>
                      <w:color w:val="auto"/>
                      <w:sz w:val="21"/>
                      <w:szCs w:val="21"/>
                    </w:rPr>
                    <w:t>一般固体废物</w:t>
                  </w:r>
                  <w:r>
                    <w:rPr>
                      <w:rFonts w:hint="default" w:ascii="Times New Roman" w:hAnsi="Times New Roman" w:eastAsia="Times New Roman" w:cs="Times New Roman"/>
                      <w:color w:val="auto"/>
                      <w:sz w:val="21"/>
                      <w:szCs w:val="21"/>
                      <w:lang w:val="en-US" w:eastAsia="zh-CN"/>
                    </w:rPr>
                    <w:t>暂存间</w:t>
                  </w:r>
                  <w:r>
                    <w:rPr>
                      <w:rFonts w:hint="default" w:ascii="Times New Roman" w:hAnsi="Times New Roman" w:eastAsia="Times New Roman" w:cs="Times New Roman"/>
                      <w:color w:val="auto"/>
                      <w:sz w:val="21"/>
                      <w:szCs w:val="21"/>
                    </w:rPr>
                    <w:t>，占地面积</w:t>
                  </w:r>
                  <w:r>
                    <w:rPr>
                      <w:rFonts w:hint="eastAsia" w:ascii="Times New Roman" w:hAnsi="Times New Roman" w:eastAsia="Times New Roman" w:cs="Times New Roman"/>
                      <w:color w:val="auto"/>
                      <w:sz w:val="21"/>
                      <w:szCs w:val="21"/>
                      <w:lang w:val="en-US" w:eastAsia="zh-CN"/>
                    </w:rPr>
                    <w:t>20</w:t>
                  </w:r>
                  <w:r>
                    <w:rPr>
                      <w:rFonts w:hint="default" w:ascii="Times New Roman" w:hAnsi="Times New Roman" w:eastAsia="Times New Roman" w:cs="Times New Roman"/>
                      <w:color w:val="auto"/>
                      <w:sz w:val="21"/>
                      <w:szCs w:val="21"/>
                    </w:rPr>
                    <w:t>m</w:t>
                  </w:r>
                  <w:r>
                    <w:rPr>
                      <w:rFonts w:hint="default" w:ascii="Times New Roman" w:hAnsi="Times New Roman" w:eastAsia="Times New Roman" w:cs="Times New Roman"/>
                      <w:color w:val="auto"/>
                      <w:sz w:val="21"/>
                      <w:szCs w:val="21"/>
                      <w:vertAlign w:val="superscript"/>
                    </w:rPr>
                    <w:t>2</w:t>
                  </w:r>
                  <w:r>
                    <w:rPr>
                      <w:rFonts w:hint="default" w:ascii="Times New Roman" w:hAnsi="Times New Roman" w:eastAsia="Times New Roman" w:cs="Times New Roman"/>
                      <w:color w:val="auto"/>
                      <w:sz w:val="21"/>
                      <w:szCs w:val="21"/>
                      <w:vertAlign w:val="baseline"/>
                      <w:lang w:eastAsia="zh-CN"/>
                    </w:rPr>
                    <w:t>。</w:t>
                  </w:r>
                  <w:r>
                    <w:rPr>
                      <w:rFonts w:hint="default" w:ascii="Times New Roman" w:hAnsi="Times New Roman" w:cs="Times New Roman"/>
                      <w:color w:val="auto"/>
                      <w:sz w:val="21"/>
                      <w:szCs w:val="21"/>
                      <w:lang w:eastAsia="zh-CN"/>
                    </w:rPr>
                    <w:t>用于</w:t>
                  </w:r>
                  <w:r>
                    <w:rPr>
                      <w:rFonts w:hint="default" w:ascii="Times New Roman" w:hAnsi="Times New Roman" w:cs="Times New Roman"/>
                      <w:color w:val="auto"/>
                      <w:sz w:val="21"/>
                      <w:szCs w:val="21"/>
                      <w:lang w:val="en-US" w:eastAsia="zh-CN"/>
                    </w:rPr>
                    <w:t>不合格品暂存</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lang w:val="en-US" w:eastAsia="zh-CN"/>
                    </w:rPr>
                    <w:t>收集后外售</w:t>
                  </w:r>
                  <w:r>
                    <w:rPr>
                      <w:rFonts w:hint="default" w:ascii="Times New Roman" w:hAnsi="Times New Roman" w:cs="Times New Roman"/>
                      <w:color w:val="auto"/>
                      <w:sz w:val="21"/>
                      <w:szCs w:val="21"/>
                      <w:lang w:eastAsia="zh-CN"/>
                    </w:rPr>
                    <w:t>。</w:t>
                  </w:r>
                </w:p>
              </w:tc>
              <w:tc>
                <w:tcPr>
                  <w:tcW w:w="362" w:type="pct"/>
                  <w:noWrap w:val="0"/>
                  <w:vAlign w:val="center"/>
                </w:tcPr>
                <w:p w14:paraId="652348AA">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val="en-US" w:eastAsia="zh-CN"/>
                    </w:rPr>
                    <w:t>2</w:t>
                  </w:r>
                </w:p>
              </w:tc>
            </w:tr>
            <w:tr w14:paraId="6204E92F">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306" w:hRule="atLeast"/>
                <w:jc w:val="center"/>
              </w:trPr>
              <w:tc>
                <w:tcPr>
                  <w:tcW w:w="502" w:type="pct"/>
                  <w:vMerge w:val="continue"/>
                  <w:tcBorders>
                    <w:right w:val="single" w:color="auto" w:sz="4" w:space="0"/>
                  </w:tcBorders>
                  <w:noWrap w:val="0"/>
                  <w:vAlign w:val="center"/>
                </w:tcPr>
                <w:p w14:paraId="3581F5D5">
                  <w:pPr>
                    <w:keepNext w:val="0"/>
                    <w:keepLines w:val="0"/>
                    <w:suppressLineNumbers w:val="0"/>
                    <w:spacing w:before="0" w:beforeAutospacing="0" w:after="0" w:afterAutospacing="0" w:line="240" w:lineRule="auto"/>
                    <w:ind w:left="-84" w:leftChars="-40" w:right="-84" w:rightChars="-40"/>
                    <w:jc w:val="center"/>
                    <w:rPr>
                      <w:rFonts w:hint="default" w:ascii="Times New Roman" w:hAnsi="Times New Roman" w:eastAsia="宋体" w:cs="Times New Roman"/>
                      <w:color w:val="auto"/>
                      <w:sz w:val="21"/>
                      <w:szCs w:val="21"/>
                    </w:rPr>
                  </w:pPr>
                </w:p>
              </w:tc>
              <w:tc>
                <w:tcPr>
                  <w:tcW w:w="728" w:type="pct"/>
                  <w:tcBorders>
                    <w:left w:val="single" w:color="auto" w:sz="4" w:space="0"/>
                  </w:tcBorders>
                  <w:noWrap w:val="0"/>
                  <w:vAlign w:val="center"/>
                </w:tcPr>
                <w:p w14:paraId="0D770E3F">
                  <w:pPr>
                    <w:keepNext w:val="0"/>
                    <w:keepLines w:val="0"/>
                    <w:suppressLineNumbers w:val="0"/>
                    <w:spacing w:before="0" w:beforeAutospacing="0" w:after="0" w:afterAutospacing="0" w:line="240" w:lineRule="auto"/>
                    <w:ind w:left="-84" w:leftChars="-40" w:right="-84" w:rightChars="-4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危废</w:t>
                  </w:r>
                </w:p>
              </w:tc>
              <w:tc>
                <w:tcPr>
                  <w:tcW w:w="3407" w:type="pct"/>
                  <w:noWrap w:val="0"/>
                  <w:vAlign w:val="center"/>
                </w:tcPr>
                <w:p w14:paraId="05BC65B3">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textAlignment w:val="auto"/>
                    <w:rPr>
                      <w:rFonts w:hint="default" w:ascii="Times New Roman" w:hAnsi="Times New Roman" w:eastAsia="宋体" w:cs="Times New Roman"/>
                      <w:color w:val="auto"/>
                      <w:sz w:val="21"/>
                      <w:szCs w:val="21"/>
                    </w:rPr>
                  </w:pPr>
                  <w:r>
                    <w:rPr>
                      <w:rFonts w:hint="default" w:ascii="Times New Roman" w:hAnsi="Times New Roman" w:eastAsia="Times New Roman" w:cs="Times New Roman"/>
                      <w:color w:val="auto"/>
                      <w:sz w:val="21"/>
                      <w:szCs w:val="21"/>
                    </w:rPr>
                    <w:t>于</w:t>
                  </w:r>
                  <w:r>
                    <w:rPr>
                      <w:rFonts w:hint="default" w:ascii="Times New Roman" w:hAnsi="Times New Roman" w:eastAsia="Times New Roman" w:cs="Times New Roman"/>
                      <w:color w:val="auto"/>
                      <w:sz w:val="21"/>
                      <w:szCs w:val="21"/>
                      <w:lang w:val="en-US" w:eastAsia="zh-CN"/>
                    </w:rPr>
                    <w:t>厂房内南侧设置一间</w:t>
                  </w:r>
                  <w:r>
                    <w:rPr>
                      <w:rFonts w:hint="default" w:ascii="Times New Roman" w:hAnsi="Times New Roman" w:eastAsia="Times New Roman" w:cs="Times New Roman"/>
                      <w:b w:val="0"/>
                      <w:bCs w:val="0"/>
                      <w:color w:val="auto"/>
                      <w:sz w:val="21"/>
                      <w:szCs w:val="21"/>
                    </w:rPr>
                    <w:t>危废</w:t>
                  </w:r>
                  <w:r>
                    <w:rPr>
                      <w:rFonts w:hint="default" w:ascii="Times New Roman" w:hAnsi="Times New Roman" w:eastAsia="Times New Roman" w:cs="Times New Roman"/>
                      <w:b w:val="0"/>
                      <w:bCs w:val="0"/>
                      <w:color w:val="auto"/>
                      <w:sz w:val="21"/>
                      <w:szCs w:val="21"/>
                      <w:lang w:val="en-US" w:eastAsia="zh-CN"/>
                    </w:rPr>
                    <w:t>暂存</w:t>
                  </w:r>
                  <w:r>
                    <w:rPr>
                      <w:rFonts w:hint="default" w:ascii="Times New Roman" w:hAnsi="Times New Roman" w:eastAsia="Times New Roman" w:cs="Times New Roman"/>
                      <w:b w:val="0"/>
                      <w:bCs w:val="0"/>
                      <w:color w:val="auto"/>
                      <w:sz w:val="21"/>
                      <w:szCs w:val="21"/>
                    </w:rPr>
                    <w:t>间</w:t>
                  </w:r>
                  <w:r>
                    <w:rPr>
                      <w:rFonts w:hint="default" w:ascii="Times New Roman" w:hAnsi="Times New Roman" w:eastAsia="Times New Roman" w:cs="Times New Roman"/>
                      <w:color w:val="auto"/>
                      <w:sz w:val="21"/>
                      <w:szCs w:val="21"/>
                    </w:rPr>
                    <w:t>，占地面积</w:t>
                  </w:r>
                  <w:r>
                    <w:rPr>
                      <w:rFonts w:hint="eastAsia" w:ascii="Times New Roman" w:hAnsi="Times New Roman" w:eastAsia="Times New Roman" w:cs="Times New Roman"/>
                      <w:color w:val="auto"/>
                      <w:sz w:val="21"/>
                      <w:szCs w:val="21"/>
                      <w:lang w:val="en-US" w:eastAsia="zh-CN"/>
                    </w:rPr>
                    <w:t>20</w:t>
                  </w:r>
                  <w:r>
                    <w:rPr>
                      <w:rFonts w:hint="default" w:ascii="Times New Roman" w:hAnsi="Times New Roman" w:eastAsia="Times New Roman" w:cs="Times New Roman"/>
                      <w:color w:val="auto"/>
                      <w:sz w:val="21"/>
                      <w:szCs w:val="21"/>
                    </w:rPr>
                    <w:t>m</w:t>
                  </w:r>
                  <w:r>
                    <w:rPr>
                      <w:rFonts w:hint="default" w:ascii="Times New Roman" w:hAnsi="Times New Roman" w:eastAsia="Times New Roman" w:cs="Times New Roman"/>
                      <w:color w:val="auto"/>
                      <w:sz w:val="21"/>
                      <w:szCs w:val="21"/>
                      <w:vertAlign w:val="superscript"/>
                    </w:rPr>
                    <w:t>2</w:t>
                  </w:r>
                  <w:r>
                    <w:rPr>
                      <w:rFonts w:hint="default" w:ascii="Times New Roman" w:hAnsi="Times New Roman" w:eastAsia="Times New Roman" w:cs="Times New Roman"/>
                      <w:color w:val="auto"/>
                      <w:sz w:val="21"/>
                      <w:szCs w:val="21"/>
                      <w:vertAlign w:val="baseline"/>
                      <w:lang w:eastAsia="zh-CN"/>
                    </w:rPr>
                    <w:t>。</w:t>
                  </w:r>
                  <w:r>
                    <w:rPr>
                      <w:rFonts w:hint="default" w:ascii="Times New Roman" w:hAnsi="Times New Roman" w:eastAsia="Times New Roman" w:cs="Times New Roman"/>
                      <w:color w:val="auto"/>
                      <w:sz w:val="21"/>
                      <w:szCs w:val="21"/>
                    </w:rPr>
                    <w:t>严格</w:t>
                  </w:r>
                  <w:r>
                    <w:rPr>
                      <w:rFonts w:hint="default" w:ascii="Times New Roman" w:hAnsi="Times New Roman" w:eastAsia="宋体" w:cs="Times New Roman"/>
                      <w:color w:val="auto"/>
                      <w:sz w:val="21"/>
                      <w:szCs w:val="21"/>
                    </w:rPr>
                    <w:t>落</w:t>
                  </w:r>
                  <w:r>
                    <w:rPr>
                      <w:rFonts w:hint="eastAsia" w:ascii="宋体" w:hAnsi="宋体" w:eastAsia="宋体" w:cs="宋体"/>
                      <w:color w:val="auto"/>
                      <w:sz w:val="21"/>
                      <w:szCs w:val="21"/>
                    </w:rPr>
                    <w:t>实“四防”(防风、防雨、防晒、防渗漏)控制措施</w:t>
                  </w:r>
                  <w:r>
                    <w:rPr>
                      <w:rFonts w:hint="default" w:ascii="Times New Roman" w:hAnsi="Times New Roman" w:eastAsia="Times New Roman" w:cs="Times New Roman"/>
                      <w:color w:val="auto"/>
                      <w:sz w:val="21"/>
                      <w:szCs w:val="21"/>
                    </w:rPr>
                    <w:t>，地面进行防腐并设置有防渗漏垫板，并配套危险废物堆放方式、警示标识等方面内容</w:t>
                  </w:r>
                  <w:r>
                    <w:rPr>
                      <w:rFonts w:hint="default" w:ascii="Times New Roman" w:hAnsi="Times New Roman" w:eastAsia="Times New Roman" w:cs="Times New Roman"/>
                      <w:color w:val="auto"/>
                      <w:sz w:val="21"/>
                      <w:szCs w:val="21"/>
                      <w:lang w:eastAsia="zh-CN"/>
                    </w:rPr>
                    <w:t>，</w:t>
                  </w:r>
                  <w:r>
                    <w:rPr>
                      <w:rFonts w:hint="default" w:ascii="Times New Roman" w:hAnsi="Times New Roman" w:eastAsia="Times New Roman" w:cs="Times New Roman"/>
                      <w:color w:val="auto"/>
                      <w:sz w:val="21"/>
                      <w:szCs w:val="21"/>
                      <w:lang w:val="en-US" w:eastAsia="zh-CN"/>
                    </w:rPr>
                    <w:t>项目所产生的</w:t>
                  </w:r>
                  <w:r>
                    <w:rPr>
                      <w:rFonts w:hint="eastAsia" w:ascii="Times New Roman" w:hAnsi="Times New Roman" w:eastAsia="Times New Roman" w:cs="Times New Roman"/>
                      <w:color w:val="auto"/>
                      <w:sz w:val="21"/>
                      <w:szCs w:val="21"/>
                      <w:lang w:val="en-US" w:eastAsia="zh-CN"/>
                    </w:rPr>
                    <w:t>油污、油泥、废活性炭、废润滑油、废包装桶</w:t>
                  </w:r>
                  <w:r>
                    <w:rPr>
                      <w:rFonts w:hint="default" w:ascii="Times New Roman" w:hAnsi="Times New Roman" w:eastAsia="Times New Roman" w:cs="Times New Roman"/>
                      <w:b w:val="0"/>
                      <w:bCs w:val="0"/>
                      <w:color w:val="auto"/>
                      <w:sz w:val="21"/>
                      <w:szCs w:val="21"/>
                    </w:rPr>
                    <w:t>集中收集</w:t>
                  </w:r>
                  <w:r>
                    <w:rPr>
                      <w:rFonts w:hint="default" w:ascii="Times New Roman" w:hAnsi="Times New Roman" w:eastAsia="Times New Roman" w:cs="Times New Roman"/>
                      <w:b w:val="0"/>
                      <w:bCs w:val="0"/>
                      <w:color w:val="auto"/>
                      <w:sz w:val="21"/>
                      <w:szCs w:val="21"/>
                      <w:lang w:val="en-US" w:eastAsia="zh-CN"/>
                    </w:rPr>
                    <w:t>后暂存</w:t>
                  </w:r>
                  <w:r>
                    <w:rPr>
                      <w:rFonts w:hint="default" w:ascii="Times New Roman" w:hAnsi="Times New Roman" w:eastAsia="Times New Roman" w:cs="Times New Roman"/>
                      <w:b w:val="0"/>
                      <w:bCs w:val="0"/>
                      <w:color w:val="auto"/>
                      <w:sz w:val="21"/>
                      <w:szCs w:val="21"/>
                    </w:rPr>
                    <w:t>于</w:t>
                  </w:r>
                  <w:r>
                    <w:rPr>
                      <w:rFonts w:hint="default" w:ascii="Times New Roman" w:hAnsi="Times New Roman" w:eastAsia="Times New Roman" w:cs="Times New Roman"/>
                      <w:b w:val="0"/>
                      <w:bCs w:val="0"/>
                      <w:color w:val="auto"/>
                      <w:sz w:val="21"/>
                      <w:szCs w:val="21"/>
                      <w:lang w:val="en-US" w:eastAsia="zh-CN"/>
                    </w:rPr>
                    <w:t>危废暂存间内</w:t>
                  </w:r>
                  <w:r>
                    <w:rPr>
                      <w:rFonts w:hint="default" w:ascii="Times New Roman" w:hAnsi="Times New Roman" w:eastAsia="Times New Roman" w:cs="Times New Roman"/>
                      <w:b w:val="0"/>
                      <w:bCs w:val="0"/>
                      <w:color w:val="auto"/>
                      <w:sz w:val="21"/>
                      <w:szCs w:val="21"/>
                      <w:lang w:eastAsia="zh-CN"/>
                    </w:rPr>
                    <w:t>，</w:t>
                  </w:r>
                  <w:r>
                    <w:rPr>
                      <w:rFonts w:hint="default" w:ascii="Times New Roman" w:hAnsi="Times New Roman" w:eastAsia="Times New Roman" w:cs="Times New Roman"/>
                      <w:b w:val="0"/>
                      <w:bCs w:val="0"/>
                      <w:color w:val="auto"/>
                      <w:sz w:val="21"/>
                      <w:szCs w:val="21"/>
                    </w:rPr>
                    <w:t>委托有资质单位处理。</w:t>
                  </w:r>
                </w:p>
              </w:tc>
              <w:tc>
                <w:tcPr>
                  <w:tcW w:w="362" w:type="pct"/>
                  <w:noWrap w:val="0"/>
                  <w:vAlign w:val="center"/>
                </w:tcPr>
                <w:p w14:paraId="055E3C5A">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5</w:t>
                  </w:r>
                </w:p>
              </w:tc>
            </w:tr>
            <w:tr w14:paraId="6BF4E660">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306" w:hRule="atLeast"/>
                <w:jc w:val="center"/>
              </w:trPr>
              <w:tc>
                <w:tcPr>
                  <w:tcW w:w="502" w:type="pct"/>
                  <w:vMerge w:val="continue"/>
                  <w:tcBorders>
                    <w:right w:val="single" w:color="auto" w:sz="4" w:space="0"/>
                  </w:tcBorders>
                  <w:noWrap w:val="0"/>
                  <w:vAlign w:val="center"/>
                </w:tcPr>
                <w:p w14:paraId="47D4EE63">
                  <w:pPr>
                    <w:keepNext w:val="0"/>
                    <w:keepLines w:val="0"/>
                    <w:suppressLineNumbers w:val="0"/>
                    <w:spacing w:before="0" w:beforeAutospacing="0" w:after="0" w:afterAutospacing="0" w:line="240" w:lineRule="auto"/>
                    <w:ind w:left="-84" w:leftChars="-40" w:right="-84" w:rightChars="-40"/>
                    <w:jc w:val="center"/>
                    <w:rPr>
                      <w:rFonts w:hint="default" w:ascii="Times New Roman" w:hAnsi="Times New Roman" w:eastAsia="宋体" w:cs="Times New Roman"/>
                      <w:color w:val="auto"/>
                      <w:sz w:val="21"/>
                      <w:szCs w:val="21"/>
                    </w:rPr>
                  </w:pPr>
                </w:p>
              </w:tc>
              <w:tc>
                <w:tcPr>
                  <w:tcW w:w="728" w:type="pct"/>
                  <w:tcBorders>
                    <w:left w:val="single" w:color="auto" w:sz="4" w:space="0"/>
                  </w:tcBorders>
                  <w:noWrap w:val="0"/>
                  <w:vAlign w:val="center"/>
                </w:tcPr>
                <w:p w14:paraId="5BC157DF">
                  <w:pPr>
                    <w:keepNext w:val="0"/>
                    <w:keepLines w:val="0"/>
                    <w:suppressLineNumbers w:val="0"/>
                    <w:spacing w:before="0" w:beforeAutospacing="0" w:after="0" w:afterAutospacing="0" w:line="240" w:lineRule="auto"/>
                    <w:ind w:left="-84" w:leftChars="-40" w:right="-84" w:rightChars="-4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生活垃圾</w:t>
                  </w:r>
                </w:p>
              </w:tc>
              <w:tc>
                <w:tcPr>
                  <w:tcW w:w="3407" w:type="pct"/>
                  <w:noWrap w:val="0"/>
                  <w:vAlign w:val="center"/>
                </w:tcPr>
                <w:p w14:paraId="3A93990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eastAsia" w:ascii="Times New Roman" w:hAnsi="Times New Roman" w:eastAsia="宋体" w:cs="Times New Roman"/>
                      <w:color w:val="auto"/>
                      <w:sz w:val="21"/>
                      <w:szCs w:val="21"/>
                      <w:lang w:eastAsia="zh-CN"/>
                    </w:rPr>
                  </w:pPr>
                  <w:r>
                    <w:rPr>
                      <w:rFonts w:hint="default" w:ascii="Times New Roman" w:hAnsi="Times New Roman" w:eastAsia="Times New Roman" w:cs="Times New Roman"/>
                      <w:b w:val="0"/>
                      <w:bCs w:val="0"/>
                      <w:color w:val="auto"/>
                      <w:sz w:val="21"/>
                      <w:szCs w:val="21"/>
                    </w:rPr>
                    <w:t>集中收集，</w:t>
                  </w:r>
                  <w:r>
                    <w:rPr>
                      <w:rFonts w:hint="default" w:ascii="Times New Roman" w:hAnsi="Times New Roman" w:eastAsia="Times New Roman" w:cs="Times New Roman"/>
                      <w:b w:val="0"/>
                      <w:bCs w:val="0"/>
                      <w:color w:val="auto"/>
                      <w:sz w:val="21"/>
                      <w:szCs w:val="21"/>
                      <w:lang w:val="en-US" w:eastAsia="zh-CN"/>
                    </w:rPr>
                    <w:t>由</w:t>
                  </w:r>
                  <w:r>
                    <w:rPr>
                      <w:rFonts w:hint="default" w:ascii="Times New Roman" w:hAnsi="Times New Roman" w:eastAsia="Times New Roman" w:cs="Times New Roman"/>
                      <w:b w:val="0"/>
                      <w:bCs w:val="0"/>
                      <w:color w:val="auto"/>
                      <w:sz w:val="21"/>
                      <w:szCs w:val="21"/>
                    </w:rPr>
                    <w:t>环卫部门</w:t>
                  </w:r>
                  <w:r>
                    <w:rPr>
                      <w:rFonts w:hint="default" w:ascii="Times New Roman" w:hAnsi="Times New Roman" w:eastAsia="Times New Roman" w:cs="Times New Roman"/>
                      <w:b w:val="0"/>
                      <w:bCs w:val="0"/>
                      <w:color w:val="auto"/>
                      <w:sz w:val="21"/>
                      <w:szCs w:val="21"/>
                      <w:lang w:val="en-US" w:eastAsia="zh-CN"/>
                    </w:rPr>
                    <w:t>统一</w:t>
                  </w:r>
                  <w:r>
                    <w:rPr>
                      <w:rFonts w:hint="default" w:ascii="Times New Roman" w:hAnsi="Times New Roman" w:eastAsia="Times New Roman" w:cs="Times New Roman"/>
                      <w:b w:val="0"/>
                      <w:bCs w:val="0"/>
                      <w:color w:val="auto"/>
                      <w:sz w:val="21"/>
                      <w:szCs w:val="21"/>
                    </w:rPr>
                    <w:t>清运</w:t>
                  </w:r>
                  <w:r>
                    <w:rPr>
                      <w:rFonts w:hint="eastAsia" w:ascii="Times New Roman" w:hAnsi="Times New Roman" w:eastAsia="宋体" w:cs="Times New Roman"/>
                      <w:b w:val="0"/>
                      <w:bCs w:val="0"/>
                      <w:color w:val="auto"/>
                      <w:sz w:val="21"/>
                      <w:szCs w:val="21"/>
                      <w:lang w:eastAsia="zh-CN"/>
                    </w:rPr>
                    <w:t>。</w:t>
                  </w:r>
                </w:p>
              </w:tc>
              <w:tc>
                <w:tcPr>
                  <w:tcW w:w="362" w:type="pct"/>
                  <w:noWrap w:val="0"/>
                  <w:vAlign w:val="center"/>
                </w:tcPr>
                <w:p w14:paraId="3AF82311">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w:t>
                  </w:r>
                </w:p>
              </w:tc>
            </w:tr>
            <w:tr w14:paraId="168920AC">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306" w:hRule="atLeast"/>
                <w:jc w:val="center"/>
              </w:trPr>
              <w:tc>
                <w:tcPr>
                  <w:tcW w:w="1230" w:type="pct"/>
                  <w:gridSpan w:val="2"/>
                  <w:noWrap w:val="0"/>
                  <w:vAlign w:val="center"/>
                </w:tcPr>
                <w:p w14:paraId="11FCD70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地下水及土壤防治措施</w:t>
                  </w:r>
                </w:p>
              </w:tc>
              <w:tc>
                <w:tcPr>
                  <w:tcW w:w="3407" w:type="pct"/>
                  <w:noWrap w:val="0"/>
                  <w:vAlign w:val="center"/>
                </w:tcPr>
                <w:p w14:paraId="3F9DA7E1">
                  <w:pPr>
                    <w:pStyle w:val="464"/>
                    <w:keepNext w:val="0"/>
                    <w:keepLines w:val="0"/>
                    <w:suppressLineNumbers w:val="0"/>
                    <w:spacing w:before="0" w:beforeAutospacing="0" w:after="0" w:afterAutospacing="0"/>
                    <w:ind w:left="0" w:right="0"/>
                    <w:jc w:val="both"/>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color w:val="auto"/>
                      <w:kern w:val="2"/>
                      <w:sz w:val="21"/>
                      <w:szCs w:val="21"/>
                      <w:lang w:val="en-US" w:eastAsia="zh-CN"/>
                    </w:rPr>
                    <w:t>新建的</w:t>
                  </w:r>
                  <w:r>
                    <w:rPr>
                      <w:rFonts w:hint="default" w:ascii="Times New Roman" w:hAnsi="Times New Roman" w:eastAsia="宋体" w:cs="Times New Roman"/>
                      <w:color w:val="auto"/>
                      <w:kern w:val="0"/>
                      <w:sz w:val="21"/>
                      <w:szCs w:val="21"/>
                      <w:lang w:val="en-US" w:eastAsia="zh-CN"/>
                    </w:rPr>
                    <w:t>危废暂存间、化学品库</w:t>
                  </w:r>
                  <w:r>
                    <w:rPr>
                      <w:rFonts w:hint="eastAsia" w:ascii="Times New Roman" w:hAnsi="Times New Roman" w:cs="Times New Roman"/>
                      <w:color w:val="auto"/>
                      <w:kern w:val="0"/>
                      <w:sz w:val="21"/>
                      <w:szCs w:val="21"/>
                      <w:lang w:val="en-US" w:eastAsia="zh-CN"/>
                    </w:rPr>
                    <w:t>、冷却油池</w:t>
                  </w:r>
                  <w:r>
                    <w:rPr>
                      <w:rFonts w:hint="default" w:ascii="Times New Roman" w:hAnsi="Times New Roman" w:eastAsia="宋体" w:cs="Times New Roman"/>
                      <w:color w:val="auto"/>
                      <w:kern w:val="0"/>
                      <w:sz w:val="21"/>
                      <w:szCs w:val="21"/>
                      <w:lang w:val="en-US" w:eastAsia="zh-CN"/>
                    </w:rPr>
                    <w:t>进行</w:t>
                  </w:r>
                  <w:r>
                    <w:rPr>
                      <w:rFonts w:hint="default" w:ascii="Times New Roman" w:hAnsi="Times New Roman" w:eastAsia="宋体" w:cs="Times New Roman"/>
                      <w:color w:val="auto"/>
                      <w:kern w:val="2"/>
                      <w:sz w:val="21"/>
                      <w:szCs w:val="21"/>
                      <w:lang w:val="en-US" w:eastAsia="zh-CN"/>
                    </w:rPr>
                    <w:t>重点防渗；厂房内其他区域一般防渗。</w:t>
                  </w:r>
                </w:p>
              </w:tc>
              <w:tc>
                <w:tcPr>
                  <w:tcW w:w="362" w:type="pct"/>
                  <w:noWrap w:val="0"/>
                  <w:vAlign w:val="center"/>
                </w:tcPr>
                <w:p w14:paraId="605D95F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3</w:t>
                  </w:r>
                </w:p>
              </w:tc>
            </w:tr>
            <w:tr w14:paraId="5FD05A84">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306" w:hRule="atLeast"/>
                <w:jc w:val="center"/>
              </w:trPr>
              <w:tc>
                <w:tcPr>
                  <w:tcW w:w="1230" w:type="pct"/>
                  <w:gridSpan w:val="2"/>
                  <w:noWrap w:val="0"/>
                  <w:vAlign w:val="center"/>
                </w:tcPr>
                <w:p w14:paraId="426AA47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风险防范措施</w:t>
                  </w:r>
                </w:p>
              </w:tc>
              <w:tc>
                <w:tcPr>
                  <w:tcW w:w="3407" w:type="pct"/>
                  <w:noWrap w:val="0"/>
                  <w:vAlign w:val="center"/>
                </w:tcPr>
                <w:p w14:paraId="345D87C5">
                  <w:pPr>
                    <w:pStyle w:val="464"/>
                    <w:keepNext w:val="0"/>
                    <w:keepLines w:val="0"/>
                    <w:suppressLineNumbers w:val="0"/>
                    <w:spacing w:before="0" w:beforeAutospacing="0" w:after="0" w:afterAutospacing="0"/>
                    <w:ind w:left="0" w:right="0"/>
                    <w:jc w:val="both"/>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kern w:val="0"/>
                      <w:sz w:val="21"/>
                      <w:szCs w:val="21"/>
                      <w:lang w:val="en-US" w:eastAsia="zh-CN"/>
                    </w:rPr>
                    <w:t>制定环保管理制度</w:t>
                  </w:r>
                  <w:r>
                    <w:rPr>
                      <w:rFonts w:hint="eastAsia" w:ascii="Times New Roman" w:hAnsi="Times New Roman" w:eastAsia="Times New Roman" w:cs="Times New Roman"/>
                      <w:color w:val="auto"/>
                      <w:sz w:val="21"/>
                      <w:szCs w:val="21"/>
                      <w:lang w:eastAsia="zh-CN"/>
                    </w:rPr>
                    <w:t>，</w:t>
                  </w:r>
                  <w:r>
                    <w:rPr>
                      <w:rFonts w:hint="default" w:ascii="Times New Roman" w:hAnsi="Times New Roman" w:eastAsia="宋体" w:cs="Times New Roman"/>
                      <w:color w:val="auto"/>
                      <w:sz w:val="21"/>
                      <w:szCs w:val="21"/>
                    </w:rPr>
                    <w:t>加强风险防范管控。</w:t>
                  </w:r>
                </w:p>
              </w:tc>
              <w:tc>
                <w:tcPr>
                  <w:tcW w:w="362" w:type="pct"/>
                  <w:noWrap w:val="0"/>
                  <w:vAlign w:val="center"/>
                </w:tcPr>
                <w:p w14:paraId="22CB5895">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val="en-US" w:eastAsia="zh-CN"/>
                    </w:rPr>
                    <w:t>0</w:t>
                  </w:r>
                </w:p>
              </w:tc>
            </w:tr>
            <w:tr w14:paraId="04C70F78">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306" w:hRule="atLeast"/>
                <w:jc w:val="center"/>
              </w:trPr>
              <w:tc>
                <w:tcPr>
                  <w:tcW w:w="4637" w:type="pct"/>
                  <w:gridSpan w:val="3"/>
                  <w:noWrap w:val="0"/>
                  <w:vAlign w:val="center"/>
                </w:tcPr>
                <w:p w14:paraId="5EF6A35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合计</w:t>
                  </w:r>
                </w:p>
              </w:tc>
              <w:tc>
                <w:tcPr>
                  <w:tcW w:w="362" w:type="pct"/>
                  <w:noWrap w:val="0"/>
                  <w:vAlign w:val="center"/>
                </w:tcPr>
                <w:p w14:paraId="6867F3D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56</w:t>
                  </w:r>
                </w:p>
              </w:tc>
            </w:tr>
          </w:tbl>
          <w:p w14:paraId="63E096A5">
            <w:pPr>
              <w:pStyle w:val="62"/>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color w:val="0000FF"/>
              </w:rPr>
            </w:pPr>
          </w:p>
        </w:tc>
      </w:tr>
    </w:tbl>
    <w:p w14:paraId="23D8A220">
      <w:pPr>
        <w:pStyle w:val="46"/>
        <w:spacing w:before="120" w:beforeLines="50" w:beforeAutospacing="0" w:after="0" w:afterAutospacing="0" w:line="360" w:lineRule="auto"/>
        <w:jc w:val="center"/>
        <w:outlineLvl w:val="0"/>
        <w:rPr>
          <w:rFonts w:hint="default" w:ascii="Times New Roman" w:hAnsi="Times New Roman" w:eastAsia="宋体" w:cs="Times New Roman"/>
          <w:snapToGrid w:val="0"/>
          <w:color w:val="0000FF"/>
          <w:sz w:val="30"/>
          <w:szCs w:val="30"/>
        </w:rPr>
        <w:sectPr>
          <w:pgSz w:w="11907" w:h="16840"/>
          <w:pgMar w:top="1440" w:right="1440" w:bottom="1389" w:left="1440" w:header="851" w:footer="851" w:gutter="0"/>
          <w:pgBorders>
            <w:top w:val="none" w:sz="0" w:space="0"/>
            <w:left w:val="none" w:sz="0" w:space="0"/>
            <w:bottom w:val="none" w:sz="0" w:space="0"/>
            <w:right w:val="none" w:sz="0" w:space="0"/>
          </w:pgBorders>
          <w:pgNumType w:fmt="numberInDash"/>
          <w:cols w:space="720" w:num="1"/>
          <w:docGrid w:linePitch="312" w:charSpace="0"/>
        </w:sectPr>
      </w:pPr>
    </w:p>
    <w:p w14:paraId="2D57899E">
      <w:pPr>
        <w:pStyle w:val="46"/>
        <w:spacing w:before="120" w:beforeLines="50" w:beforeAutospacing="0" w:after="0" w:afterAutospacing="0" w:line="360" w:lineRule="auto"/>
        <w:jc w:val="center"/>
        <w:outlineLvl w:val="0"/>
        <w:rPr>
          <w:rFonts w:hint="default" w:ascii="Times New Roman" w:hAnsi="Times New Roman" w:eastAsia="宋体" w:cs="Times New Roman"/>
          <w:b/>
          <w:snapToGrid w:val="0"/>
          <w:color w:val="0000FF"/>
          <w:sz w:val="28"/>
          <w:szCs w:val="28"/>
        </w:rPr>
      </w:pPr>
      <w:bookmarkStart w:id="13" w:name="_Toc120118376"/>
      <w:r>
        <w:rPr>
          <w:rFonts w:hint="default" w:ascii="Times New Roman" w:hAnsi="Times New Roman" w:eastAsia="宋体" w:cs="Times New Roman"/>
          <w:b/>
          <w:snapToGrid w:val="0"/>
          <w:color w:val="auto"/>
          <w:sz w:val="28"/>
          <w:szCs w:val="28"/>
        </w:rPr>
        <w:t>五、</w:t>
      </w:r>
      <w:bookmarkStart w:id="14" w:name="_Hlk54167917"/>
      <w:r>
        <w:rPr>
          <w:rFonts w:hint="default" w:ascii="Times New Roman" w:hAnsi="Times New Roman" w:eastAsia="宋体" w:cs="Times New Roman"/>
          <w:b/>
          <w:snapToGrid w:val="0"/>
          <w:color w:val="auto"/>
          <w:sz w:val="28"/>
          <w:szCs w:val="28"/>
        </w:rPr>
        <w:t>环境保护措施监督检查清单</w:t>
      </w:r>
      <w:bookmarkEnd w:id="13"/>
      <w:bookmarkEnd w:id="14"/>
    </w:p>
    <w:tbl>
      <w:tblPr>
        <w:tblStyle w:val="52"/>
        <w:tblW w:w="515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02"/>
        <w:gridCol w:w="1351"/>
        <w:gridCol w:w="1215"/>
        <w:gridCol w:w="1769"/>
        <w:gridCol w:w="4212"/>
      </w:tblGrid>
      <w:tr w14:paraId="76DC6B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25" w:type="pct"/>
            <w:tcBorders>
              <w:tl2br w:val="single" w:color="auto" w:sz="4" w:space="0"/>
            </w:tcBorders>
            <w:noWrap w:val="0"/>
            <w:vAlign w:val="top"/>
          </w:tcPr>
          <w:p w14:paraId="3523C361">
            <w:pPr>
              <w:keepNext w:val="0"/>
              <w:keepLines w:val="0"/>
              <w:suppressLineNumbers w:val="0"/>
              <w:adjustRightInd w:val="0"/>
              <w:spacing w:before="0" w:beforeAutospacing="0" w:after="0" w:afterAutospacing="0" w:line="240" w:lineRule="auto"/>
              <w:ind w:left="0" w:right="0"/>
              <w:jc w:val="right"/>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内容</w:t>
            </w:r>
          </w:p>
          <w:p w14:paraId="78A9C5E8">
            <w:pPr>
              <w:keepNext w:val="0"/>
              <w:keepLines w:val="0"/>
              <w:suppressLineNumbers w:val="0"/>
              <w:adjustRightInd w:val="0"/>
              <w:spacing w:before="0" w:beforeAutospacing="0" w:after="0" w:afterAutospacing="0" w:line="240" w:lineRule="auto"/>
              <w:ind w:left="0" w:right="0"/>
              <w:rPr>
                <w:rFonts w:hint="default" w:ascii="Times New Roman" w:hAnsi="Times New Roman" w:eastAsia="宋体" w:cs="Times New Roman"/>
                <w:b/>
                <w:color w:val="auto"/>
                <w:sz w:val="24"/>
                <w:szCs w:val="24"/>
              </w:rPr>
            </w:pPr>
          </w:p>
          <w:p w14:paraId="06ED0186">
            <w:pPr>
              <w:keepNext w:val="0"/>
              <w:keepLines w:val="0"/>
              <w:suppressLineNumbers w:val="0"/>
              <w:adjustRightInd w:val="0"/>
              <w:spacing w:before="0" w:beforeAutospacing="0" w:after="0" w:afterAutospacing="0" w:line="240" w:lineRule="auto"/>
              <w:ind w:left="0" w:right="0"/>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要素</w:t>
            </w:r>
          </w:p>
        </w:tc>
        <w:tc>
          <w:tcPr>
            <w:tcW w:w="707" w:type="pct"/>
            <w:noWrap w:val="0"/>
            <w:vAlign w:val="center"/>
          </w:tcPr>
          <w:p w14:paraId="503B2B36">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排放口(编号、名称)/污染源</w:t>
            </w:r>
          </w:p>
        </w:tc>
        <w:tc>
          <w:tcPr>
            <w:tcW w:w="636" w:type="pct"/>
            <w:noWrap w:val="0"/>
            <w:vAlign w:val="center"/>
          </w:tcPr>
          <w:p w14:paraId="26C8FAFA">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污染物</w:t>
            </w:r>
          </w:p>
          <w:p w14:paraId="31ACA066">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项目</w:t>
            </w:r>
          </w:p>
        </w:tc>
        <w:tc>
          <w:tcPr>
            <w:tcW w:w="926" w:type="pct"/>
            <w:noWrap w:val="0"/>
            <w:vAlign w:val="center"/>
          </w:tcPr>
          <w:p w14:paraId="2C38F19B">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环境保护措施</w:t>
            </w:r>
          </w:p>
        </w:tc>
        <w:tc>
          <w:tcPr>
            <w:tcW w:w="2204" w:type="pct"/>
            <w:noWrap w:val="0"/>
            <w:vAlign w:val="center"/>
          </w:tcPr>
          <w:p w14:paraId="4C4F5ACF">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0000FF"/>
                <w:sz w:val="24"/>
                <w:szCs w:val="24"/>
              </w:rPr>
            </w:pPr>
            <w:r>
              <w:rPr>
                <w:rFonts w:hint="default" w:ascii="Times New Roman" w:hAnsi="Times New Roman" w:eastAsia="宋体" w:cs="Times New Roman"/>
                <w:b/>
                <w:color w:val="auto"/>
                <w:sz w:val="24"/>
                <w:szCs w:val="24"/>
              </w:rPr>
              <w:t>执行标准</w:t>
            </w:r>
          </w:p>
        </w:tc>
      </w:tr>
      <w:tr w14:paraId="03B0E8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5" w:type="pct"/>
            <w:vMerge w:val="restart"/>
            <w:noWrap w:val="0"/>
            <w:vAlign w:val="center"/>
          </w:tcPr>
          <w:p w14:paraId="0167778C">
            <w:pPr>
              <w:keepNext w:val="0"/>
              <w:keepLines w:val="0"/>
              <w:suppressLineNumbers w:val="0"/>
              <w:adjustRightInd w:val="0"/>
              <w:spacing w:before="0" w:beforeAutospacing="0" w:after="0" w:afterAutospacing="0" w:line="400" w:lineRule="exact"/>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大气环境</w:t>
            </w:r>
          </w:p>
        </w:tc>
        <w:tc>
          <w:tcPr>
            <w:tcW w:w="707" w:type="pct"/>
            <w:noWrap w:val="0"/>
            <w:vAlign w:val="center"/>
          </w:tcPr>
          <w:p w14:paraId="2A6399E4">
            <w:pPr>
              <w:pStyle w:val="217"/>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105" w:leftChars="-50" w:right="-105" w:rightChars="-5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DA001</w:t>
            </w:r>
            <w:r>
              <w:rPr>
                <w:rFonts w:hint="default" w:ascii="Times New Roman" w:hAnsi="Times New Roman" w:eastAsia="宋体" w:cs="Times New Roman"/>
                <w:color w:val="auto"/>
                <w:sz w:val="24"/>
                <w:szCs w:val="24"/>
                <w:lang w:val="en-US" w:eastAsia="zh-CN"/>
              </w:rPr>
              <w:t>/</w:t>
            </w:r>
            <w:r>
              <w:rPr>
                <w:rFonts w:hint="eastAsia" w:ascii="Times New Roman" w:hAnsi="Times New Roman" w:cs="Times New Roman"/>
                <w:color w:val="auto"/>
                <w:sz w:val="24"/>
                <w:szCs w:val="24"/>
                <w:lang w:val="en-US" w:eastAsia="zh-CN"/>
              </w:rPr>
              <w:t>箱式渗碳、淬火回火</w:t>
            </w:r>
            <w:r>
              <w:rPr>
                <w:rFonts w:hint="default" w:ascii="Times New Roman" w:hAnsi="Times New Roman" w:eastAsia="宋体" w:cs="Times New Roman"/>
                <w:color w:val="auto"/>
                <w:kern w:val="0"/>
                <w:sz w:val="24"/>
                <w:szCs w:val="24"/>
                <w:lang w:val="en-US" w:eastAsia="zh-CN"/>
              </w:rPr>
              <w:t>废气</w:t>
            </w:r>
          </w:p>
        </w:tc>
        <w:tc>
          <w:tcPr>
            <w:tcW w:w="636" w:type="pct"/>
            <w:noWrap w:val="0"/>
            <w:vAlign w:val="center"/>
          </w:tcPr>
          <w:p w14:paraId="24AAE3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63" w:leftChars="-30" w:right="-63" w:rightChars="-30" w:firstLine="0" w:firstLineChars="0"/>
              <w:jc w:val="center"/>
              <w:textAlignment w:val="auto"/>
              <w:rPr>
                <w:rFonts w:hint="default" w:ascii="Times New Roman" w:hAnsi="Times New Roman" w:eastAsia="宋体" w:cs="Times New Roman"/>
                <w:color w:val="auto"/>
                <w:sz w:val="24"/>
                <w:szCs w:val="24"/>
                <w:lang w:val="en-US" w:eastAsia="zh-CN"/>
              </w:rPr>
            </w:pPr>
            <w:r>
              <w:rPr>
                <w:rFonts w:hint="default" w:eastAsia="Times New Roman" w:cs="宋体"/>
                <w:bCs/>
                <w:color w:val="auto"/>
                <w:sz w:val="24"/>
                <w:szCs w:val="24"/>
              </w:rPr>
              <w:t>非甲烷总烃、</w:t>
            </w:r>
            <w:r>
              <w:rPr>
                <w:rFonts w:hint="eastAsia" w:eastAsia="Times New Roman" w:cs="宋体"/>
                <w:bCs/>
                <w:color w:val="auto"/>
                <w:sz w:val="24"/>
                <w:szCs w:val="24"/>
                <w:lang w:val="en-US" w:eastAsia="zh-CN"/>
              </w:rPr>
              <w:t>颗粒物（油雾）</w:t>
            </w:r>
          </w:p>
        </w:tc>
        <w:tc>
          <w:tcPr>
            <w:tcW w:w="926" w:type="pct"/>
            <w:tcBorders>
              <w:bottom w:val="single" w:color="auto" w:sz="4" w:space="0"/>
            </w:tcBorders>
            <w:noWrap w:val="0"/>
            <w:vAlign w:val="center"/>
          </w:tcPr>
          <w:p w14:paraId="23D11779">
            <w:pPr>
              <w:pStyle w:val="160"/>
              <w:keepNext w:val="0"/>
              <w:keepLines w:val="0"/>
              <w:pageBreakBefore w:val="0"/>
              <w:widowControl w:val="0"/>
              <w:suppressLineNumbers w:val="0"/>
              <w:kinsoku/>
              <w:overflowPunct/>
              <w:topLinePunct w:val="0"/>
              <w:bidi w:val="0"/>
              <w:spacing w:before="0" w:beforeAutospacing="0" w:after="0" w:afterAutospacing="0" w:line="440" w:lineRule="exact"/>
              <w:ind w:left="0" w:right="0" w:firstLine="0" w:firstLineChars="0"/>
              <w:jc w:val="center"/>
              <w:textAlignment w:val="auto"/>
              <w:rPr>
                <w:rFonts w:hint="default" w:ascii="Times New Roman" w:hAnsi="Times New Roman" w:eastAsia="宋体" w:cs="Times New Roman"/>
                <w:color w:val="auto"/>
                <w:sz w:val="24"/>
                <w:szCs w:val="24"/>
              </w:rPr>
            </w:pPr>
            <w:r>
              <w:rPr>
                <w:rFonts w:hint="eastAsia"/>
                <w:color w:val="auto"/>
                <w:sz w:val="24"/>
                <w:szCs w:val="24"/>
                <w:lang w:val="en-US" w:eastAsia="zh-CN"/>
              </w:rPr>
              <w:t>废气间接冷却装置+静电吸附油雾净化装置+三级干式过滤器+二级活性炭吸附装置</w:t>
            </w:r>
            <w:r>
              <w:rPr>
                <w:rFonts w:hint="eastAsia" w:ascii="Times New Roman" w:hAnsi="Times New Roman" w:cs="Times New Roman"/>
                <w:color w:val="auto"/>
                <w:sz w:val="24"/>
                <w:szCs w:val="24"/>
                <w:highlight w:val="none"/>
                <w:lang w:val="en-US" w:eastAsia="zh-CN"/>
              </w:rPr>
              <w:t>+</w:t>
            </w:r>
            <w:r>
              <w:rPr>
                <w:rFonts w:hint="eastAsia" w:ascii="Times New Roman" w:hAnsi="Times New Roman" w:eastAsia="宋体" w:cs="Times New Roman"/>
                <w:bCs/>
                <w:color w:val="auto"/>
                <w:kern w:val="0"/>
                <w:sz w:val="24"/>
                <w:szCs w:val="24"/>
                <w:highlight w:val="none"/>
                <w:lang w:val="en-US" w:eastAsia="zh-CN"/>
              </w:rPr>
              <w:t>1根15m高排气筒</w:t>
            </w:r>
          </w:p>
        </w:tc>
        <w:tc>
          <w:tcPr>
            <w:tcW w:w="2204" w:type="pct"/>
            <w:vMerge w:val="restart"/>
            <w:noWrap w:val="0"/>
            <w:vAlign w:val="center"/>
          </w:tcPr>
          <w:p w14:paraId="4B7C9735">
            <w:pPr>
              <w:pStyle w:val="6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textAlignment w:val="auto"/>
              <w:rPr>
                <w:rFonts w:hint="default" w:ascii="Times New Roman" w:hAnsi="Times New Roman" w:eastAsia="宋体" w:cs="Times New Roman"/>
                <w:color w:val="0000FF"/>
                <w:szCs w:val="24"/>
              </w:rPr>
            </w:pPr>
            <w:r>
              <w:rPr>
                <w:rFonts w:hint="default"/>
                <w:color w:val="auto"/>
                <w:lang w:val="en-US" w:eastAsia="zh-CN"/>
              </w:rPr>
              <w:t>营运期箱式渗碳淬废气（非甲烷总烃）、淬火回火废气（颗粒物、非甲烷总烃）有组织排放</w:t>
            </w:r>
            <w:r>
              <w:rPr>
                <w:rFonts w:hint="default"/>
                <w:color w:val="auto"/>
              </w:rPr>
              <w:t>执行《大气污染物综合排放标准》（GB16297-1996）</w:t>
            </w:r>
            <w:r>
              <w:rPr>
                <w:rFonts w:hint="default"/>
                <w:color w:val="auto"/>
                <w:lang w:val="en-US" w:eastAsia="zh-CN"/>
              </w:rPr>
              <w:t>表2标准限值；天然气燃烧产生的</w:t>
            </w:r>
            <w:r>
              <w:rPr>
                <w:rFonts w:hint="default"/>
                <w:color w:val="auto"/>
              </w:rPr>
              <w:t>颗粒物、二氧化硫</w:t>
            </w:r>
            <w:r>
              <w:rPr>
                <w:rFonts w:hint="default"/>
                <w:color w:val="auto"/>
                <w:lang w:val="en-US" w:eastAsia="zh-CN"/>
              </w:rPr>
              <w:t>排放浓度</w:t>
            </w:r>
            <w:r>
              <w:rPr>
                <w:rFonts w:hint="default"/>
                <w:color w:val="auto"/>
              </w:rPr>
              <w:t>执行《关于印发&lt;工业炉窑大气污染综合治理方案&gt;的通知》（环大气[2019]56号）中要求</w:t>
            </w:r>
            <w:r>
              <w:rPr>
                <w:rFonts w:hint="default"/>
                <w:color w:val="auto"/>
                <w:lang w:eastAsia="zh-CN"/>
              </w:rPr>
              <w:t>（</w:t>
            </w:r>
            <w:r>
              <w:rPr>
                <w:rFonts w:hint="default"/>
                <w:color w:val="auto"/>
              </w:rPr>
              <w:t>颗粒物、二氧化硫排放限值分别不高于30、200毫克/立方米</w:t>
            </w:r>
            <w:r>
              <w:rPr>
                <w:rFonts w:hint="default"/>
                <w:color w:val="auto"/>
                <w:lang w:eastAsia="zh-CN"/>
              </w:rPr>
              <w:t>），</w:t>
            </w:r>
            <w:r>
              <w:rPr>
                <w:rFonts w:hint="default"/>
                <w:color w:val="auto"/>
                <w:lang w:val="en-US" w:eastAsia="zh-CN"/>
              </w:rPr>
              <w:t>氮氧化物排放浓度执行</w:t>
            </w:r>
            <w:r>
              <w:rPr>
                <w:rFonts w:hint="default"/>
                <w:color w:val="auto"/>
              </w:rPr>
              <w:t>《关于印发&lt;淮南市</w:t>
            </w:r>
            <w:r>
              <w:rPr>
                <w:rFonts w:hint="eastAsia" w:ascii="宋体" w:hAnsi="宋体" w:eastAsia="宋体" w:cs="宋体"/>
                <w:color w:val="auto"/>
                <w:lang w:val="en-US" w:eastAsia="zh-CN"/>
              </w:rPr>
              <w:t>“十四五”大气污染</w:t>
            </w:r>
            <w:r>
              <w:rPr>
                <w:rFonts w:hint="default"/>
                <w:color w:val="auto"/>
                <w:lang w:val="en-US" w:eastAsia="zh-CN"/>
              </w:rPr>
              <w:t>防治规划&gt;的通知</w:t>
            </w:r>
            <w:r>
              <w:rPr>
                <w:rFonts w:hint="default"/>
                <w:color w:val="auto"/>
              </w:rPr>
              <w:t>》（淮环委办〔2022〕</w:t>
            </w:r>
            <w:r>
              <w:rPr>
                <w:rFonts w:hint="default"/>
                <w:color w:val="auto"/>
                <w:lang w:val="en-US" w:eastAsia="zh-CN"/>
              </w:rPr>
              <w:t>4</w:t>
            </w:r>
            <w:r>
              <w:rPr>
                <w:rFonts w:hint="default"/>
                <w:color w:val="auto"/>
              </w:rPr>
              <w:t>9号）中要求</w:t>
            </w:r>
            <w:r>
              <w:rPr>
                <w:rFonts w:hint="default"/>
                <w:color w:val="auto"/>
                <w:lang w:eastAsia="zh-CN"/>
              </w:rPr>
              <w:t>（</w:t>
            </w:r>
            <w:r>
              <w:rPr>
                <w:rFonts w:hint="default"/>
                <w:color w:val="auto"/>
              </w:rPr>
              <w:t>氮氧化物排放限值分别不高于</w:t>
            </w:r>
            <w:r>
              <w:rPr>
                <w:rFonts w:hint="default"/>
                <w:color w:val="auto"/>
                <w:lang w:val="en-US" w:eastAsia="zh-CN"/>
              </w:rPr>
              <w:t>5</w:t>
            </w:r>
            <w:r>
              <w:rPr>
                <w:rFonts w:hint="default"/>
                <w:color w:val="auto"/>
              </w:rPr>
              <w:t>0毫克/立方米</w:t>
            </w:r>
            <w:r>
              <w:rPr>
                <w:rFonts w:hint="default"/>
                <w:color w:val="auto"/>
                <w:lang w:eastAsia="zh-CN"/>
              </w:rPr>
              <w:t>）。</w:t>
            </w:r>
          </w:p>
        </w:tc>
      </w:tr>
      <w:tr w14:paraId="3894D2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525" w:type="pct"/>
            <w:vMerge w:val="continue"/>
            <w:noWrap w:val="0"/>
            <w:vAlign w:val="center"/>
          </w:tcPr>
          <w:p w14:paraId="00BD3129">
            <w:pPr>
              <w:keepNext w:val="0"/>
              <w:keepLines w:val="0"/>
              <w:suppressLineNumbers w:val="0"/>
              <w:adjustRightInd w:val="0"/>
              <w:spacing w:before="0" w:beforeAutospacing="0" w:after="0" w:afterAutospacing="0" w:line="400" w:lineRule="exact"/>
              <w:ind w:left="0" w:right="0"/>
              <w:jc w:val="center"/>
              <w:rPr>
                <w:rFonts w:hint="default" w:ascii="Times New Roman" w:hAnsi="Times New Roman" w:eastAsia="宋体" w:cs="Times New Roman"/>
                <w:color w:val="auto"/>
                <w:sz w:val="24"/>
                <w:szCs w:val="24"/>
              </w:rPr>
            </w:pPr>
          </w:p>
        </w:tc>
        <w:tc>
          <w:tcPr>
            <w:tcW w:w="707" w:type="pct"/>
            <w:noWrap w:val="0"/>
            <w:vAlign w:val="center"/>
          </w:tcPr>
          <w:p w14:paraId="76CEE3B5">
            <w:pPr>
              <w:pStyle w:val="217"/>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105" w:leftChars="-50" w:right="-105" w:rightChars="-5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DA00</w:t>
            </w:r>
            <w:r>
              <w:rPr>
                <w:rFonts w:hint="eastAsia"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val="en-US" w:eastAsia="zh-CN"/>
              </w:rPr>
              <w:t>/</w:t>
            </w:r>
            <w:r>
              <w:rPr>
                <w:rFonts w:hint="eastAsia" w:ascii="Times New Roman" w:hAnsi="Times New Roman" w:cs="Times New Roman"/>
                <w:color w:val="auto"/>
                <w:sz w:val="24"/>
                <w:szCs w:val="24"/>
                <w:lang w:val="en-US" w:eastAsia="zh-CN"/>
              </w:rPr>
              <w:t>天然气燃烧</w:t>
            </w:r>
            <w:r>
              <w:rPr>
                <w:rFonts w:hint="default" w:ascii="Times New Roman" w:hAnsi="Times New Roman" w:eastAsia="宋体" w:cs="Times New Roman"/>
                <w:color w:val="auto"/>
                <w:kern w:val="0"/>
                <w:sz w:val="24"/>
                <w:szCs w:val="24"/>
                <w:lang w:val="en-US" w:eastAsia="zh-CN"/>
              </w:rPr>
              <w:t>废气</w:t>
            </w:r>
          </w:p>
        </w:tc>
        <w:tc>
          <w:tcPr>
            <w:tcW w:w="636" w:type="pct"/>
            <w:noWrap w:val="0"/>
            <w:vAlign w:val="center"/>
          </w:tcPr>
          <w:p w14:paraId="70B3CD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63" w:leftChars="-30" w:right="-63" w:rightChars="-30" w:firstLine="0" w:firstLineChars="0"/>
              <w:jc w:val="center"/>
              <w:textAlignment w:val="auto"/>
              <w:rPr>
                <w:rFonts w:hint="default" w:eastAsia="宋体" w:cs="宋体"/>
                <w:bCs/>
                <w:color w:val="auto"/>
                <w:sz w:val="24"/>
                <w:szCs w:val="24"/>
                <w:lang w:val="en-US" w:eastAsia="zh-CN"/>
              </w:rPr>
            </w:pPr>
            <w:r>
              <w:rPr>
                <w:rFonts w:hint="eastAsia" w:eastAsia="宋体" w:cs="宋体"/>
                <w:bCs/>
                <w:color w:val="auto"/>
                <w:sz w:val="24"/>
                <w:szCs w:val="24"/>
                <w:lang w:val="en-US" w:eastAsia="zh-CN"/>
              </w:rPr>
              <w:t>颗粒物、二氧化硫、氮氧化物</w:t>
            </w:r>
          </w:p>
        </w:tc>
        <w:tc>
          <w:tcPr>
            <w:tcW w:w="926" w:type="pct"/>
            <w:tcBorders>
              <w:bottom w:val="single" w:color="auto" w:sz="4" w:space="0"/>
            </w:tcBorders>
            <w:noWrap w:val="0"/>
            <w:vAlign w:val="center"/>
          </w:tcPr>
          <w:p w14:paraId="6A1AAB35">
            <w:pPr>
              <w:pStyle w:val="160"/>
              <w:keepNext w:val="0"/>
              <w:keepLines w:val="0"/>
              <w:pageBreakBefore w:val="0"/>
              <w:widowControl w:val="0"/>
              <w:suppressLineNumbers w:val="0"/>
              <w:kinsoku/>
              <w:overflowPunct/>
              <w:topLinePunct w:val="0"/>
              <w:bidi w:val="0"/>
              <w:spacing w:before="0" w:beforeAutospacing="0" w:after="0" w:afterAutospacing="0" w:line="440" w:lineRule="exact"/>
              <w:ind w:left="0" w:right="0" w:firstLine="0" w:firstLineChars="0"/>
              <w:jc w:val="center"/>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eastAsia="Times New Roman" w:cs="Times New Roman"/>
                <w:color w:val="auto"/>
                <w:sz w:val="24"/>
                <w:szCs w:val="24"/>
                <w:lang w:val="en-US" w:eastAsia="zh-CN"/>
              </w:rPr>
              <w:t>FGR低氮燃烧器</w:t>
            </w:r>
            <w:r>
              <w:rPr>
                <w:rFonts w:hint="eastAsia" w:ascii="Times New Roman" w:hAnsi="Times New Roman" w:eastAsia="Times New Roman" w:cs="Times New Roman"/>
                <w:color w:val="auto"/>
                <w:sz w:val="24"/>
                <w:szCs w:val="24"/>
                <w:lang w:val="en-US" w:eastAsia="zh-CN"/>
              </w:rPr>
              <w:t>+</w:t>
            </w:r>
            <w:r>
              <w:rPr>
                <w:rFonts w:hint="eastAsia" w:ascii="Times New Roman" w:hAnsi="Times New Roman" w:eastAsia="宋体" w:cs="Times New Roman"/>
                <w:bCs/>
                <w:color w:val="auto"/>
                <w:kern w:val="0"/>
                <w:sz w:val="24"/>
                <w:szCs w:val="24"/>
                <w:highlight w:val="none"/>
                <w:lang w:val="en-US" w:eastAsia="zh-CN"/>
              </w:rPr>
              <w:t>1根15m高排气筒</w:t>
            </w:r>
          </w:p>
        </w:tc>
        <w:tc>
          <w:tcPr>
            <w:tcW w:w="2204" w:type="pct"/>
            <w:vMerge w:val="continue"/>
            <w:noWrap w:val="0"/>
            <w:vAlign w:val="center"/>
          </w:tcPr>
          <w:p w14:paraId="3F20CB03">
            <w:pPr>
              <w:keepNext w:val="0"/>
              <w:keepLines w:val="0"/>
              <w:suppressLineNumbers w:val="0"/>
              <w:spacing w:before="0" w:beforeAutospacing="0" w:after="0" w:afterAutospacing="0"/>
              <w:ind w:left="0" w:right="0"/>
              <w:rPr>
                <w:rFonts w:hint="default" w:ascii="Times New Roman" w:hAnsi="Times New Roman" w:eastAsia="Times New Roman" w:cs="Times New Roman"/>
                <w:color w:val="0000FF"/>
                <w:sz w:val="24"/>
                <w:szCs w:val="24"/>
                <w:lang w:val="en-US" w:eastAsia="zh-CN"/>
              </w:rPr>
            </w:pPr>
          </w:p>
        </w:tc>
      </w:tr>
      <w:tr w14:paraId="45EA67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525" w:type="pct"/>
            <w:vMerge w:val="continue"/>
            <w:noWrap w:val="0"/>
            <w:vAlign w:val="center"/>
          </w:tcPr>
          <w:p w14:paraId="7B6E3594">
            <w:pPr>
              <w:keepNext w:val="0"/>
              <w:keepLines w:val="0"/>
              <w:suppressLineNumbers w:val="0"/>
              <w:adjustRightInd w:val="0"/>
              <w:spacing w:before="0" w:beforeAutospacing="0" w:after="0" w:afterAutospacing="0" w:line="400" w:lineRule="exact"/>
              <w:ind w:left="0" w:right="0"/>
              <w:jc w:val="both"/>
              <w:rPr>
                <w:rFonts w:hint="default" w:ascii="Times New Roman" w:hAnsi="Times New Roman" w:eastAsia="宋体" w:cs="Times New Roman"/>
                <w:color w:val="0000FF"/>
                <w:sz w:val="24"/>
                <w:szCs w:val="24"/>
              </w:rPr>
            </w:pPr>
          </w:p>
        </w:tc>
        <w:tc>
          <w:tcPr>
            <w:tcW w:w="707" w:type="pct"/>
            <w:noWrap w:val="0"/>
            <w:vAlign w:val="center"/>
          </w:tcPr>
          <w:p w14:paraId="148D485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bCs/>
                <w:color w:val="auto"/>
                <w:sz w:val="24"/>
                <w:szCs w:val="24"/>
              </w:rPr>
              <w:t>厂界</w:t>
            </w:r>
          </w:p>
        </w:tc>
        <w:tc>
          <w:tcPr>
            <w:tcW w:w="636" w:type="pct"/>
            <w:noWrap w:val="0"/>
            <w:vAlign w:val="center"/>
          </w:tcPr>
          <w:p w14:paraId="6A4B11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63" w:leftChars="-30" w:right="-63" w:rightChars="-30" w:firstLine="0" w:firstLineChars="0"/>
              <w:jc w:val="center"/>
              <w:textAlignment w:val="auto"/>
              <w:rPr>
                <w:rFonts w:hint="default" w:ascii="Times New Roman" w:hAnsi="Times New Roman" w:eastAsia="宋体" w:cs="Times New Roman"/>
                <w:bCs/>
                <w:color w:val="auto"/>
                <w:sz w:val="24"/>
                <w:szCs w:val="24"/>
              </w:rPr>
            </w:pPr>
            <w:r>
              <w:rPr>
                <w:rFonts w:hint="eastAsia" w:eastAsia="Times New Roman"/>
                <w:bCs/>
                <w:color w:val="auto"/>
                <w:sz w:val="24"/>
                <w:szCs w:val="24"/>
              </w:rPr>
              <w:t>非甲烷总烃、</w:t>
            </w:r>
            <w:r>
              <w:rPr>
                <w:rFonts w:hint="eastAsia" w:eastAsia="Times New Roman"/>
                <w:bCs/>
                <w:color w:val="auto"/>
                <w:sz w:val="24"/>
                <w:szCs w:val="24"/>
                <w:lang w:val="en-US" w:eastAsia="zh-CN"/>
              </w:rPr>
              <w:t>颗粒物</w:t>
            </w:r>
          </w:p>
        </w:tc>
        <w:tc>
          <w:tcPr>
            <w:tcW w:w="926" w:type="pct"/>
            <w:noWrap w:val="0"/>
            <w:vAlign w:val="center"/>
          </w:tcPr>
          <w:p w14:paraId="2535E05C">
            <w:pPr>
              <w:pStyle w:val="138"/>
              <w:keepNext w:val="0"/>
              <w:keepLines w:val="0"/>
              <w:pageBreakBefore w:val="0"/>
              <w:suppressLineNumbers w:val="0"/>
              <w:tabs>
                <w:tab w:val="left" w:pos="3255"/>
              </w:tabs>
              <w:kinsoku/>
              <w:wordWrap/>
              <w:overflowPunct/>
              <w:topLinePunct w:val="0"/>
              <w:autoSpaceDE/>
              <w:autoSpaceDN/>
              <w:bidi w:val="0"/>
              <w:spacing w:before="0" w:beforeAutospacing="0" w:after="0" w:afterAutospacing="0" w:line="440" w:lineRule="exact"/>
              <w:ind w:left="0" w:right="0" w:firstLine="0" w:firstLineChars="0"/>
              <w:jc w:val="center"/>
              <w:textAlignment w:val="auto"/>
              <w:rPr>
                <w:rFonts w:hint="default" w:ascii="Times New Roman" w:hAnsi="Times New Roman" w:eastAsia="宋体" w:cs="Times New Roman"/>
                <w:b w:val="0"/>
                <w:bCs/>
                <w:color w:val="auto"/>
                <w:sz w:val="24"/>
                <w:szCs w:val="24"/>
                <w:lang w:val="en-US" w:eastAsia="zh-CN"/>
              </w:rPr>
            </w:pPr>
            <w:r>
              <w:rPr>
                <w:rFonts w:hint="eastAsia" w:ascii="Times New Roman" w:hAnsi="Times New Roman" w:eastAsia="宋体" w:cs="Times New Roman"/>
                <w:b w:val="0"/>
                <w:bCs/>
                <w:color w:val="auto"/>
                <w:sz w:val="24"/>
                <w:szCs w:val="24"/>
                <w:lang w:val="en-US" w:eastAsia="zh-CN"/>
              </w:rPr>
              <w:t>/</w:t>
            </w:r>
          </w:p>
        </w:tc>
        <w:tc>
          <w:tcPr>
            <w:tcW w:w="2204" w:type="pct"/>
            <w:noWrap w:val="0"/>
            <w:vAlign w:val="center"/>
          </w:tcPr>
          <w:p w14:paraId="33BF0137">
            <w:pPr>
              <w:pStyle w:val="62"/>
              <w:keepNext w:val="0"/>
              <w:keepLines w:val="0"/>
              <w:suppressLineNumbers w:val="0"/>
              <w:bidi w:val="0"/>
              <w:spacing w:before="0" w:beforeAutospacing="0" w:after="0" w:afterAutospacing="0"/>
              <w:ind w:left="0" w:leftChars="0" w:right="0" w:firstLine="0" w:firstLineChars="0"/>
              <w:rPr>
                <w:rFonts w:hint="default" w:ascii="Times New Roman" w:hAnsi="Times New Roman" w:eastAsia="宋体" w:cs="Times New Roman"/>
                <w:color w:val="auto"/>
                <w:szCs w:val="24"/>
              </w:rPr>
            </w:pPr>
            <w:r>
              <w:rPr>
                <w:rFonts w:hint="default" w:ascii="Times New Roman" w:hAnsi="Times New Roman" w:cs="Times New Roman"/>
                <w:color w:val="auto"/>
                <w:sz w:val="24"/>
                <w:szCs w:val="24"/>
                <w:lang w:val="en-US" w:eastAsia="zh-CN"/>
              </w:rPr>
              <w:t>厂界颗粒物和</w:t>
            </w:r>
            <w:r>
              <w:rPr>
                <w:rFonts w:hint="default" w:ascii="Times New Roman" w:hAnsi="Times New Roman" w:cs="Times New Roman"/>
                <w:color w:val="auto"/>
                <w:sz w:val="24"/>
                <w:lang w:val="en-US" w:eastAsia="zh-CN"/>
              </w:rPr>
              <w:t>非甲烷总烃执行</w:t>
            </w:r>
            <w:r>
              <w:rPr>
                <w:rFonts w:hint="default" w:ascii="Times New Roman" w:hAnsi="Times New Roman" w:cs="Times New Roman"/>
                <w:color w:val="auto"/>
                <w:sz w:val="24"/>
                <w:szCs w:val="24"/>
              </w:rPr>
              <w:t>《大气污染物综合排放标准》（GB16297-1996）表2无组织排放限值</w:t>
            </w:r>
            <w:r>
              <w:rPr>
                <w:rFonts w:hint="default" w:ascii="Times New Roman" w:hAnsi="Times New Roman" w:cs="Times New Roman"/>
                <w:color w:val="auto"/>
                <w:sz w:val="24"/>
                <w:szCs w:val="24"/>
                <w:lang w:val="en-US" w:eastAsia="zh-CN"/>
              </w:rPr>
              <w:t>要求</w:t>
            </w:r>
            <w:r>
              <w:rPr>
                <w:rFonts w:hint="eastAsia" w:ascii="Times New Roman" w:hAnsi="Times New Roman" w:cs="Times New Roman"/>
                <w:color w:val="auto"/>
                <w:sz w:val="24"/>
                <w:szCs w:val="24"/>
                <w:lang w:val="en-US" w:eastAsia="zh-CN"/>
              </w:rPr>
              <w:t>。</w:t>
            </w:r>
          </w:p>
        </w:tc>
      </w:tr>
      <w:tr w14:paraId="6409E5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525" w:type="pct"/>
            <w:vMerge w:val="continue"/>
            <w:noWrap w:val="0"/>
            <w:vAlign w:val="center"/>
          </w:tcPr>
          <w:p w14:paraId="7DFE9DD0">
            <w:pPr>
              <w:keepNext w:val="0"/>
              <w:keepLines w:val="0"/>
              <w:suppressLineNumbers w:val="0"/>
              <w:adjustRightInd w:val="0"/>
              <w:spacing w:before="0" w:beforeAutospacing="0" w:after="0" w:afterAutospacing="0" w:line="400" w:lineRule="exact"/>
              <w:ind w:left="0" w:right="0"/>
              <w:jc w:val="center"/>
              <w:rPr>
                <w:rFonts w:hint="default" w:ascii="Times New Roman" w:hAnsi="Times New Roman" w:eastAsia="宋体" w:cs="Times New Roman"/>
                <w:color w:val="0000FF"/>
                <w:sz w:val="24"/>
                <w:szCs w:val="24"/>
              </w:rPr>
            </w:pPr>
          </w:p>
        </w:tc>
        <w:tc>
          <w:tcPr>
            <w:tcW w:w="707" w:type="pct"/>
            <w:noWrap w:val="0"/>
            <w:vAlign w:val="center"/>
          </w:tcPr>
          <w:p w14:paraId="7F3BE1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bCs/>
                <w:color w:val="auto"/>
                <w:sz w:val="24"/>
                <w:szCs w:val="24"/>
              </w:rPr>
              <w:t>厂区内</w:t>
            </w:r>
          </w:p>
        </w:tc>
        <w:tc>
          <w:tcPr>
            <w:tcW w:w="636" w:type="pct"/>
            <w:noWrap w:val="0"/>
            <w:vAlign w:val="center"/>
          </w:tcPr>
          <w:p w14:paraId="6E4518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63" w:leftChars="-30" w:right="-63" w:rightChars="-30" w:firstLine="0" w:firstLineChars="0"/>
              <w:jc w:val="center"/>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非甲烷总烃</w:t>
            </w:r>
          </w:p>
        </w:tc>
        <w:tc>
          <w:tcPr>
            <w:tcW w:w="926" w:type="pct"/>
            <w:tcBorders>
              <w:bottom w:val="single" w:color="auto" w:sz="4" w:space="0"/>
            </w:tcBorders>
            <w:noWrap w:val="0"/>
            <w:vAlign w:val="center"/>
          </w:tcPr>
          <w:p w14:paraId="52FC430C">
            <w:pPr>
              <w:pStyle w:val="138"/>
              <w:keepNext w:val="0"/>
              <w:keepLines w:val="0"/>
              <w:pageBreakBefore w:val="0"/>
              <w:suppressLineNumbers w:val="0"/>
              <w:tabs>
                <w:tab w:val="left" w:pos="3255"/>
              </w:tabs>
              <w:kinsoku/>
              <w:wordWrap/>
              <w:overflowPunct/>
              <w:topLinePunct w:val="0"/>
              <w:autoSpaceDE/>
              <w:autoSpaceDN/>
              <w:bidi w:val="0"/>
              <w:spacing w:before="0" w:beforeAutospacing="0" w:after="0" w:afterAutospacing="0" w:line="440" w:lineRule="exact"/>
              <w:ind w:left="0" w:right="0" w:firstLine="0" w:firstLineChars="0"/>
              <w:jc w:val="center"/>
              <w:textAlignment w:val="auto"/>
              <w:rPr>
                <w:rFonts w:hint="default" w:ascii="Times New Roman" w:hAnsi="Times New Roman" w:eastAsia="宋体" w:cs="Times New Roman"/>
                <w:b w:val="0"/>
                <w:bCs/>
                <w:color w:val="auto"/>
                <w:sz w:val="24"/>
                <w:szCs w:val="24"/>
                <w:lang w:val="en-US" w:eastAsia="zh-CN"/>
              </w:rPr>
            </w:pPr>
            <w:r>
              <w:rPr>
                <w:rFonts w:hint="eastAsia" w:ascii="Times New Roman" w:hAnsi="Times New Roman" w:eastAsia="宋体" w:cs="Times New Roman"/>
                <w:b w:val="0"/>
                <w:bCs/>
                <w:color w:val="auto"/>
                <w:sz w:val="24"/>
                <w:szCs w:val="24"/>
                <w:lang w:val="en-US" w:eastAsia="zh-CN"/>
              </w:rPr>
              <w:t>/</w:t>
            </w:r>
          </w:p>
        </w:tc>
        <w:tc>
          <w:tcPr>
            <w:tcW w:w="2204" w:type="pct"/>
            <w:noWrap w:val="0"/>
            <w:vAlign w:val="center"/>
          </w:tcPr>
          <w:p w14:paraId="42F727C9">
            <w:pPr>
              <w:keepNext w:val="0"/>
              <w:keepLines w:val="0"/>
              <w:pageBreakBefore w:val="0"/>
              <w:suppressLineNumbers w:val="0"/>
              <w:kinsoku/>
              <w:wordWrap/>
              <w:overflowPunct/>
              <w:topLinePunct w:val="0"/>
              <w:autoSpaceDE/>
              <w:autoSpaceDN/>
              <w:bidi w:val="0"/>
              <w:adjustRightInd w:val="0"/>
              <w:spacing w:before="0" w:beforeAutospacing="0" w:after="0" w:afterAutospacing="0" w:line="440" w:lineRule="exact"/>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lang w:val="en-US" w:eastAsia="zh-CN"/>
              </w:rPr>
              <w:t>厂区内无组织非甲烷总烃执行</w:t>
            </w:r>
            <w:r>
              <w:rPr>
                <w:rFonts w:hint="default" w:ascii="Times New Roman" w:hAnsi="Times New Roman" w:eastAsia="宋体" w:cs="Times New Roman"/>
                <w:b w:val="0"/>
                <w:bCs/>
                <w:color w:val="auto"/>
                <w:kern w:val="2"/>
                <w:sz w:val="24"/>
                <w:szCs w:val="24"/>
                <w:highlight w:val="none"/>
                <w:lang w:val="en-US" w:eastAsia="zh-CN" w:bidi="ar-SA"/>
              </w:rPr>
              <w:t>《固定源挥发性有机物综合排放标准第6部分：其他行业》（DB34/4812.6-2024）表4中相关限值。</w:t>
            </w:r>
          </w:p>
        </w:tc>
      </w:tr>
      <w:tr w14:paraId="09F590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525" w:type="pct"/>
            <w:noWrap w:val="0"/>
            <w:vAlign w:val="center"/>
          </w:tcPr>
          <w:p w14:paraId="758C36B5">
            <w:pPr>
              <w:keepNext w:val="0"/>
              <w:keepLines w:val="0"/>
              <w:suppressLineNumbers w:val="0"/>
              <w:adjustRightInd w:val="0"/>
              <w:spacing w:before="0" w:beforeAutospacing="0" w:after="0" w:afterAutospacing="0" w:line="400" w:lineRule="exact"/>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地表水环境</w:t>
            </w:r>
          </w:p>
        </w:tc>
        <w:tc>
          <w:tcPr>
            <w:tcW w:w="707" w:type="pct"/>
            <w:noWrap w:val="0"/>
            <w:vAlign w:val="center"/>
          </w:tcPr>
          <w:p w14:paraId="162CC46D">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108" w:right="-108"/>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生活污水</w:t>
            </w:r>
          </w:p>
        </w:tc>
        <w:tc>
          <w:tcPr>
            <w:tcW w:w="636" w:type="pct"/>
            <w:noWrap w:val="0"/>
            <w:vAlign w:val="center"/>
          </w:tcPr>
          <w:p w14:paraId="5214E386">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COD、BOD</w:t>
            </w:r>
            <w:r>
              <w:rPr>
                <w:rFonts w:hint="default" w:ascii="Times New Roman" w:hAnsi="Times New Roman" w:eastAsia="宋体" w:cs="Times New Roman"/>
                <w:color w:val="auto"/>
                <w:sz w:val="24"/>
                <w:szCs w:val="24"/>
                <w:vertAlign w:val="subscript"/>
              </w:rPr>
              <w:t>5</w:t>
            </w:r>
            <w:r>
              <w:rPr>
                <w:rFonts w:hint="default" w:ascii="Times New Roman" w:hAnsi="Times New Roman" w:eastAsia="宋体" w:cs="Times New Roman"/>
                <w:color w:val="auto"/>
                <w:sz w:val="24"/>
                <w:szCs w:val="24"/>
              </w:rPr>
              <w:t>、SS、氨氮等</w:t>
            </w:r>
          </w:p>
        </w:tc>
        <w:tc>
          <w:tcPr>
            <w:tcW w:w="926" w:type="pct"/>
            <w:noWrap w:val="0"/>
            <w:vAlign w:val="center"/>
          </w:tcPr>
          <w:p w14:paraId="3C729052">
            <w:pPr>
              <w:pStyle w:val="62"/>
              <w:keepNext w:val="0"/>
              <w:keepLines w:val="0"/>
              <w:suppressLineNumbers w:val="0"/>
              <w:bidi w:val="0"/>
              <w:spacing w:before="0" w:beforeAutospacing="0" w:after="0" w:afterAutospacing="0"/>
              <w:ind w:left="0" w:leftChars="0" w:right="0" w:firstLine="0" w:firstLineChars="0"/>
              <w:rPr>
                <w:rFonts w:hint="default"/>
                <w:color w:val="auto"/>
              </w:rPr>
            </w:pPr>
            <w:r>
              <w:rPr>
                <w:rFonts w:hint="default"/>
                <w:color w:val="auto"/>
              </w:rPr>
              <w:t>经化粪池</w:t>
            </w:r>
            <w:r>
              <w:rPr>
                <w:rFonts w:hint="eastAsia"/>
                <w:color w:val="auto"/>
                <w:lang w:val="en-US" w:eastAsia="zh-CN"/>
              </w:rPr>
              <w:t>预</w:t>
            </w:r>
            <w:r>
              <w:rPr>
                <w:rFonts w:hint="default"/>
                <w:color w:val="auto"/>
              </w:rPr>
              <w:t>处理后，由市政污水管网接入</w:t>
            </w:r>
            <w:r>
              <w:rPr>
                <w:rFonts w:hint="default"/>
                <w:color w:val="auto"/>
                <w:lang w:eastAsia="zh-CN"/>
              </w:rPr>
              <w:t>淮南经济技术开发区工业污水处理厂</w:t>
            </w:r>
            <w:r>
              <w:rPr>
                <w:rFonts w:hint="default"/>
                <w:color w:val="auto"/>
              </w:rPr>
              <w:t>处理</w:t>
            </w:r>
          </w:p>
        </w:tc>
        <w:tc>
          <w:tcPr>
            <w:tcW w:w="2204" w:type="pct"/>
            <w:noWrap w:val="0"/>
            <w:vAlign w:val="center"/>
          </w:tcPr>
          <w:p w14:paraId="551E9A2B">
            <w:pPr>
              <w:pStyle w:val="62"/>
              <w:keepNext w:val="0"/>
              <w:keepLines w:val="0"/>
              <w:suppressLineNumbers w:val="0"/>
              <w:bidi w:val="0"/>
              <w:spacing w:before="0" w:beforeAutospacing="0" w:after="0" w:afterAutospacing="0"/>
              <w:ind w:left="0" w:leftChars="0" w:right="0" w:firstLine="0" w:firstLineChars="0"/>
              <w:rPr>
                <w:rFonts w:hint="default"/>
                <w:color w:val="auto"/>
              </w:rPr>
            </w:pPr>
            <w:r>
              <w:rPr>
                <w:rFonts w:hint="default"/>
                <w:color w:val="auto"/>
              </w:rPr>
              <w:t>《污水综合排放标准》(GB8978-1996)中三级标准</w:t>
            </w:r>
            <w:r>
              <w:rPr>
                <w:rFonts w:hint="eastAsia"/>
                <w:color w:val="auto"/>
                <w:lang w:val="en-US" w:eastAsia="zh-CN"/>
              </w:rPr>
              <w:t>和</w:t>
            </w:r>
            <w:r>
              <w:rPr>
                <w:rFonts w:hint="default"/>
                <w:color w:val="auto"/>
                <w:lang w:eastAsia="zh-CN"/>
              </w:rPr>
              <w:t>淮南经济技术开发区工业污水处理厂</w:t>
            </w:r>
            <w:r>
              <w:rPr>
                <w:rFonts w:hint="default"/>
                <w:color w:val="auto"/>
              </w:rPr>
              <w:t>接管标准</w:t>
            </w:r>
          </w:p>
        </w:tc>
      </w:tr>
      <w:tr w14:paraId="6A8BAE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525" w:type="pct"/>
            <w:noWrap w:val="0"/>
            <w:vAlign w:val="center"/>
          </w:tcPr>
          <w:p w14:paraId="56A7B6B2">
            <w:pPr>
              <w:keepNext w:val="0"/>
              <w:keepLines w:val="0"/>
              <w:suppressLineNumbers w:val="0"/>
              <w:adjustRightInd w:val="0"/>
              <w:spacing w:before="0" w:beforeAutospacing="0" w:after="0" w:afterAutospacing="0" w:line="400" w:lineRule="exact"/>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声环境</w:t>
            </w:r>
          </w:p>
        </w:tc>
        <w:tc>
          <w:tcPr>
            <w:tcW w:w="707" w:type="pct"/>
            <w:noWrap w:val="0"/>
            <w:vAlign w:val="center"/>
          </w:tcPr>
          <w:p w14:paraId="1FBCCCDF">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生产设备</w:t>
            </w:r>
          </w:p>
        </w:tc>
        <w:tc>
          <w:tcPr>
            <w:tcW w:w="636" w:type="pct"/>
            <w:noWrap w:val="0"/>
            <w:vAlign w:val="center"/>
          </w:tcPr>
          <w:p w14:paraId="656C4E05">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设备噪声</w:t>
            </w:r>
          </w:p>
        </w:tc>
        <w:tc>
          <w:tcPr>
            <w:tcW w:w="926" w:type="pct"/>
            <w:noWrap w:val="0"/>
            <w:vAlign w:val="center"/>
          </w:tcPr>
          <w:p w14:paraId="5B876F69">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隔声、减振等各项降噪措施</w:t>
            </w:r>
          </w:p>
        </w:tc>
        <w:tc>
          <w:tcPr>
            <w:tcW w:w="2204" w:type="pct"/>
            <w:noWrap w:val="0"/>
            <w:vAlign w:val="center"/>
          </w:tcPr>
          <w:p w14:paraId="1F412FAE">
            <w:pPr>
              <w:keepNext w:val="0"/>
              <w:keepLines w:val="0"/>
              <w:suppressLineNumbers w:val="0"/>
              <w:adjustRightInd w:val="0"/>
              <w:spacing w:before="0" w:beforeAutospacing="0" w:after="0" w:afterAutospacing="0" w:line="440" w:lineRule="exact"/>
              <w:ind w:left="0" w:right="0"/>
              <w:jc w:val="center"/>
              <w:rPr>
                <w:rFonts w:hint="default" w:ascii="Times New Roman" w:hAnsi="Times New Roman" w:eastAsia="宋体" w:cs="Times New Roman"/>
                <w:color w:val="auto"/>
                <w:sz w:val="24"/>
              </w:rPr>
            </w:pPr>
            <w:r>
              <w:rPr>
                <w:rStyle w:val="67"/>
                <w:rFonts w:hint="default" w:ascii="Times New Roman" w:hAnsi="Times New Roman" w:eastAsia="宋体" w:cs="Times New Roman"/>
                <w:color w:val="auto"/>
              </w:rPr>
              <w:t>《工业企业厂界环境噪声排放标准》（GB12348-2008）中3类标准</w:t>
            </w:r>
            <w:r>
              <w:rPr>
                <w:rFonts w:hint="default" w:ascii="Times New Roman" w:hAnsi="Times New Roman" w:eastAsia="宋体" w:cs="Times New Roman"/>
                <w:color w:val="auto"/>
                <w:sz w:val="24"/>
                <w:lang w:eastAsia="zh-CN"/>
              </w:rPr>
              <w:t>。</w:t>
            </w:r>
          </w:p>
        </w:tc>
      </w:tr>
      <w:tr w14:paraId="4F0E42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25" w:type="pct"/>
            <w:noWrap w:val="0"/>
            <w:vAlign w:val="center"/>
          </w:tcPr>
          <w:p w14:paraId="274FF956">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电磁</w:t>
            </w:r>
          </w:p>
          <w:p w14:paraId="680CEF54">
            <w:pPr>
              <w:keepNext w:val="0"/>
              <w:keepLines w:val="0"/>
              <w:suppressLineNumbers w:val="0"/>
              <w:adjustRightInd w:val="0"/>
              <w:spacing w:before="0" w:beforeAutospacing="0" w:after="0" w:afterAutospacing="0" w:line="240" w:lineRule="auto"/>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辐射</w:t>
            </w:r>
          </w:p>
        </w:tc>
        <w:tc>
          <w:tcPr>
            <w:tcW w:w="707" w:type="pct"/>
            <w:noWrap w:val="0"/>
            <w:vAlign w:val="center"/>
          </w:tcPr>
          <w:p w14:paraId="68171387">
            <w:pPr>
              <w:keepNext w:val="0"/>
              <w:keepLines w:val="0"/>
              <w:suppressLineNumbers w:val="0"/>
              <w:adjustRightInd w:val="0"/>
              <w:spacing w:before="0" w:beforeAutospacing="0" w:after="0" w:afterAutospacing="0" w:line="400" w:lineRule="exact"/>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w:t>
            </w:r>
          </w:p>
        </w:tc>
        <w:tc>
          <w:tcPr>
            <w:tcW w:w="636" w:type="pct"/>
            <w:noWrap w:val="0"/>
            <w:vAlign w:val="center"/>
          </w:tcPr>
          <w:p w14:paraId="4E5A71B3">
            <w:pPr>
              <w:keepNext w:val="0"/>
              <w:keepLines w:val="0"/>
              <w:suppressLineNumbers w:val="0"/>
              <w:adjustRightInd w:val="0"/>
              <w:spacing w:before="0" w:beforeAutospacing="0" w:after="0" w:afterAutospacing="0" w:line="400" w:lineRule="exact"/>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w:t>
            </w:r>
          </w:p>
        </w:tc>
        <w:tc>
          <w:tcPr>
            <w:tcW w:w="926" w:type="pct"/>
            <w:noWrap w:val="0"/>
            <w:vAlign w:val="center"/>
          </w:tcPr>
          <w:p w14:paraId="151FF34B">
            <w:pPr>
              <w:keepNext w:val="0"/>
              <w:keepLines w:val="0"/>
              <w:suppressLineNumbers w:val="0"/>
              <w:adjustRightInd w:val="0"/>
              <w:spacing w:before="0" w:beforeAutospacing="0" w:after="0" w:afterAutospacing="0" w:line="400" w:lineRule="exact"/>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w:t>
            </w:r>
          </w:p>
        </w:tc>
        <w:tc>
          <w:tcPr>
            <w:tcW w:w="2204" w:type="pct"/>
            <w:noWrap w:val="0"/>
            <w:vAlign w:val="center"/>
          </w:tcPr>
          <w:p w14:paraId="44354DF0">
            <w:pPr>
              <w:keepNext w:val="0"/>
              <w:keepLines w:val="0"/>
              <w:suppressLineNumbers w:val="0"/>
              <w:adjustRightInd w:val="0"/>
              <w:spacing w:before="0" w:beforeAutospacing="0" w:after="0" w:afterAutospacing="0" w:line="400" w:lineRule="exact"/>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w:t>
            </w:r>
          </w:p>
        </w:tc>
      </w:tr>
      <w:tr w14:paraId="2D3350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0" w:hRule="atLeast"/>
          <w:jc w:val="center"/>
        </w:trPr>
        <w:tc>
          <w:tcPr>
            <w:tcW w:w="525" w:type="pct"/>
            <w:noWrap w:val="0"/>
            <w:vAlign w:val="center"/>
          </w:tcPr>
          <w:p w14:paraId="135996BE">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固体</w:t>
            </w:r>
          </w:p>
          <w:p w14:paraId="58F6E8B1">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废物</w:t>
            </w:r>
          </w:p>
        </w:tc>
        <w:tc>
          <w:tcPr>
            <w:tcW w:w="4474" w:type="pct"/>
            <w:gridSpan w:val="4"/>
            <w:noWrap w:val="0"/>
            <w:vAlign w:val="center"/>
          </w:tcPr>
          <w:p w14:paraId="16F607BB">
            <w:pPr>
              <w:pStyle w:val="62"/>
              <w:keepNext w:val="0"/>
              <w:keepLines w:val="0"/>
              <w:suppressLineNumbers w:val="0"/>
              <w:bidi w:val="0"/>
              <w:spacing w:before="0" w:beforeAutospacing="0" w:after="0" w:afterAutospacing="0"/>
              <w:ind w:left="0" w:right="0"/>
              <w:rPr>
                <w:rFonts w:hint="default" w:ascii="Times New Roman" w:hAnsi="Times New Roman" w:cs="Times New Roman"/>
                <w:color w:val="auto"/>
                <w:sz w:val="24"/>
                <w:szCs w:val="24"/>
              </w:rPr>
            </w:pPr>
            <w:r>
              <w:rPr>
                <w:rFonts w:hint="default" w:ascii="Times New Roman" w:hAnsi="Times New Roman" w:cs="Times New Roman"/>
                <w:b w:val="0"/>
                <w:bCs w:val="0"/>
                <w:color w:val="auto"/>
                <w:sz w:val="24"/>
                <w:szCs w:val="24"/>
                <w:lang w:val="en-US" w:eastAsia="zh-CN"/>
              </w:rPr>
              <w:t>一般</w:t>
            </w:r>
            <w:r>
              <w:rPr>
                <w:rStyle w:val="67"/>
                <w:rFonts w:hint="default" w:ascii="Times New Roman" w:hAnsi="Times New Roman" w:cs="Times New Roman"/>
                <w:color w:val="auto"/>
                <w:sz w:val="24"/>
                <w:szCs w:val="24"/>
                <w:lang w:val="en-US" w:eastAsia="zh-CN"/>
              </w:rPr>
              <w:t>固废：</w:t>
            </w:r>
            <w:r>
              <w:rPr>
                <w:rFonts w:hint="default" w:ascii="Times New Roman" w:hAnsi="Times New Roman" w:eastAsia="Times New Roman" w:cs="Times New Roman"/>
                <w:color w:val="auto"/>
                <w:sz w:val="24"/>
                <w:szCs w:val="24"/>
              </w:rPr>
              <w:t>于</w:t>
            </w:r>
            <w:r>
              <w:rPr>
                <w:rFonts w:hint="default" w:ascii="Times New Roman" w:hAnsi="Times New Roman" w:eastAsia="Times New Roman" w:cs="Times New Roman"/>
                <w:color w:val="auto"/>
                <w:sz w:val="24"/>
                <w:szCs w:val="24"/>
                <w:lang w:val="en-US" w:eastAsia="zh-CN"/>
              </w:rPr>
              <w:t>厂房内南侧设置一间</w:t>
            </w:r>
            <w:r>
              <w:rPr>
                <w:rFonts w:hint="default" w:ascii="Times New Roman" w:hAnsi="Times New Roman" w:eastAsia="Times New Roman" w:cs="Times New Roman"/>
                <w:color w:val="auto"/>
                <w:sz w:val="24"/>
                <w:szCs w:val="24"/>
              </w:rPr>
              <w:t>一般固体废物</w:t>
            </w:r>
            <w:r>
              <w:rPr>
                <w:rFonts w:hint="default" w:ascii="Times New Roman" w:hAnsi="Times New Roman" w:eastAsia="Times New Roman" w:cs="Times New Roman"/>
                <w:color w:val="auto"/>
                <w:sz w:val="24"/>
                <w:szCs w:val="24"/>
                <w:lang w:val="en-US" w:eastAsia="zh-CN"/>
              </w:rPr>
              <w:t>暂存间</w:t>
            </w:r>
            <w:r>
              <w:rPr>
                <w:rFonts w:hint="default" w:ascii="Times New Roman" w:hAnsi="Times New Roman" w:eastAsia="Times New Roman" w:cs="Times New Roman"/>
                <w:color w:val="auto"/>
                <w:sz w:val="24"/>
                <w:szCs w:val="24"/>
              </w:rPr>
              <w:t>，占地面积</w:t>
            </w:r>
            <w:r>
              <w:rPr>
                <w:rFonts w:hint="default" w:ascii="Times New Roman" w:hAnsi="Times New Roman" w:eastAsia="Times New Roman" w:cs="Times New Roman"/>
                <w:color w:val="auto"/>
                <w:sz w:val="24"/>
                <w:szCs w:val="24"/>
                <w:lang w:val="en-US" w:eastAsia="zh-CN"/>
              </w:rPr>
              <w:t>20</w:t>
            </w:r>
            <w:r>
              <w:rPr>
                <w:rFonts w:hint="default" w:ascii="Times New Roman" w:hAnsi="Times New Roman" w:eastAsia="Times New Roman" w:cs="Times New Roman"/>
                <w:color w:val="auto"/>
                <w:sz w:val="24"/>
                <w:szCs w:val="24"/>
              </w:rPr>
              <w:t>m</w:t>
            </w:r>
            <w:r>
              <w:rPr>
                <w:rFonts w:hint="default" w:ascii="Times New Roman" w:hAnsi="Times New Roman" w:eastAsia="Times New Roman" w:cs="Times New Roman"/>
                <w:color w:val="auto"/>
                <w:sz w:val="24"/>
                <w:szCs w:val="24"/>
                <w:vertAlign w:val="superscript"/>
              </w:rPr>
              <w:t>2</w:t>
            </w:r>
            <w:r>
              <w:rPr>
                <w:rFonts w:hint="default" w:ascii="Times New Roman" w:hAnsi="Times New Roman" w:eastAsia="Times New Roman" w:cs="Times New Roman"/>
                <w:color w:val="auto"/>
                <w:sz w:val="24"/>
                <w:szCs w:val="24"/>
                <w:vertAlign w:val="baseline"/>
                <w:lang w:eastAsia="zh-CN"/>
              </w:rPr>
              <w:t>。</w:t>
            </w:r>
            <w:r>
              <w:rPr>
                <w:rFonts w:hint="default" w:ascii="Times New Roman" w:hAnsi="Times New Roman" w:cs="Times New Roman"/>
                <w:color w:val="auto"/>
                <w:sz w:val="24"/>
                <w:szCs w:val="24"/>
                <w:lang w:eastAsia="zh-CN"/>
              </w:rPr>
              <w:t>用于</w:t>
            </w:r>
            <w:r>
              <w:rPr>
                <w:rFonts w:hint="default" w:ascii="Times New Roman" w:hAnsi="Times New Roman" w:cs="Times New Roman"/>
                <w:color w:val="auto"/>
                <w:sz w:val="24"/>
                <w:szCs w:val="24"/>
                <w:lang w:val="en-US" w:eastAsia="zh-CN"/>
              </w:rPr>
              <w:t>不合格品暂存，收集后外售</w:t>
            </w:r>
            <w:r>
              <w:rPr>
                <w:rFonts w:hint="default" w:ascii="Times New Roman" w:hAnsi="Times New Roman" w:cs="Times New Roman"/>
                <w:color w:val="auto"/>
                <w:sz w:val="24"/>
                <w:szCs w:val="24"/>
                <w:lang w:eastAsia="zh-CN"/>
              </w:rPr>
              <w:t>。</w:t>
            </w:r>
          </w:p>
          <w:p w14:paraId="33C05DBE">
            <w:pPr>
              <w:pStyle w:val="62"/>
              <w:keepNext w:val="0"/>
              <w:keepLines w:val="0"/>
              <w:suppressLineNumbers w:val="0"/>
              <w:bidi w:val="0"/>
              <w:spacing w:before="0" w:beforeAutospacing="0" w:after="0" w:afterAutospacing="0"/>
              <w:ind w:left="0" w:right="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危废：</w:t>
            </w:r>
            <w:r>
              <w:rPr>
                <w:rFonts w:hint="default" w:ascii="Times New Roman" w:hAnsi="Times New Roman" w:eastAsia="Times New Roman" w:cs="Times New Roman"/>
                <w:color w:val="auto"/>
                <w:sz w:val="24"/>
                <w:szCs w:val="24"/>
              </w:rPr>
              <w:t>于</w:t>
            </w:r>
            <w:r>
              <w:rPr>
                <w:rFonts w:hint="default" w:ascii="Times New Roman" w:hAnsi="Times New Roman" w:eastAsia="Times New Roman" w:cs="Times New Roman"/>
                <w:color w:val="auto"/>
                <w:sz w:val="24"/>
                <w:szCs w:val="24"/>
                <w:lang w:val="en-US" w:eastAsia="zh-CN"/>
              </w:rPr>
              <w:t>厂房内南侧设置一间</w:t>
            </w:r>
            <w:r>
              <w:rPr>
                <w:rFonts w:hint="default" w:ascii="Times New Roman" w:hAnsi="Times New Roman" w:eastAsia="Times New Roman" w:cs="Times New Roman"/>
                <w:b w:val="0"/>
                <w:bCs w:val="0"/>
                <w:color w:val="auto"/>
                <w:sz w:val="24"/>
                <w:szCs w:val="24"/>
              </w:rPr>
              <w:t>危废</w:t>
            </w:r>
            <w:r>
              <w:rPr>
                <w:rFonts w:hint="default" w:ascii="Times New Roman" w:hAnsi="Times New Roman" w:eastAsia="Times New Roman" w:cs="Times New Roman"/>
                <w:b w:val="0"/>
                <w:bCs w:val="0"/>
                <w:color w:val="auto"/>
                <w:sz w:val="24"/>
                <w:szCs w:val="24"/>
                <w:lang w:val="en-US" w:eastAsia="zh-CN"/>
              </w:rPr>
              <w:t>暂存</w:t>
            </w:r>
            <w:r>
              <w:rPr>
                <w:rFonts w:hint="default" w:ascii="Times New Roman" w:hAnsi="Times New Roman" w:eastAsia="Times New Roman" w:cs="Times New Roman"/>
                <w:b w:val="0"/>
                <w:bCs w:val="0"/>
                <w:color w:val="auto"/>
                <w:sz w:val="24"/>
                <w:szCs w:val="24"/>
              </w:rPr>
              <w:t>间</w:t>
            </w:r>
            <w:r>
              <w:rPr>
                <w:rFonts w:hint="default" w:ascii="Times New Roman" w:hAnsi="Times New Roman" w:eastAsia="Times New Roman" w:cs="Times New Roman"/>
                <w:color w:val="auto"/>
                <w:sz w:val="24"/>
                <w:szCs w:val="24"/>
              </w:rPr>
              <w:t>，占地面积</w:t>
            </w:r>
            <w:r>
              <w:rPr>
                <w:rFonts w:hint="default" w:ascii="Times New Roman" w:hAnsi="Times New Roman" w:eastAsia="Times New Roman" w:cs="Times New Roman"/>
                <w:color w:val="auto"/>
                <w:sz w:val="24"/>
                <w:szCs w:val="24"/>
                <w:lang w:val="en-US" w:eastAsia="zh-CN"/>
              </w:rPr>
              <w:t>20</w:t>
            </w:r>
            <w:r>
              <w:rPr>
                <w:rFonts w:hint="default" w:ascii="Times New Roman" w:hAnsi="Times New Roman" w:eastAsia="Times New Roman" w:cs="Times New Roman"/>
                <w:color w:val="auto"/>
                <w:sz w:val="24"/>
                <w:szCs w:val="24"/>
              </w:rPr>
              <w:t>m</w:t>
            </w:r>
            <w:r>
              <w:rPr>
                <w:rFonts w:hint="default" w:ascii="Times New Roman" w:hAnsi="Times New Roman" w:eastAsia="Times New Roman" w:cs="Times New Roman"/>
                <w:color w:val="auto"/>
                <w:sz w:val="24"/>
                <w:szCs w:val="24"/>
                <w:vertAlign w:val="superscript"/>
              </w:rPr>
              <w:t>2</w:t>
            </w:r>
            <w:r>
              <w:rPr>
                <w:rFonts w:hint="default" w:ascii="Times New Roman" w:hAnsi="Times New Roman" w:eastAsia="Times New Roman" w:cs="Times New Roman"/>
                <w:color w:val="auto"/>
                <w:sz w:val="24"/>
                <w:szCs w:val="24"/>
                <w:vertAlign w:val="baseline"/>
                <w:lang w:eastAsia="zh-CN"/>
              </w:rPr>
              <w:t>。</w:t>
            </w:r>
            <w:r>
              <w:rPr>
                <w:rFonts w:hint="default" w:ascii="Times New Roman" w:hAnsi="Times New Roman" w:eastAsia="Times New Roman" w:cs="Times New Roman"/>
                <w:color w:val="auto"/>
                <w:sz w:val="24"/>
                <w:szCs w:val="24"/>
              </w:rPr>
              <w:t>严格</w:t>
            </w:r>
            <w:r>
              <w:rPr>
                <w:rFonts w:hint="default" w:ascii="Times New Roman" w:hAnsi="Times New Roman" w:eastAsia="宋体" w:cs="Times New Roman"/>
                <w:color w:val="auto"/>
                <w:sz w:val="24"/>
                <w:szCs w:val="24"/>
              </w:rPr>
              <w:t>落实“四防”(防风、防雨、防晒、防渗漏)控制措施</w:t>
            </w:r>
            <w:r>
              <w:rPr>
                <w:rFonts w:hint="default" w:ascii="Times New Roman" w:hAnsi="Times New Roman" w:eastAsia="Times New Roman" w:cs="Times New Roman"/>
                <w:color w:val="auto"/>
                <w:sz w:val="24"/>
                <w:szCs w:val="24"/>
              </w:rPr>
              <w:t>，地面进行防腐并设置有防渗漏垫板，并配套危险废物堆放方式、警示标识等方面内容</w:t>
            </w:r>
            <w:r>
              <w:rPr>
                <w:rFonts w:hint="default" w:ascii="Times New Roman" w:hAnsi="Times New Roman" w:eastAsia="Times New Roman" w:cs="Times New Roman"/>
                <w:color w:val="auto"/>
                <w:sz w:val="24"/>
                <w:szCs w:val="24"/>
                <w:lang w:eastAsia="zh-CN"/>
              </w:rPr>
              <w:t>，</w:t>
            </w:r>
            <w:r>
              <w:rPr>
                <w:rFonts w:hint="default" w:ascii="Times New Roman" w:hAnsi="Times New Roman" w:eastAsia="Times New Roman" w:cs="Times New Roman"/>
                <w:color w:val="auto"/>
                <w:sz w:val="24"/>
                <w:szCs w:val="24"/>
                <w:lang w:val="en-US" w:eastAsia="zh-CN"/>
              </w:rPr>
              <w:t>项目所产生的油污、油泥、废活性炭、废润滑油、废包装桶</w:t>
            </w:r>
            <w:r>
              <w:rPr>
                <w:rFonts w:hint="default" w:ascii="Times New Roman" w:hAnsi="Times New Roman" w:eastAsia="Times New Roman" w:cs="Times New Roman"/>
                <w:b w:val="0"/>
                <w:bCs w:val="0"/>
                <w:color w:val="auto"/>
                <w:sz w:val="24"/>
                <w:szCs w:val="24"/>
              </w:rPr>
              <w:t>集中收集</w:t>
            </w:r>
            <w:r>
              <w:rPr>
                <w:rFonts w:hint="default" w:ascii="Times New Roman" w:hAnsi="Times New Roman" w:eastAsia="Times New Roman" w:cs="Times New Roman"/>
                <w:b w:val="0"/>
                <w:bCs w:val="0"/>
                <w:color w:val="auto"/>
                <w:sz w:val="24"/>
                <w:szCs w:val="24"/>
                <w:lang w:val="en-US" w:eastAsia="zh-CN"/>
              </w:rPr>
              <w:t>后暂存</w:t>
            </w:r>
            <w:r>
              <w:rPr>
                <w:rFonts w:hint="default" w:ascii="Times New Roman" w:hAnsi="Times New Roman" w:eastAsia="Times New Roman" w:cs="Times New Roman"/>
                <w:b w:val="0"/>
                <w:bCs w:val="0"/>
                <w:color w:val="auto"/>
                <w:sz w:val="24"/>
                <w:szCs w:val="24"/>
              </w:rPr>
              <w:t>于</w:t>
            </w:r>
            <w:r>
              <w:rPr>
                <w:rFonts w:hint="default" w:ascii="Times New Roman" w:hAnsi="Times New Roman" w:eastAsia="Times New Roman" w:cs="Times New Roman"/>
                <w:b w:val="0"/>
                <w:bCs w:val="0"/>
                <w:color w:val="auto"/>
                <w:sz w:val="24"/>
                <w:szCs w:val="24"/>
                <w:lang w:val="en-US" w:eastAsia="zh-CN"/>
              </w:rPr>
              <w:t>危废暂存间内</w:t>
            </w:r>
            <w:r>
              <w:rPr>
                <w:rFonts w:hint="default" w:ascii="Times New Roman" w:hAnsi="Times New Roman" w:eastAsia="Times New Roman" w:cs="Times New Roman"/>
                <w:b w:val="0"/>
                <w:bCs w:val="0"/>
                <w:color w:val="auto"/>
                <w:sz w:val="24"/>
                <w:szCs w:val="24"/>
                <w:lang w:eastAsia="zh-CN"/>
              </w:rPr>
              <w:t>，</w:t>
            </w:r>
            <w:r>
              <w:rPr>
                <w:rFonts w:hint="default" w:ascii="Times New Roman" w:hAnsi="Times New Roman" w:eastAsia="Times New Roman" w:cs="Times New Roman"/>
                <w:b w:val="0"/>
                <w:bCs w:val="0"/>
                <w:color w:val="auto"/>
                <w:sz w:val="24"/>
                <w:szCs w:val="24"/>
              </w:rPr>
              <w:t>委托有资质单位处理。</w:t>
            </w:r>
          </w:p>
          <w:p w14:paraId="1347BCB1">
            <w:pPr>
              <w:pStyle w:val="62"/>
              <w:keepNext w:val="0"/>
              <w:keepLines w:val="0"/>
              <w:suppressLineNumbers w:val="0"/>
              <w:bidi w:val="0"/>
              <w:spacing w:before="0" w:beforeAutospacing="0" w:after="0" w:afterAutospacing="0"/>
              <w:ind w:left="0" w:right="0"/>
              <w:rPr>
                <w:rFonts w:hint="eastAsia" w:ascii="Times New Roman" w:hAnsi="Times New Roman" w:eastAsia="宋体" w:cs="Times New Roman"/>
                <w:color w:val="auto"/>
                <w:lang w:eastAsia="zh-CN"/>
              </w:rPr>
            </w:pPr>
            <w:r>
              <w:rPr>
                <w:rFonts w:hint="default" w:ascii="Times New Roman" w:hAnsi="Times New Roman" w:cs="Times New Roman"/>
                <w:color w:val="auto"/>
                <w:sz w:val="24"/>
                <w:szCs w:val="24"/>
              </w:rPr>
              <w:t>生活垃圾</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集中收集，</w:t>
            </w:r>
            <w:r>
              <w:rPr>
                <w:rFonts w:hint="default" w:ascii="Times New Roman" w:hAnsi="Times New Roman" w:cs="Times New Roman"/>
                <w:color w:val="auto"/>
                <w:sz w:val="24"/>
                <w:szCs w:val="24"/>
                <w:lang w:val="en-US" w:eastAsia="zh-CN"/>
              </w:rPr>
              <w:t>由</w:t>
            </w:r>
            <w:r>
              <w:rPr>
                <w:rFonts w:hint="default" w:ascii="Times New Roman" w:hAnsi="Times New Roman" w:cs="Times New Roman"/>
                <w:color w:val="auto"/>
                <w:sz w:val="24"/>
                <w:szCs w:val="24"/>
              </w:rPr>
              <w:t>环卫</w:t>
            </w:r>
            <w:r>
              <w:rPr>
                <w:rFonts w:hint="default" w:ascii="Times New Roman" w:hAnsi="Times New Roman" w:cs="Times New Roman"/>
                <w:b w:val="0"/>
                <w:bCs w:val="0"/>
                <w:color w:val="auto"/>
                <w:sz w:val="24"/>
                <w:szCs w:val="24"/>
              </w:rPr>
              <w:t>部门</w:t>
            </w:r>
            <w:r>
              <w:rPr>
                <w:rFonts w:hint="default" w:ascii="Times New Roman" w:hAnsi="Times New Roman" w:cs="Times New Roman"/>
                <w:b w:val="0"/>
                <w:bCs w:val="0"/>
                <w:color w:val="auto"/>
                <w:sz w:val="24"/>
                <w:szCs w:val="24"/>
                <w:lang w:val="en-US" w:eastAsia="zh-CN"/>
              </w:rPr>
              <w:t>统一</w:t>
            </w:r>
            <w:r>
              <w:rPr>
                <w:rFonts w:hint="default" w:ascii="Times New Roman" w:hAnsi="Times New Roman" w:cs="Times New Roman"/>
                <w:b w:val="0"/>
                <w:bCs w:val="0"/>
                <w:color w:val="auto"/>
                <w:sz w:val="24"/>
                <w:szCs w:val="24"/>
              </w:rPr>
              <w:t>清运</w:t>
            </w:r>
            <w:r>
              <w:rPr>
                <w:rFonts w:hint="default" w:ascii="Times New Roman" w:hAnsi="Times New Roman" w:cs="Times New Roman"/>
                <w:b w:val="0"/>
                <w:bCs w:val="0"/>
                <w:color w:val="auto"/>
                <w:sz w:val="24"/>
                <w:szCs w:val="24"/>
                <w:lang w:eastAsia="zh-CN"/>
              </w:rPr>
              <w:t>。</w:t>
            </w:r>
          </w:p>
        </w:tc>
      </w:tr>
      <w:tr w14:paraId="781D23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90" w:hRule="atLeast"/>
          <w:jc w:val="center"/>
        </w:trPr>
        <w:tc>
          <w:tcPr>
            <w:tcW w:w="525" w:type="pct"/>
            <w:noWrap w:val="0"/>
            <w:vAlign w:val="center"/>
          </w:tcPr>
          <w:p w14:paraId="50E77A32">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土壤及地下水污染防治措施</w:t>
            </w:r>
          </w:p>
        </w:tc>
        <w:tc>
          <w:tcPr>
            <w:tcW w:w="4474" w:type="pct"/>
            <w:gridSpan w:val="4"/>
            <w:noWrap w:val="0"/>
            <w:vAlign w:val="center"/>
          </w:tcPr>
          <w:p w14:paraId="09B3D4CF">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2"/>
                <w:sz w:val="24"/>
                <w:szCs w:val="24"/>
                <w:lang w:val="en-US" w:eastAsia="zh-CN"/>
              </w:rPr>
              <w:t>新建的</w:t>
            </w:r>
            <w:r>
              <w:rPr>
                <w:rFonts w:hint="default" w:ascii="Times New Roman" w:hAnsi="Times New Roman" w:eastAsia="宋体" w:cs="Times New Roman"/>
                <w:color w:val="auto"/>
                <w:kern w:val="0"/>
                <w:sz w:val="24"/>
                <w:szCs w:val="24"/>
                <w:lang w:val="en-US" w:eastAsia="zh-CN"/>
              </w:rPr>
              <w:t>危废暂存间、化学品库</w:t>
            </w:r>
            <w:r>
              <w:rPr>
                <w:rFonts w:hint="eastAsia" w:cs="Times New Roman"/>
                <w:color w:val="auto"/>
                <w:kern w:val="0"/>
                <w:sz w:val="24"/>
                <w:szCs w:val="24"/>
                <w:lang w:val="en-US" w:eastAsia="zh-CN"/>
              </w:rPr>
              <w:t>、冷却油池</w:t>
            </w:r>
            <w:r>
              <w:rPr>
                <w:rFonts w:hint="default" w:ascii="Times New Roman" w:hAnsi="Times New Roman" w:eastAsia="宋体" w:cs="Times New Roman"/>
                <w:color w:val="auto"/>
                <w:kern w:val="0"/>
                <w:sz w:val="24"/>
                <w:szCs w:val="24"/>
                <w:lang w:val="en-US" w:eastAsia="zh-CN"/>
              </w:rPr>
              <w:t>进行</w:t>
            </w:r>
            <w:r>
              <w:rPr>
                <w:rFonts w:hint="default" w:ascii="Times New Roman" w:hAnsi="Times New Roman" w:eastAsia="宋体" w:cs="Times New Roman"/>
                <w:color w:val="auto"/>
                <w:kern w:val="2"/>
                <w:sz w:val="24"/>
                <w:szCs w:val="24"/>
                <w:lang w:val="en-US" w:eastAsia="zh-CN"/>
              </w:rPr>
              <w:t>重点防渗；厂房内其他区域一般防渗。</w:t>
            </w:r>
          </w:p>
        </w:tc>
      </w:tr>
      <w:tr w14:paraId="25989F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5" w:type="pct"/>
            <w:noWrap w:val="0"/>
            <w:vAlign w:val="center"/>
          </w:tcPr>
          <w:p w14:paraId="0EECE3AA">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生态保护措施</w:t>
            </w:r>
          </w:p>
        </w:tc>
        <w:tc>
          <w:tcPr>
            <w:tcW w:w="4474" w:type="pct"/>
            <w:gridSpan w:val="4"/>
            <w:noWrap w:val="0"/>
            <w:vAlign w:val="center"/>
          </w:tcPr>
          <w:p w14:paraId="5AEC038C">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w:t>
            </w:r>
          </w:p>
        </w:tc>
      </w:tr>
      <w:tr w14:paraId="32F4C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525" w:type="pct"/>
            <w:noWrap w:val="0"/>
            <w:vAlign w:val="center"/>
          </w:tcPr>
          <w:p w14:paraId="55DA9A0A">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auto"/>
                <w:spacing w:val="-8"/>
                <w:sz w:val="24"/>
                <w:szCs w:val="24"/>
              </w:rPr>
            </w:pPr>
            <w:r>
              <w:rPr>
                <w:rFonts w:hint="default" w:ascii="Times New Roman" w:hAnsi="Times New Roman" w:eastAsia="宋体" w:cs="Times New Roman"/>
                <w:color w:val="auto"/>
                <w:spacing w:val="-8"/>
                <w:sz w:val="24"/>
                <w:szCs w:val="24"/>
              </w:rPr>
              <w:t>环境风险防范措施</w:t>
            </w:r>
          </w:p>
        </w:tc>
        <w:tc>
          <w:tcPr>
            <w:tcW w:w="4474" w:type="pct"/>
            <w:gridSpan w:val="4"/>
            <w:noWrap w:val="0"/>
            <w:vAlign w:val="center"/>
          </w:tcPr>
          <w:p w14:paraId="61FCCC68">
            <w:pPr>
              <w:pStyle w:val="62"/>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kern w:val="0"/>
                <w:sz w:val="24"/>
                <w:szCs w:val="24"/>
                <w:lang w:val="en-US" w:eastAsia="zh-CN"/>
              </w:rPr>
              <w:t>制定环保管理制度</w:t>
            </w:r>
            <w:r>
              <w:rPr>
                <w:rFonts w:hint="eastAsia" w:ascii="Times New Roman" w:hAnsi="Times New Roman" w:eastAsia="Times New Roman" w:cs="Times New Roman"/>
                <w:color w:val="auto"/>
                <w:sz w:val="24"/>
                <w:szCs w:val="24"/>
                <w:lang w:eastAsia="zh-CN"/>
              </w:rPr>
              <w:t>，</w:t>
            </w:r>
            <w:r>
              <w:rPr>
                <w:rFonts w:hint="default" w:ascii="Times New Roman" w:hAnsi="Times New Roman" w:eastAsia="宋体" w:cs="Times New Roman"/>
                <w:color w:val="auto"/>
                <w:sz w:val="24"/>
                <w:szCs w:val="24"/>
              </w:rPr>
              <w:t>加强风险防范管控。</w:t>
            </w:r>
          </w:p>
        </w:tc>
      </w:tr>
      <w:tr w14:paraId="3D2EFA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525" w:type="pct"/>
            <w:noWrap w:val="0"/>
            <w:vAlign w:val="center"/>
          </w:tcPr>
          <w:p w14:paraId="3C4A6674">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51F0849B">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7A29DAB1">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4696FE4B">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4E7D6E33">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51015F98">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auto"/>
                <w:spacing w:val="-8"/>
                <w:sz w:val="24"/>
              </w:rPr>
            </w:pPr>
            <w:r>
              <w:rPr>
                <w:rFonts w:hint="default" w:ascii="Times New Roman" w:hAnsi="Times New Roman" w:eastAsia="宋体" w:cs="Times New Roman"/>
                <w:color w:val="auto"/>
                <w:spacing w:val="-8"/>
                <w:sz w:val="24"/>
              </w:rPr>
              <w:t>其他环境管理要求</w:t>
            </w:r>
          </w:p>
          <w:p w14:paraId="20AAD695">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2DD5C49F">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746AED44">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455EE6C7">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220586D9">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749886C3">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21D3EFE3">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4D45495D">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201792ED">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2A399F57">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102D56EB">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14F0F5A1">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23A775A9">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09257213">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179C364A">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2FBA911F">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7F179B5B">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30A1CC3D">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37634998">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08709118">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7A0EE8EE">
            <w:pPr>
              <w:keepNext w:val="0"/>
              <w:keepLines w:val="0"/>
              <w:suppressLineNumbers w:val="0"/>
              <w:adjustRightInd w:val="0"/>
              <w:spacing w:before="0" w:beforeAutospacing="0" w:after="0" w:afterAutospacing="0" w:line="360" w:lineRule="exact"/>
              <w:ind w:left="0" w:right="0"/>
              <w:jc w:val="both"/>
              <w:rPr>
                <w:rFonts w:hint="default" w:ascii="Times New Roman" w:hAnsi="Times New Roman" w:eastAsia="宋体" w:cs="Times New Roman"/>
                <w:color w:val="0000FF"/>
                <w:spacing w:val="-8"/>
                <w:sz w:val="24"/>
              </w:rPr>
            </w:pPr>
          </w:p>
          <w:p w14:paraId="6966A95B">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09005F4B">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0000FF"/>
                <w:spacing w:val="-8"/>
                <w:sz w:val="24"/>
              </w:rPr>
            </w:pPr>
          </w:p>
          <w:p w14:paraId="06A09C97">
            <w:pPr>
              <w:keepNext w:val="0"/>
              <w:keepLines w:val="0"/>
              <w:suppressLineNumbers w:val="0"/>
              <w:adjustRightInd w:val="0"/>
              <w:spacing w:before="0" w:beforeAutospacing="0" w:after="0" w:afterAutospacing="0" w:line="360" w:lineRule="exact"/>
              <w:ind w:left="0" w:right="0"/>
              <w:jc w:val="center"/>
              <w:rPr>
                <w:rFonts w:hint="default" w:ascii="Times New Roman" w:hAnsi="Times New Roman" w:eastAsia="宋体" w:cs="Times New Roman"/>
                <w:color w:val="auto"/>
                <w:spacing w:val="-8"/>
                <w:sz w:val="24"/>
              </w:rPr>
            </w:pPr>
            <w:r>
              <w:rPr>
                <w:rFonts w:hint="default" w:ascii="Times New Roman" w:hAnsi="Times New Roman" w:eastAsia="宋体" w:cs="Times New Roman"/>
                <w:color w:val="auto"/>
                <w:spacing w:val="-8"/>
                <w:sz w:val="24"/>
              </w:rPr>
              <w:t>其他环境管理要求</w:t>
            </w:r>
          </w:p>
          <w:p w14:paraId="451C3E3F">
            <w:pPr>
              <w:pStyle w:val="26"/>
              <w:keepNext w:val="0"/>
              <w:keepLines w:val="0"/>
              <w:suppressLineNumbers w:val="0"/>
              <w:spacing w:before="0" w:beforeAutospacing="0" w:after="0" w:afterAutospacing="0"/>
              <w:ind w:left="0" w:right="0"/>
              <w:rPr>
                <w:rFonts w:hint="default" w:ascii="Times New Roman" w:hAnsi="Times New Roman" w:eastAsia="宋体" w:cs="Times New Roman"/>
                <w:color w:val="0000FF"/>
                <w:spacing w:val="-8"/>
                <w:sz w:val="24"/>
              </w:rPr>
            </w:pPr>
          </w:p>
          <w:p w14:paraId="74FF3EB1">
            <w:pPr>
              <w:pStyle w:val="26"/>
              <w:keepNext w:val="0"/>
              <w:keepLines w:val="0"/>
              <w:suppressLineNumbers w:val="0"/>
              <w:spacing w:before="0" w:beforeAutospacing="0" w:after="0" w:afterAutospacing="0"/>
              <w:ind w:left="0" w:right="0"/>
              <w:rPr>
                <w:rFonts w:hint="default" w:ascii="Times New Roman" w:hAnsi="Times New Roman" w:eastAsia="宋体" w:cs="Times New Roman"/>
                <w:color w:val="0000FF"/>
                <w:spacing w:val="-8"/>
                <w:sz w:val="24"/>
              </w:rPr>
            </w:pPr>
          </w:p>
          <w:p w14:paraId="52643D9B">
            <w:pPr>
              <w:pStyle w:val="26"/>
              <w:keepNext w:val="0"/>
              <w:keepLines w:val="0"/>
              <w:suppressLineNumbers w:val="0"/>
              <w:spacing w:before="0" w:beforeAutospacing="0" w:after="0" w:afterAutospacing="0"/>
              <w:ind w:left="0" w:right="0"/>
              <w:rPr>
                <w:rFonts w:hint="default" w:ascii="Times New Roman" w:hAnsi="Times New Roman" w:eastAsia="宋体" w:cs="Times New Roman"/>
                <w:color w:val="0000FF"/>
                <w:spacing w:val="-8"/>
                <w:sz w:val="24"/>
              </w:rPr>
            </w:pPr>
          </w:p>
          <w:p w14:paraId="1F58A0F6">
            <w:pPr>
              <w:pStyle w:val="26"/>
              <w:keepNext w:val="0"/>
              <w:keepLines w:val="0"/>
              <w:suppressLineNumbers w:val="0"/>
              <w:spacing w:before="0" w:beforeAutospacing="0" w:after="0" w:afterAutospacing="0"/>
              <w:ind w:left="0" w:right="0"/>
              <w:rPr>
                <w:rFonts w:hint="default" w:ascii="Times New Roman" w:hAnsi="Times New Roman" w:eastAsia="宋体" w:cs="Times New Roman"/>
                <w:color w:val="0000FF"/>
                <w:spacing w:val="-8"/>
                <w:sz w:val="24"/>
              </w:rPr>
            </w:pPr>
          </w:p>
          <w:p w14:paraId="6EDD5AD8">
            <w:pPr>
              <w:pStyle w:val="26"/>
              <w:keepNext w:val="0"/>
              <w:keepLines w:val="0"/>
              <w:suppressLineNumbers w:val="0"/>
              <w:spacing w:before="0" w:beforeAutospacing="0" w:after="0" w:afterAutospacing="0"/>
              <w:ind w:left="0" w:right="0"/>
              <w:rPr>
                <w:rFonts w:hint="default" w:ascii="Times New Roman" w:hAnsi="Times New Roman" w:eastAsia="宋体" w:cs="Times New Roman"/>
                <w:color w:val="0000FF"/>
                <w:spacing w:val="-8"/>
                <w:sz w:val="24"/>
              </w:rPr>
            </w:pPr>
          </w:p>
          <w:p w14:paraId="2C4448ED">
            <w:pPr>
              <w:pStyle w:val="26"/>
              <w:keepNext w:val="0"/>
              <w:keepLines w:val="0"/>
              <w:suppressLineNumbers w:val="0"/>
              <w:spacing w:before="0" w:beforeAutospacing="0" w:after="0" w:afterAutospacing="0"/>
              <w:ind w:left="0" w:right="0"/>
              <w:rPr>
                <w:rFonts w:hint="default" w:ascii="Times New Roman" w:hAnsi="Times New Roman" w:eastAsia="宋体" w:cs="Times New Roman"/>
                <w:color w:val="0000FF"/>
                <w:spacing w:val="-8"/>
                <w:sz w:val="24"/>
              </w:rPr>
            </w:pPr>
          </w:p>
          <w:p w14:paraId="709F96F9">
            <w:pPr>
              <w:pStyle w:val="26"/>
              <w:keepNext w:val="0"/>
              <w:keepLines w:val="0"/>
              <w:suppressLineNumbers w:val="0"/>
              <w:spacing w:before="0" w:beforeAutospacing="0" w:after="0" w:afterAutospacing="0"/>
              <w:ind w:left="0" w:right="0"/>
              <w:rPr>
                <w:rFonts w:hint="default" w:ascii="Times New Roman" w:hAnsi="Times New Roman" w:eastAsia="宋体" w:cs="Times New Roman"/>
                <w:color w:val="0000FF"/>
                <w:spacing w:val="-8"/>
                <w:sz w:val="24"/>
              </w:rPr>
            </w:pPr>
          </w:p>
          <w:p w14:paraId="1EA3CA1B">
            <w:pPr>
              <w:pStyle w:val="26"/>
              <w:keepNext w:val="0"/>
              <w:keepLines w:val="0"/>
              <w:suppressLineNumbers w:val="0"/>
              <w:spacing w:before="0" w:beforeAutospacing="0" w:after="0" w:afterAutospacing="0"/>
              <w:ind w:left="0" w:right="0"/>
              <w:rPr>
                <w:rFonts w:hint="default" w:ascii="Times New Roman" w:hAnsi="Times New Roman" w:eastAsia="宋体" w:cs="Times New Roman"/>
                <w:color w:val="0000FF"/>
                <w:spacing w:val="-8"/>
                <w:sz w:val="24"/>
              </w:rPr>
            </w:pPr>
          </w:p>
          <w:p w14:paraId="2EC81E88">
            <w:pPr>
              <w:pStyle w:val="26"/>
              <w:keepNext w:val="0"/>
              <w:keepLines w:val="0"/>
              <w:suppressLineNumbers w:val="0"/>
              <w:spacing w:before="0" w:beforeAutospacing="0" w:after="0" w:afterAutospacing="0"/>
              <w:ind w:left="0" w:right="0"/>
              <w:rPr>
                <w:rFonts w:hint="default" w:ascii="Times New Roman" w:hAnsi="Times New Roman" w:eastAsia="宋体" w:cs="Times New Roman"/>
                <w:color w:val="0000FF"/>
                <w:spacing w:val="-8"/>
                <w:sz w:val="24"/>
              </w:rPr>
            </w:pPr>
          </w:p>
          <w:p w14:paraId="7415FB69">
            <w:pPr>
              <w:pStyle w:val="26"/>
              <w:keepNext w:val="0"/>
              <w:keepLines w:val="0"/>
              <w:suppressLineNumbers w:val="0"/>
              <w:spacing w:before="0" w:beforeAutospacing="0" w:after="0" w:afterAutospacing="0"/>
              <w:ind w:left="0" w:right="0"/>
              <w:rPr>
                <w:rFonts w:hint="default" w:ascii="Times New Roman" w:hAnsi="Times New Roman" w:eastAsia="宋体" w:cs="Times New Roman"/>
                <w:color w:val="0000FF"/>
                <w:spacing w:val="-8"/>
                <w:sz w:val="24"/>
              </w:rPr>
            </w:pPr>
          </w:p>
          <w:p w14:paraId="056B83E5">
            <w:pPr>
              <w:pStyle w:val="26"/>
              <w:keepNext w:val="0"/>
              <w:keepLines w:val="0"/>
              <w:suppressLineNumbers w:val="0"/>
              <w:spacing w:before="0" w:beforeAutospacing="0" w:after="0" w:afterAutospacing="0"/>
              <w:ind w:left="0" w:right="0"/>
              <w:rPr>
                <w:rFonts w:hint="default" w:ascii="Times New Roman" w:hAnsi="Times New Roman" w:eastAsia="宋体" w:cs="Times New Roman"/>
                <w:color w:val="0000FF"/>
                <w:spacing w:val="-8"/>
                <w:sz w:val="24"/>
              </w:rPr>
            </w:pPr>
          </w:p>
          <w:p w14:paraId="54C4C8BF">
            <w:pPr>
              <w:pStyle w:val="26"/>
              <w:keepNext w:val="0"/>
              <w:keepLines w:val="0"/>
              <w:suppressLineNumbers w:val="0"/>
              <w:spacing w:before="0" w:beforeAutospacing="0" w:after="0" w:afterAutospacing="0"/>
              <w:ind w:left="0" w:right="0"/>
              <w:rPr>
                <w:rFonts w:hint="default" w:ascii="Times New Roman" w:hAnsi="Times New Roman" w:eastAsia="宋体" w:cs="Times New Roman"/>
                <w:color w:val="0000FF"/>
                <w:spacing w:val="-8"/>
                <w:sz w:val="24"/>
              </w:rPr>
            </w:pPr>
          </w:p>
          <w:p w14:paraId="5FC97438">
            <w:pPr>
              <w:pStyle w:val="26"/>
              <w:keepNext w:val="0"/>
              <w:keepLines w:val="0"/>
              <w:suppressLineNumbers w:val="0"/>
              <w:spacing w:before="0" w:beforeAutospacing="0" w:after="0" w:afterAutospacing="0"/>
              <w:ind w:left="0" w:right="0"/>
              <w:rPr>
                <w:rFonts w:hint="default" w:ascii="Times New Roman" w:hAnsi="Times New Roman" w:eastAsia="宋体" w:cs="Times New Roman"/>
                <w:color w:val="0000FF"/>
                <w:spacing w:val="-8"/>
                <w:sz w:val="24"/>
              </w:rPr>
            </w:pPr>
          </w:p>
          <w:p w14:paraId="141A242A">
            <w:pPr>
              <w:pStyle w:val="26"/>
              <w:keepNext w:val="0"/>
              <w:keepLines w:val="0"/>
              <w:suppressLineNumbers w:val="0"/>
              <w:spacing w:before="0" w:beforeAutospacing="0" w:after="0" w:afterAutospacing="0"/>
              <w:ind w:left="0" w:right="0"/>
              <w:rPr>
                <w:rFonts w:hint="default" w:ascii="Times New Roman" w:hAnsi="Times New Roman" w:eastAsia="宋体" w:cs="Times New Roman"/>
                <w:color w:val="0000FF"/>
                <w:spacing w:val="-8"/>
                <w:sz w:val="24"/>
              </w:rPr>
            </w:pPr>
          </w:p>
          <w:p w14:paraId="64C622B0">
            <w:pPr>
              <w:pStyle w:val="26"/>
              <w:keepNext w:val="0"/>
              <w:keepLines w:val="0"/>
              <w:suppressLineNumbers w:val="0"/>
              <w:spacing w:before="0" w:beforeAutospacing="0" w:after="0" w:afterAutospacing="0"/>
              <w:ind w:left="0" w:right="0"/>
              <w:rPr>
                <w:rFonts w:hint="default" w:ascii="Times New Roman" w:hAnsi="Times New Roman" w:eastAsia="宋体" w:cs="Times New Roman"/>
                <w:color w:val="0000FF"/>
                <w:spacing w:val="-8"/>
                <w:sz w:val="24"/>
              </w:rPr>
            </w:pPr>
          </w:p>
          <w:p w14:paraId="686431B7">
            <w:pPr>
              <w:pStyle w:val="26"/>
              <w:keepNext w:val="0"/>
              <w:keepLines w:val="0"/>
              <w:suppressLineNumbers w:val="0"/>
              <w:spacing w:before="0" w:beforeAutospacing="0" w:after="0" w:afterAutospacing="0"/>
              <w:ind w:left="0" w:right="0"/>
              <w:rPr>
                <w:rFonts w:hint="default" w:ascii="Times New Roman" w:hAnsi="Times New Roman" w:eastAsia="宋体" w:cs="Times New Roman"/>
                <w:color w:val="0000FF"/>
                <w:spacing w:val="-8"/>
                <w:sz w:val="24"/>
              </w:rPr>
            </w:pPr>
          </w:p>
          <w:p w14:paraId="10E5A41C">
            <w:pPr>
              <w:keepNext w:val="0"/>
              <w:keepLines w:val="0"/>
              <w:suppressLineNumbers w:val="0"/>
              <w:spacing w:before="0" w:beforeAutospacing="0" w:after="0" w:afterAutospacing="0"/>
              <w:ind w:left="0" w:right="0"/>
              <w:rPr>
                <w:rFonts w:hint="default" w:ascii="Times New Roman" w:hAnsi="Times New Roman" w:eastAsia="宋体" w:cs="Times New Roman"/>
                <w:color w:val="0000FF"/>
                <w:spacing w:val="-8"/>
                <w:sz w:val="24"/>
              </w:rPr>
            </w:pPr>
          </w:p>
          <w:p w14:paraId="26C5F1F0">
            <w:pPr>
              <w:pStyle w:val="68"/>
              <w:keepNext w:val="0"/>
              <w:keepLines w:val="0"/>
              <w:suppressLineNumbers w:val="0"/>
              <w:spacing w:before="0" w:beforeAutospacing="0" w:after="0" w:afterAutospacing="0"/>
              <w:ind w:left="0" w:right="0"/>
              <w:rPr>
                <w:rFonts w:hint="default" w:ascii="Times New Roman" w:hAnsi="Times New Roman" w:eastAsia="宋体" w:cs="Times New Roman"/>
                <w:color w:val="0000FF"/>
                <w:spacing w:val="-8"/>
                <w:sz w:val="24"/>
              </w:rPr>
            </w:pPr>
          </w:p>
          <w:p w14:paraId="6960DD7B">
            <w:pPr>
              <w:keepNext w:val="0"/>
              <w:keepLines w:val="0"/>
              <w:suppressLineNumbers w:val="0"/>
              <w:spacing w:before="0" w:beforeAutospacing="0" w:after="0" w:afterAutospacing="0"/>
              <w:ind w:left="0" w:right="0"/>
              <w:rPr>
                <w:rFonts w:hint="default" w:ascii="Times New Roman" w:hAnsi="Times New Roman" w:eastAsia="宋体" w:cs="Times New Roman"/>
                <w:color w:val="0000FF"/>
                <w:spacing w:val="-8"/>
                <w:sz w:val="24"/>
              </w:rPr>
            </w:pPr>
          </w:p>
          <w:p w14:paraId="13E69D60">
            <w:pPr>
              <w:pStyle w:val="68"/>
              <w:keepNext w:val="0"/>
              <w:keepLines w:val="0"/>
              <w:suppressLineNumbers w:val="0"/>
              <w:spacing w:before="0" w:beforeAutospacing="0" w:after="0" w:afterAutospacing="0"/>
              <w:ind w:left="0" w:right="0"/>
              <w:rPr>
                <w:rFonts w:hint="default" w:ascii="Times New Roman" w:hAnsi="Times New Roman" w:eastAsia="宋体" w:cs="Times New Roman"/>
                <w:color w:val="0000FF"/>
                <w:spacing w:val="-8"/>
                <w:sz w:val="24"/>
              </w:rPr>
            </w:pPr>
          </w:p>
          <w:p w14:paraId="62CC8AF2">
            <w:pPr>
              <w:keepNext w:val="0"/>
              <w:keepLines w:val="0"/>
              <w:suppressLineNumbers w:val="0"/>
              <w:spacing w:before="0" w:beforeAutospacing="0" w:after="0" w:afterAutospacing="0"/>
              <w:ind w:left="0" w:right="0"/>
              <w:rPr>
                <w:rFonts w:hint="default" w:ascii="Times New Roman" w:hAnsi="Times New Roman" w:eastAsia="宋体" w:cs="Times New Roman"/>
                <w:color w:val="0000FF"/>
                <w:spacing w:val="-8"/>
                <w:sz w:val="24"/>
              </w:rPr>
            </w:pPr>
          </w:p>
          <w:p w14:paraId="64CB79B6">
            <w:pPr>
              <w:keepNext w:val="0"/>
              <w:keepLines w:val="0"/>
              <w:suppressLineNumbers w:val="0"/>
              <w:spacing w:before="0" w:beforeAutospacing="0" w:after="0" w:afterAutospacing="0"/>
              <w:ind w:left="0" w:right="0"/>
              <w:rPr>
                <w:rFonts w:hint="default" w:eastAsia="Times New Roman"/>
                <w:color w:val="0000FF"/>
              </w:rPr>
            </w:pPr>
          </w:p>
        </w:tc>
        <w:tc>
          <w:tcPr>
            <w:tcW w:w="4474" w:type="pct"/>
            <w:gridSpan w:val="4"/>
            <w:noWrap w:val="0"/>
            <w:vAlign w:val="top"/>
          </w:tcPr>
          <w:p w14:paraId="36E186E3">
            <w:pPr>
              <w:keepNext w:val="0"/>
              <w:keepLines w:val="0"/>
              <w:suppressLineNumbers w:val="0"/>
              <w:autoSpaceDE w:val="0"/>
              <w:autoSpaceDN w:val="0"/>
              <w:adjustRightInd w:val="0"/>
              <w:spacing w:before="0" w:beforeAutospacing="0" w:after="0" w:afterAutospacing="0" w:line="460" w:lineRule="exact"/>
              <w:ind w:left="0" w:right="0" w:firstLine="480" w:firstLineChars="200"/>
              <w:jc w:val="both"/>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为了保证企业环境管理工作的顺利进行，运行期应设立环境管理部门，配备专职人员负责日常环境管理工作，主要环境管理内容包括以下几个方面：</w:t>
            </w:r>
          </w:p>
          <w:p w14:paraId="2A9CE019">
            <w:pPr>
              <w:keepNext w:val="0"/>
              <w:keepLines w:val="0"/>
              <w:suppressLineNumbers w:val="0"/>
              <w:spacing w:before="0" w:beforeAutospacing="0" w:after="0" w:afterAutospacing="0" w:line="460" w:lineRule="exact"/>
              <w:ind w:left="0" w:right="0" w:firstLine="482" w:firstLineChars="200"/>
              <w:jc w:val="both"/>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1、环保设施管理及环境监测</w:t>
            </w:r>
          </w:p>
          <w:p w14:paraId="4722089E">
            <w:pPr>
              <w:pStyle w:val="62"/>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auto"/>
              </w:rPr>
            </w:pPr>
            <w:r>
              <w:rPr>
                <w:rFonts w:hint="default" w:ascii="Times New Roman" w:hAnsi="Times New Roman" w:eastAsia="宋体" w:cs="Times New Roman"/>
                <w:color w:val="auto"/>
              </w:rPr>
              <w:t>①建立、执行监督管理计划，对大气、废水等主要污染物制定监测、控制制度，以保证及时了解并控制污染物排放情况和对周围环境的影响情况。</w:t>
            </w:r>
          </w:p>
          <w:p w14:paraId="7C3528A7">
            <w:pPr>
              <w:pStyle w:val="62"/>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auto"/>
                <w:lang w:eastAsia="zh-CN"/>
              </w:rPr>
            </w:pPr>
            <w:r>
              <w:rPr>
                <w:rFonts w:hint="default" w:ascii="Times New Roman" w:hAnsi="Times New Roman" w:eastAsia="宋体" w:cs="Times New Roman"/>
                <w:color w:val="auto"/>
              </w:rPr>
              <w:t>②定期检查环保设施的运行状况及设备的维修与管理，严格控制</w:t>
            </w:r>
            <w:r>
              <w:rPr>
                <w:rFonts w:hint="eastAsia" w:cs="Times New Roman"/>
                <w:color w:val="auto"/>
                <w:lang w:eastAsia="zh-CN"/>
              </w:rPr>
              <w:t>“</w:t>
            </w:r>
            <w:r>
              <w:rPr>
                <w:rFonts w:hint="default" w:ascii="Times New Roman" w:hAnsi="Times New Roman" w:eastAsia="宋体" w:cs="Times New Roman"/>
                <w:color w:val="auto"/>
              </w:rPr>
              <w:t>三废</w:t>
            </w:r>
            <w:r>
              <w:rPr>
                <w:rFonts w:hint="eastAsia" w:cs="Times New Roman"/>
                <w:color w:val="auto"/>
                <w:lang w:eastAsia="zh-CN"/>
              </w:rPr>
              <w:t>”</w:t>
            </w:r>
            <w:r>
              <w:rPr>
                <w:rFonts w:hint="default" w:ascii="Times New Roman" w:hAnsi="Times New Roman" w:eastAsia="宋体" w:cs="Times New Roman"/>
                <w:color w:val="auto"/>
              </w:rPr>
              <w:t>的排放；一旦发生环境风险事故，环境管理机构将参与事故的处理。</w:t>
            </w:r>
          </w:p>
          <w:p w14:paraId="305F6CA6">
            <w:pPr>
              <w:pStyle w:val="62"/>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auto"/>
              </w:rPr>
            </w:pPr>
            <w:r>
              <w:rPr>
                <w:rFonts w:hint="default" w:ascii="Times New Roman" w:hAnsi="Times New Roman" w:eastAsia="宋体" w:cs="Times New Roman"/>
                <w:color w:val="auto"/>
              </w:rPr>
              <w:t>③建立并实施从总经理到班组各层次的环境目标管理责任制，对每个员工均应按岗位责任制制定专门的责任范围及操作规程，明确责任目标；</w:t>
            </w:r>
          </w:p>
          <w:p w14:paraId="71C7268E">
            <w:pPr>
              <w:pStyle w:val="62"/>
              <w:keepNext w:val="0"/>
              <w:keepLines w:val="0"/>
              <w:suppressLineNumbers w:val="0"/>
              <w:bidi w:val="0"/>
              <w:spacing w:before="0" w:beforeAutospacing="0" w:after="0" w:afterAutospacing="0"/>
              <w:ind w:left="0" w:right="0"/>
              <w:jc w:val="both"/>
              <w:rPr>
                <w:rFonts w:hint="default" w:ascii="Times New Roman" w:hAnsi="Times New Roman" w:eastAsia="宋体" w:cs="Times New Roman"/>
                <w:b/>
                <w:bCs/>
                <w:color w:val="auto"/>
                <w:sz w:val="24"/>
              </w:rPr>
            </w:pPr>
            <w:r>
              <w:rPr>
                <w:rFonts w:hint="default" w:ascii="Times New Roman" w:hAnsi="Times New Roman" w:eastAsia="宋体" w:cs="Times New Roman"/>
                <w:color w:val="auto"/>
              </w:rPr>
              <w:t>④根据国家环境标准，对本项目重点污染源及污染物开展日常监测工作，委托具有资质的监测单位对本项目运营期的环境污染物排放达标情况进行自行监测。</w:t>
            </w:r>
          </w:p>
          <w:p w14:paraId="0B92B128">
            <w:pPr>
              <w:keepNext w:val="0"/>
              <w:keepLines w:val="0"/>
              <w:suppressLineNumbers w:val="0"/>
              <w:adjustRightInd w:val="0"/>
              <w:snapToGrid w:val="0"/>
              <w:spacing w:before="0" w:beforeAutospacing="0" w:after="0" w:afterAutospacing="0" w:line="460" w:lineRule="exact"/>
              <w:ind w:left="0" w:right="0" w:firstLine="482" w:firstLineChars="200"/>
              <w:jc w:val="both"/>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2、规范排污口</w:t>
            </w:r>
          </w:p>
          <w:p w14:paraId="2A9D31AA">
            <w:pPr>
              <w:keepNext w:val="0"/>
              <w:keepLines w:val="0"/>
              <w:suppressLineNumbers w:val="0"/>
              <w:autoSpaceDE w:val="0"/>
              <w:autoSpaceDN w:val="0"/>
              <w:adjustRightInd w:val="0"/>
              <w:spacing w:before="0" w:beforeAutospacing="0" w:after="0" w:afterAutospacing="0" w:line="460" w:lineRule="exact"/>
              <w:ind w:left="0" w:right="0" w:firstLine="480" w:firstLineChars="200"/>
              <w:jc w:val="both"/>
              <w:rPr>
                <w:rFonts w:hint="default" w:ascii="Times New Roman" w:hAnsi="Times New Roman" w:eastAsia="宋体" w:cs="Times New Roman"/>
                <w:color w:val="auto"/>
              </w:rPr>
            </w:pPr>
            <w:r>
              <w:rPr>
                <w:rFonts w:hint="default" w:ascii="Times New Roman" w:hAnsi="Times New Roman" w:eastAsia="宋体" w:cs="Times New Roman"/>
                <w:color w:val="auto"/>
                <w:sz w:val="24"/>
              </w:rPr>
              <w:t>企业在严格进行环境管理的同时还应遵照国家对排污口规范的要求，在场区</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三废</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及噪声排放点设置明显标志，标志的设置应执行《环境保护图形标志排放口（源）》（GB15562.1—1995）及《环境保护图形固体废物贮存（处置）场》GB155622—1995）中有关规定。排放口图形标志见</w:t>
            </w:r>
            <w:r>
              <w:rPr>
                <w:rFonts w:hint="default" w:ascii="Times New Roman" w:hAnsi="Times New Roman" w:eastAsia="宋体" w:cs="Times New Roman"/>
                <w:color w:val="auto"/>
                <w:sz w:val="24"/>
                <w:lang w:val="zh-CN"/>
              </w:rPr>
              <w:t>表</w:t>
            </w:r>
            <w:r>
              <w:rPr>
                <w:rFonts w:hint="default" w:ascii="Times New Roman" w:hAnsi="Times New Roman" w:eastAsia="宋体" w:cs="Times New Roman"/>
                <w:color w:val="auto"/>
                <w:sz w:val="24"/>
              </w:rPr>
              <w:t>5-1。</w:t>
            </w:r>
          </w:p>
          <w:p w14:paraId="1AB6CCAB">
            <w:pPr>
              <w:pStyle w:val="63"/>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rPr>
            </w:pPr>
            <w:r>
              <w:rPr>
                <w:rFonts w:hint="default" w:ascii="Times New Roman" w:hAnsi="Times New Roman" w:eastAsia="宋体" w:cs="Times New Roman"/>
                <w:color w:val="auto"/>
              </w:rPr>
              <w:t>表5-1   环保图形标志</w:t>
            </w:r>
          </w:p>
          <w:tbl>
            <w:tblPr>
              <w:tblStyle w:val="52"/>
              <w:tblW w:w="4996"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2105"/>
              <w:gridCol w:w="1854"/>
              <w:gridCol w:w="1247"/>
              <w:gridCol w:w="2300"/>
            </w:tblGrid>
            <w:tr w14:paraId="362CCE6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3" w:type="pct"/>
                  <w:noWrap w:val="0"/>
                  <w:vAlign w:val="center"/>
                </w:tcPr>
                <w:p w14:paraId="542EFCA7">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序号</w:t>
                  </w:r>
                </w:p>
              </w:tc>
              <w:tc>
                <w:tcPr>
                  <w:tcW w:w="1266" w:type="pct"/>
                  <w:noWrap w:val="0"/>
                  <w:vAlign w:val="center"/>
                </w:tcPr>
                <w:p w14:paraId="186D14F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提示图形符号</w:t>
                  </w:r>
                </w:p>
              </w:tc>
              <w:tc>
                <w:tcPr>
                  <w:tcW w:w="1115" w:type="pct"/>
                  <w:noWrap w:val="0"/>
                  <w:vAlign w:val="center"/>
                </w:tcPr>
                <w:p w14:paraId="4FC780E6">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警告图形符号</w:t>
                  </w:r>
                </w:p>
              </w:tc>
              <w:tc>
                <w:tcPr>
                  <w:tcW w:w="750" w:type="pct"/>
                  <w:noWrap w:val="0"/>
                  <w:vAlign w:val="center"/>
                </w:tcPr>
                <w:p w14:paraId="34FE7CB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名称</w:t>
                  </w:r>
                </w:p>
              </w:tc>
              <w:tc>
                <w:tcPr>
                  <w:tcW w:w="1383" w:type="pct"/>
                  <w:noWrap w:val="0"/>
                  <w:vAlign w:val="center"/>
                </w:tcPr>
                <w:p w14:paraId="61611171">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功能</w:t>
                  </w:r>
                </w:p>
              </w:tc>
            </w:tr>
            <w:tr w14:paraId="0D9853D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3" w:type="pct"/>
                  <w:noWrap w:val="0"/>
                  <w:vAlign w:val="center"/>
                </w:tcPr>
                <w:p w14:paraId="672CDEB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1</w:t>
                  </w:r>
                </w:p>
              </w:tc>
              <w:tc>
                <w:tcPr>
                  <w:tcW w:w="1266" w:type="pct"/>
                  <w:noWrap w:val="0"/>
                  <w:vAlign w:val="center"/>
                </w:tcPr>
                <w:p w14:paraId="51F5B02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pict>
                      <v:shape id="_x0000_i1034" o:spt="75" alt="timg" type="#_x0000_t75" style="height:50.8pt;width:57.55pt;" filled="f" o:preferrelative="t" stroked="f" coordsize="21600,21600">
                        <v:path/>
                        <v:fill on="f" focussize="0,0"/>
                        <v:stroke on="f"/>
                        <v:imagedata r:id="rId33" o:title="timg"/>
                        <o:lock v:ext="edit" aspectratio="t"/>
                        <w10:wrap type="none"/>
                        <w10:anchorlock/>
                      </v:shape>
                    </w:pict>
                  </w:r>
                </w:p>
              </w:tc>
              <w:tc>
                <w:tcPr>
                  <w:tcW w:w="1115" w:type="pct"/>
                  <w:noWrap w:val="0"/>
                  <w:vAlign w:val="center"/>
                </w:tcPr>
                <w:p w14:paraId="6337BA1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pict>
                      <v:shape id="_x0000_i1035" o:spt="75" alt="timg" type="#_x0000_t75" style="height:45.4pt;width:48.4pt;" filled="f" o:preferrelative="t" stroked="f" coordsize="21600,21600">
                        <v:path/>
                        <v:fill on="f" focussize="0,0"/>
                        <v:stroke on="f"/>
                        <v:imagedata r:id="rId34" o:title="timg"/>
                        <o:lock v:ext="edit" aspectratio="t"/>
                        <w10:wrap type="none"/>
                        <w10:anchorlock/>
                      </v:shape>
                    </w:pict>
                  </w:r>
                </w:p>
              </w:tc>
              <w:tc>
                <w:tcPr>
                  <w:tcW w:w="750" w:type="pct"/>
                  <w:noWrap w:val="0"/>
                  <w:vAlign w:val="center"/>
                </w:tcPr>
                <w:p w14:paraId="06D4F5A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废水排放</w:t>
                  </w:r>
                </w:p>
              </w:tc>
              <w:tc>
                <w:tcPr>
                  <w:tcW w:w="1383" w:type="pct"/>
                  <w:noWrap w:val="0"/>
                  <w:vAlign w:val="center"/>
                </w:tcPr>
                <w:p w14:paraId="165DBD0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表示排放去向</w:t>
                  </w:r>
                </w:p>
              </w:tc>
            </w:tr>
            <w:tr w14:paraId="3ABE334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PrEx>
              <w:trPr>
                <w:trHeight w:val="397" w:hRule="atLeast"/>
                <w:jc w:val="center"/>
              </w:trPr>
              <w:tc>
                <w:tcPr>
                  <w:tcW w:w="483" w:type="pct"/>
                  <w:noWrap w:val="0"/>
                  <w:vAlign w:val="center"/>
                </w:tcPr>
                <w:p w14:paraId="0438A97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2</w:t>
                  </w:r>
                </w:p>
              </w:tc>
              <w:tc>
                <w:tcPr>
                  <w:tcW w:w="1266" w:type="pct"/>
                  <w:noWrap w:val="0"/>
                  <w:vAlign w:val="center"/>
                </w:tcPr>
                <w:p w14:paraId="5D2B23C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pict>
                      <v:shape id="_x0000_i1036" o:spt="75" alt="timg" type="#_x0000_t75" style="height:50.3pt;width:51.35pt;" filled="f" o:preferrelative="t" stroked="f" coordsize="21600,21600">
                        <v:path/>
                        <v:fill on="f" focussize="0,0"/>
                        <v:stroke on="f"/>
                        <v:imagedata r:id="rId35" o:title="timg"/>
                        <o:lock v:ext="edit" aspectratio="t"/>
                        <w10:wrap type="none"/>
                        <w10:anchorlock/>
                      </v:shape>
                    </w:pict>
                  </w:r>
                </w:p>
              </w:tc>
              <w:tc>
                <w:tcPr>
                  <w:tcW w:w="1115" w:type="pct"/>
                  <w:noWrap w:val="0"/>
                  <w:vAlign w:val="center"/>
                </w:tcPr>
                <w:p w14:paraId="5E01011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pict>
                      <v:shape id="_x0000_i1037" o:spt="75" alt="timg" type="#_x0000_t75" style="height:39.65pt;width:44.25pt;" filled="f" o:preferrelative="t" stroked="f" coordsize="21600,21600">
                        <v:path/>
                        <v:fill on="f" focussize="0,0"/>
                        <v:stroke on="f"/>
                        <v:imagedata r:id="rId36" o:title="timg"/>
                        <o:lock v:ext="edit" aspectratio="t"/>
                        <w10:wrap type="none"/>
                        <w10:anchorlock/>
                      </v:shape>
                    </w:pict>
                  </w:r>
                </w:p>
              </w:tc>
              <w:tc>
                <w:tcPr>
                  <w:tcW w:w="750" w:type="pct"/>
                  <w:noWrap w:val="0"/>
                  <w:vAlign w:val="center"/>
                </w:tcPr>
                <w:p w14:paraId="61A2ADC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废气排放</w:t>
                  </w:r>
                </w:p>
              </w:tc>
              <w:tc>
                <w:tcPr>
                  <w:tcW w:w="1383" w:type="pct"/>
                  <w:noWrap w:val="0"/>
                  <w:vAlign w:val="center"/>
                </w:tcPr>
                <w:p w14:paraId="20A396B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简介：废气排放口警告图形符号废气排放口表示废气向大气环境排放</w:t>
                  </w:r>
                </w:p>
              </w:tc>
            </w:tr>
            <w:tr w14:paraId="2A356B9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3" w:type="pct"/>
                  <w:noWrap w:val="0"/>
                  <w:vAlign w:val="center"/>
                </w:tcPr>
                <w:p w14:paraId="4D80D90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3</w:t>
                  </w:r>
                </w:p>
              </w:tc>
              <w:tc>
                <w:tcPr>
                  <w:tcW w:w="1266" w:type="pct"/>
                  <w:noWrap w:val="0"/>
                  <w:vAlign w:val="center"/>
                </w:tcPr>
                <w:p w14:paraId="2093F0E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pict>
                      <v:shape id="_x0000_i1038" o:spt="75" alt="timg" type="#_x0000_t75" style="height:50.4pt;width:49.15pt;" filled="f" o:preferrelative="t" stroked="f" coordsize="21600,21600">
                        <v:path/>
                        <v:fill on="f" focussize="0,0"/>
                        <v:stroke on="f"/>
                        <v:imagedata r:id="rId37" cropright="-3137f" o:title="timg"/>
                        <o:lock v:ext="edit" aspectratio="t"/>
                        <w10:wrap type="none"/>
                        <w10:anchorlock/>
                      </v:shape>
                    </w:pict>
                  </w:r>
                </w:p>
              </w:tc>
              <w:tc>
                <w:tcPr>
                  <w:tcW w:w="1115" w:type="pct"/>
                  <w:noWrap w:val="0"/>
                  <w:vAlign w:val="center"/>
                </w:tcPr>
                <w:p w14:paraId="2CA79E7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pict>
                      <v:shape id="_x0000_i1039" o:spt="75" alt="timg" type="#_x0000_t75" style="height:41.7pt;width:47.2pt;" filled="f" o:preferrelative="t" stroked="f" coordsize="21600,21600">
                        <v:path/>
                        <v:fill on="f" focussize="0,0"/>
                        <v:stroke on="f"/>
                        <v:imagedata r:id="rId38" o:title="timg"/>
                        <o:lock v:ext="edit" aspectratio="t"/>
                        <w10:wrap type="none"/>
                        <w10:anchorlock/>
                      </v:shape>
                    </w:pict>
                  </w:r>
                </w:p>
              </w:tc>
              <w:tc>
                <w:tcPr>
                  <w:tcW w:w="750" w:type="pct"/>
                  <w:noWrap w:val="0"/>
                  <w:vAlign w:val="center"/>
                </w:tcPr>
                <w:p w14:paraId="5477AF9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噪声排放源</w:t>
                  </w:r>
                </w:p>
              </w:tc>
              <w:tc>
                <w:tcPr>
                  <w:tcW w:w="1383" w:type="pct"/>
                  <w:noWrap w:val="0"/>
                  <w:vAlign w:val="center"/>
                </w:tcPr>
                <w:p w14:paraId="2332A1C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简介：噪声排放源</w:t>
                  </w:r>
                </w:p>
                <w:p w14:paraId="1929E3A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警告图形符号噪声排放源表示噪声向外环境排放</w:t>
                  </w:r>
                </w:p>
              </w:tc>
            </w:tr>
            <w:tr w14:paraId="33F1AE9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3" w:type="pct"/>
                  <w:noWrap w:val="0"/>
                  <w:vAlign w:val="center"/>
                </w:tcPr>
                <w:p w14:paraId="4B7507D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4</w:t>
                  </w:r>
                </w:p>
              </w:tc>
              <w:tc>
                <w:tcPr>
                  <w:tcW w:w="1266" w:type="pct"/>
                  <w:noWrap w:val="0"/>
                  <w:vAlign w:val="center"/>
                </w:tcPr>
                <w:p w14:paraId="6965F2A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pict>
                      <v:shape id="_x0000_i1040" o:spt="75" alt="timg" type="#_x0000_t75" style="height:46.05pt;width:49.15pt;" filled="f" o:preferrelative="t" stroked="f" coordsize="21600,21600">
                        <v:path/>
                        <v:fill on="f" focussize="0,0"/>
                        <v:stroke on="f"/>
                        <v:imagedata r:id="rId39" o:title="timg"/>
                        <o:lock v:ext="edit" aspectratio="t"/>
                        <w10:wrap type="none"/>
                        <w10:anchorlock/>
                      </v:shape>
                    </w:pict>
                  </w:r>
                </w:p>
              </w:tc>
              <w:tc>
                <w:tcPr>
                  <w:tcW w:w="1115" w:type="pct"/>
                  <w:noWrap w:val="0"/>
                  <w:vAlign w:val="center"/>
                </w:tcPr>
                <w:p w14:paraId="12B9ED2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pict>
                      <v:shape id="_x0000_i1041" o:spt="75" alt="timg" type="#_x0000_t75" style="height:41.65pt;width:44.3pt;" filled="f" o:preferrelative="t" stroked="f" coordsize="21600,21600">
                        <v:path/>
                        <v:fill on="f" focussize="0,0"/>
                        <v:stroke on="f"/>
                        <v:imagedata r:id="rId40" o:title="timg"/>
                        <o:lock v:ext="edit" aspectratio="t"/>
                        <w10:wrap type="none"/>
                        <w10:anchorlock/>
                      </v:shape>
                    </w:pict>
                  </w:r>
                </w:p>
              </w:tc>
              <w:tc>
                <w:tcPr>
                  <w:tcW w:w="750" w:type="pct"/>
                  <w:noWrap w:val="0"/>
                  <w:vAlign w:val="center"/>
                </w:tcPr>
                <w:p w14:paraId="4DB333B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一般固体废物</w:t>
                  </w:r>
                </w:p>
              </w:tc>
              <w:tc>
                <w:tcPr>
                  <w:tcW w:w="1383" w:type="pct"/>
                  <w:noWrap w:val="0"/>
                  <w:vAlign w:val="center"/>
                </w:tcPr>
                <w:p w14:paraId="2840A4F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简介：表示一般固废贮存、处置场</w:t>
                  </w:r>
                </w:p>
              </w:tc>
            </w:tr>
            <w:tr w14:paraId="189262D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3" w:type="pct"/>
                  <w:noWrap w:val="0"/>
                  <w:vAlign w:val="center"/>
                </w:tcPr>
                <w:p w14:paraId="3CE3314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5</w:t>
                  </w:r>
                </w:p>
              </w:tc>
              <w:tc>
                <w:tcPr>
                  <w:tcW w:w="1266" w:type="pct"/>
                  <w:noWrap w:val="0"/>
                  <w:vAlign w:val="center"/>
                </w:tcPr>
                <w:p w14:paraId="4B2285A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1115" w:type="pct"/>
                  <w:noWrap w:val="0"/>
                  <w:vAlign w:val="center"/>
                </w:tcPr>
                <w:p w14:paraId="36D5B2E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pict>
                      <v:shape id="_x0000_i1042" o:spt="75" alt="640" type="#_x0000_t75" style="height:43.75pt;width:48.5pt;" filled="f" o:preferrelative="t" stroked="f" coordsize="21600,21600">
                        <v:path/>
                        <v:fill on="f" focussize="0,0"/>
                        <v:stroke on="f"/>
                        <v:imagedata r:id="rId41" o:title="640"/>
                        <o:lock v:ext="edit" aspectratio="t"/>
                        <w10:wrap type="none"/>
                        <w10:anchorlock/>
                      </v:shape>
                    </w:pict>
                  </w:r>
                </w:p>
              </w:tc>
              <w:tc>
                <w:tcPr>
                  <w:tcW w:w="1261" w:type="dxa"/>
                  <w:noWrap w:val="0"/>
                  <w:vAlign w:val="center"/>
                </w:tcPr>
                <w:p w14:paraId="7F7E304B">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危险固体废物</w:t>
                  </w:r>
                </w:p>
              </w:tc>
              <w:tc>
                <w:tcPr>
                  <w:tcW w:w="2327" w:type="dxa"/>
                  <w:noWrap w:val="0"/>
                  <w:vAlign w:val="center"/>
                </w:tcPr>
                <w:p w14:paraId="423A7B51">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表示危险废物贮存、处置场</w:t>
                  </w:r>
                </w:p>
              </w:tc>
            </w:tr>
          </w:tbl>
          <w:p w14:paraId="5EC71E22">
            <w:pPr>
              <w:keepNext w:val="0"/>
              <w:keepLines w:val="0"/>
              <w:suppressLineNumbers w:val="0"/>
              <w:autoSpaceDN w:val="0"/>
              <w:spacing w:before="0" w:beforeAutospacing="0" w:after="0" w:afterAutospacing="0" w:line="440" w:lineRule="exact"/>
              <w:ind w:left="0" w:right="0" w:firstLine="480" w:firstLineChars="200"/>
              <w:jc w:val="both"/>
              <w:textAlignment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 xml:space="preserve">固体废物堆放场所规范化：本项目固体废物应按照固废处理相关规定加强管理，应加强暂存期间的管理，存放场应采取严格的防渗、防流失措施，并在存放场边界和进出口位置设置环保标志牌。环境保护图形标志牌设置位置应距固体废物贮存（堆放）场较近且醒目处，并能长久保留。危险废物贮存（堆放）场应设置警告性环境保护图形标志牌。 </w:t>
            </w:r>
          </w:p>
          <w:p w14:paraId="13108791">
            <w:pPr>
              <w:keepNext w:val="0"/>
              <w:keepLines w:val="0"/>
              <w:suppressLineNumbers w:val="0"/>
              <w:autoSpaceDN w:val="0"/>
              <w:spacing w:before="0" w:beforeAutospacing="0" w:after="0" w:afterAutospacing="0" w:line="440" w:lineRule="exact"/>
              <w:ind w:left="0" w:right="0" w:firstLine="482" w:firstLineChars="200"/>
              <w:jc w:val="both"/>
              <w:textAlignment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3、竣工环境保护验收</w:t>
            </w:r>
          </w:p>
          <w:p w14:paraId="10B19C78">
            <w:pPr>
              <w:keepNext w:val="0"/>
              <w:keepLines w:val="0"/>
              <w:suppressLineNumbers w:val="0"/>
              <w:adjustRightInd w:val="0"/>
              <w:spacing w:before="0" w:beforeAutospacing="0" w:after="0" w:afterAutospacing="0" w:line="440" w:lineRule="exact"/>
              <w:ind w:left="0" w:right="0" w:firstLine="480" w:firstLineChars="200"/>
              <w:jc w:val="both"/>
              <w:rPr>
                <w:rFonts w:hint="default" w:ascii="Times New Roman" w:hAnsi="Times New Roman" w:eastAsia="宋体" w:cs="Times New Roman"/>
                <w:color w:val="0000FF"/>
              </w:rPr>
            </w:pPr>
            <w:r>
              <w:rPr>
                <w:rFonts w:hint="default" w:ascii="Times New Roman" w:hAnsi="Times New Roman" w:eastAsia="宋体" w:cs="Times New Roman"/>
                <w:color w:val="auto"/>
                <w:sz w:val="24"/>
              </w:rPr>
              <w:t>根据《建设项目竣工环境保护验收暂行办法》有关要求，建设项目竣工后，建设单位应当如实查验、监测、记载建设项目环境保护设施的建设和调试情况，编制验收监测（调查）报告，向主管部门申请竣工环境保护验收。</w:t>
            </w:r>
          </w:p>
          <w:p w14:paraId="7C5D6CB5">
            <w:pPr>
              <w:keepNext w:val="0"/>
              <w:keepLines w:val="0"/>
              <w:suppressLineNumbers w:val="0"/>
              <w:adjustRightInd w:val="0"/>
              <w:spacing w:before="0" w:beforeAutospacing="0" w:after="0" w:afterAutospacing="0" w:line="360" w:lineRule="exact"/>
              <w:ind w:left="0" w:right="0"/>
              <w:jc w:val="both"/>
              <w:rPr>
                <w:rFonts w:hint="default" w:ascii="Times New Roman" w:hAnsi="Times New Roman" w:eastAsia="宋体" w:cs="Times New Roman"/>
                <w:color w:val="0000FF"/>
              </w:rPr>
            </w:pPr>
          </w:p>
          <w:p w14:paraId="0422859C">
            <w:pPr>
              <w:keepNext w:val="0"/>
              <w:keepLines w:val="0"/>
              <w:suppressLineNumbers w:val="0"/>
              <w:adjustRightInd w:val="0"/>
              <w:spacing w:before="0" w:beforeAutospacing="0" w:after="0" w:afterAutospacing="0" w:line="360" w:lineRule="exact"/>
              <w:ind w:left="0" w:right="0"/>
              <w:jc w:val="both"/>
              <w:rPr>
                <w:rFonts w:hint="default" w:ascii="Times New Roman" w:hAnsi="Times New Roman" w:eastAsia="宋体" w:cs="Times New Roman"/>
                <w:color w:val="0000FF"/>
              </w:rPr>
            </w:pPr>
          </w:p>
          <w:p w14:paraId="62B8BB56">
            <w:pPr>
              <w:keepNext w:val="0"/>
              <w:keepLines w:val="0"/>
              <w:suppressLineNumbers w:val="0"/>
              <w:adjustRightInd w:val="0"/>
              <w:spacing w:before="0" w:beforeAutospacing="0" w:after="0" w:afterAutospacing="0" w:line="360" w:lineRule="exact"/>
              <w:ind w:left="0" w:right="0"/>
              <w:jc w:val="both"/>
              <w:rPr>
                <w:rFonts w:hint="default" w:ascii="Times New Roman" w:hAnsi="Times New Roman" w:eastAsia="宋体" w:cs="Times New Roman"/>
                <w:color w:val="0000FF"/>
              </w:rPr>
            </w:pPr>
          </w:p>
        </w:tc>
      </w:tr>
    </w:tbl>
    <w:p w14:paraId="604CF42A">
      <w:pPr>
        <w:pStyle w:val="46"/>
        <w:spacing w:before="120" w:beforeLines="50" w:beforeAutospacing="0" w:after="0" w:afterAutospacing="0" w:line="360" w:lineRule="auto"/>
        <w:jc w:val="center"/>
        <w:outlineLvl w:val="0"/>
        <w:rPr>
          <w:rFonts w:hint="default" w:ascii="Times New Roman" w:hAnsi="Times New Roman" w:eastAsia="宋体" w:cs="Times New Roman"/>
          <w:snapToGrid w:val="0"/>
          <w:color w:val="0000FF"/>
        </w:rPr>
        <w:sectPr>
          <w:headerReference r:id="rId11" w:type="default"/>
          <w:pgSz w:w="11906" w:h="16838"/>
          <w:pgMar w:top="1588" w:right="1417" w:bottom="1440" w:left="1440" w:header="851" w:footer="851" w:gutter="0"/>
          <w:pgBorders>
            <w:top w:val="none" w:sz="0" w:space="0"/>
            <w:left w:val="none" w:sz="0" w:space="0"/>
            <w:bottom w:val="none" w:sz="0" w:space="0"/>
            <w:right w:val="none" w:sz="0" w:space="0"/>
          </w:pgBorders>
          <w:pgNumType w:fmt="numberInDash"/>
          <w:cols w:space="720" w:num="1"/>
          <w:docGrid w:linePitch="312" w:charSpace="0"/>
        </w:sectPr>
      </w:pPr>
    </w:p>
    <w:p w14:paraId="1246863F">
      <w:pPr>
        <w:pStyle w:val="46"/>
        <w:spacing w:before="120" w:beforeLines="50" w:beforeAutospacing="0" w:after="0" w:afterAutospacing="0" w:line="360" w:lineRule="auto"/>
        <w:jc w:val="center"/>
        <w:outlineLvl w:val="0"/>
        <w:rPr>
          <w:rFonts w:hint="default" w:ascii="Times New Roman" w:hAnsi="Times New Roman" w:eastAsia="宋体" w:cs="Times New Roman"/>
          <w:b/>
          <w:snapToGrid w:val="0"/>
          <w:color w:val="auto"/>
          <w:sz w:val="30"/>
          <w:szCs w:val="30"/>
        </w:rPr>
      </w:pPr>
      <w:bookmarkStart w:id="15" w:name="_Toc120118377"/>
      <w:r>
        <w:rPr>
          <w:rFonts w:hint="default" w:ascii="Times New Roman" w:hAnsi="Times New Roman" w:eastAsia="宋体" w:cs="Times New Roman"/>
          <w:b/>
          <w:snapToGrid w:val="0"/>
          <w:color w:val="auto"/>
          <w:sz w:val="28"/>
          <w:szCs w:val="28"/>
        </w:rPr>
        <w:t>六、结论</w:t>
      </w:r>
      <w:bookmarkEnd w:id="15"/>
    </w:p>
    <w:tbl>
      <w:tblPr>
        <w:tblStyle w:val="52"/>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9242"/>
      </w:tblGrid>
      <w:tr w14:paraId="67C8F1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960" w:hRule="atLeast"/>
          <w:jc w:val="center"/>
        </w:trPr>
        <w:tc>
          <w:tcPr>
            <w:tcW w:w="5000" w:type="pct"/>
            <w:noWrap w:val="0"/>
            <w:vAlign w:val="top"/>
          </w:tcPr>
          <w:p w14:paraId="39829057">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bCs/>
                <w:color w:val="0000FF"/>
                <w:sz w:val="24"/>
              </w:rPr>
            </w:pPr>
          </w:p>
          <w:p w14:paraId="0767D40E">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color w:val="auto"/>
                <w:sz w:val="24"/>
              </w:rPr>
            </w:pPr>
            <w:r>
              <w:rPr>
                <w:rFonts w:hint="eastAsia" w:ascii="Times New Roman" w:hAnsi="Times New Roman" w:cs="Times New Roman"/>
                <w:bCs/>
                <w:color w:val="auto"/>
                <w:sz w:val="24"/>
                <w:lang w:val="en-US" w:eastAsia="zh-CN"/>
              </w:rPr>
              <w:t>淮南市双威热处理有限公司</w:t>
            </w:r>
            <w:r>
              <w:rPr>
                <w:rFonts w:hint="default" w:ascii="Times New Roman" w:hAnsi="Times New Roman" w:cs="Times New Roman"/>
                <w:bCs/>
                <w:color w:val="auto"/>
                <w:sz w:val="24"/>
                <w:lang w:val="en-US" w:eastAsia="zh-CN"/>
              </w:rPr>
              <w:t>汽车零配件热处理生产线项目</w:t>
            </w:r>
            <w:r>
              <w:rPr>
                <w:rFonts w:hint="default" w:ascii="Times New Roman" w:hAnsi="Times New Roman" w:eastAsia="宋体" w:cs="Times New Roman"/>
                <w:color w:val="auto"/>
                <w:sz w:val="24"/>
              </w:rPr>
              <w:t>选址位于</w:t>
            </w:r>
            <w:r>
              <w:rPr>
                <w:rFonts w:hint="eastAsia" w:ascii="Times New Roman" w:hAnsi="Times New Roman" w:cs="Times New Roman"/>
                <w:color w:val="auto"/>
                <w:sz w:val="24"/>
                <w:lang w:val="en-US" w:eastAsia="zh-CN"/>
              </w:rPr>
              <w:t>淮南</w:t>
            </w:r>
            <w:r>
              <w:rPr>
                <w:rFonts w:hint="eastAsia" w:ascii="Times New Roman" w:hAnsi="Times New Roman" w:eastAsia="宋体" w:cs="Times New Roman"/>
                <w:color w:val="auto"/>
                <w:sz w:val="24"/>
                <w:lang w:val="en-US" w:eastAsia="zh-CN"/>
              </w:rPr>
              <w:t>市经开区华兴路东侧、庆兴北侧智慧显示产业园</w:t>
            </w:r>
            <w:r>
              <w:rPr>
                <w:rFonts w:hint="eastAsia" w:ascii="Times New Roman" w:hAnsi="Times New Roman" w:cs="Times New Roman"/>
                <w:color w:val="auto"/>
                <w:sz w:val="24"/>
                <w:lang w:val="en-US" w:eastAsia="zh-CN"/>
              </w:rPr>
              <w:t>5#</w:t>
            </w:r>
            <w:r>
              <w:rPr>
                <w:rFonts w:hint="eastAsia" w:ascii="Times New Roman" w:hAnsi="Times New Roman" w:eastAsia="宋体" w:cs="Times New Roman"/>
                <w:color w:val="auto"/>
                <w:sz w:val="24"/>
                <w:lang w:val="en-US" w:eastAsia="zh-CN"/>
              </w:rPr>
              <w:t>厂房</w:t>
            </w:r>
            <w:r>
              <w:rPr>
                <w:rFonts w:hint="eastAsia" w:ascii="Times New Roman" w:hAnsi="Times New Roman" w:cs="Times New Roman"/>
                <w:color w:val="auto"/>
                <w:sz w:val="24"/>
                <w:lang w:val="en-US" w:eastAsia="zh-CN"/>
              </w:rPr>
              <w:t>（西侧区域）</w:t>
            </w:r>
            <w:r>
              <w:rPr>
                <w:rFonts w:hint="default" w:ascii="Times New Roman" w:hAnsi="Times New Roman" w:eastAsia="宋体" w:cs="Times New Roman"/>
                <w:color w:val="auto"/>
                <w:sz w:val="24"/>
              </w:rPr>
              <w:t>，项目建设符合国家产业政策和</w:t>
            </w:r>
            <w:r>
              <w:rPr>
                <w:rFonts w:hint="eastAsia" w:ascii="Times New Roman" w:hAnsi="Times New Roman" w:cs="Times New Roman"/>
                <w:color w:val="auto"/>
                <w:sz w:val="24"/>
                <w:lang w:val="en-US" w:eastAsia="zh-CN"/>
              </w:rPr>
              <w:t>地方产业政策</w:t>
            </w:r>
            <w:r>
              <w:rPr>
                <w:rFonts w:hint="default" w:ascii="Times New Roman" w:hAnsi="Times New Roman" w:eastAsia="宋体" w:cs="Times New Roman"/>
                <w:color w:val="auto"/>
                <w:sz w:val="24"/>
              </w:rPr>
              <w:t>，选址可行。在落实报告中提出的各项环保措施前提下，可实现污染物达标排放，排放的主要污染物量符合总量控制指标要求。项目建设对环境的不利影响可得到有效控制和缓解，不会降低评价区域原有环境质量功能级别，因而从环境影响角度而言，该项目建设可行。</w:t>
            </w:r>
          </w:p>
          <w:p w14:paraId="6E8892B4">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color w:val="0000FF"/>
                <w:sz w:val="24"/>
              </w:rPr>
            </w:pPr>
          </w:p>
          <w:p w14:paraId="00BF5344">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color w:val="0000FF"/>
                <w:sz w:val="24"/>
              </w:rPr>
            </w:pPr>
          </w:p>
          <w:p w14:paraId="5F9347A7">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color w:val="0000FF"/>
                <w:sz w:val="24"/>
              </w:rPr>
            </w:pPr>
          </w:p>
          <w:p w14:paraId="7F42B6C6">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color w:val="0000FF"/>
                <w:sz w:val="24"/>
              </w:rPr>
            </w:pPr>
          </w:p>
          <w:p w14:paraId="4D37A46C">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color w:val="0000FF"/>
                <w:sz w:val="24"/>
              </w:rPr>
            </w:pPr>
          </w:p>
          <w:p w14:paraId="43047109">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color w:val="0000FF"/>
                <w:sz w:val="24"/>
              </w:rPr>
            </w:pPr>
          </w:p>
          <w:p w14:paraId="7D0654DC">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color w:val="0000FF"/>
                <w:sz w:val="24"/>
              </w:rPr>
            </w:pPr>
          </w:p>
          <w:p w14:paraId="64B9C5F1">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color w:val="0000FF"/>
                <w:sz w:val="24"/>
              </w:rPr>
            </w:pPr>
          </w:p>
          <w:p w14:paraId="586F2C87">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color w:val="0000FF"/>
                <w:sz w:val="24"/>
              </w:rPr>
            </w:pPr>
          </w:p>
          <w:p w14:paraId="118B875C">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color w:val="0000FF"/>
                <w:sz w:val="24"/>
              </w:rPr>
            </w:pPr>
          </w:p>
          <w:p w14:paraId="09C3276F">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color w:val="0000FF"/>
                <w:sz w:val="24"/>
              </w:rPr>
            </w:pPr>
          </w:p>
          <w:p w14:paraId="5EE04285">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color w:val="0000FF"/>
                <w:sz w:val="24"/>
              </w:rPr>
            </w:pPr>
          </w:p>
          <w:p w14:paraId="55D77477">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color w:val="0000FF"/>
                <w:sz w:val="24"/>
              </w:rPr>
            </w:pPr>
          </w:p>
          <w:p w14:paraId="0CD51DEE">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color w:val="0000FF"/>
                <w:sz w:val="24"/>
              </w:rPr>
            </w:pPr>
          </w:p>
          <w:p w14:paraId="3D5E1871">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color w:val="0000FF"/>
                <w:sz w:val="24"/>
              </w:rPr>
            </w:pPr>
          </w:p>
          <w:p w14:paraId="067C3EE1">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color w:val="0000FF"/>
                <w:sz w:val="24"/>
              </w:rPr>
            </w:pPr>
          </w:p>
          <w:p w14:paraId="73C6211A">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color w:val="0000FF"/>
                <w:sz w:val="24"/>
              </w:rPr>
            </w:pPr>
          </w:p>
          <w:p w14:paraId="75B0619B">
            <w:pPr>
              <w:keepNext w:val="0"/>
              <w:keepLines w:val="0"/>
              <w:suppressLineNumbers w:val="0"/>
              <w:spacing w:before="0" w:beforeAutospacing="0" w:after="0" w:afterAutospacing="0" w:line="460" w:lineRule="exact"/>
              <w:ind w:left="0" w:right="0"/>
              <w:rPr>
                <w:rFonts w:hint="default" w:ascii="Times New Roman" w:hAnsi="Times New Roman" w:eastAsia="宋体" w:cs="Times New Roman"/>
                <w:color w:val="0000FF"/>
                <w:sz w:val="24"/>
              </w:rPr>
            </w:pPr>
          </w:p>
          <w:p w14:paraId="112AAF93">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宋体" w:cs="Times New Roman"/>
                <w:color w:val="0000FF"/>
                <w:sz w:val="24"/>
              </w:rPr>
            </w:pPr>
          </w:p>
          <w:p w14:paraId="45B9EB6F">
            <w:pPr>
              <w:keepNext w:val="0"/>
              <w:keepLines w:val="0"/>
              <w:suppressLineNumbers w:val="0"/>
              <w:spacing w:before="0" w:beforeAutospacing="0" w:after="0" w:afterAutospacing="0" w:line="460" w:lineRule="exact"/>
              <w:ind w:left="0" w:right="0"/>
              <w:rPr>
                <w:rFonts w:hint="default" w:ascii="Times New Roman" w:hAnsi="Times New Roman" w:eastAsia="宋体" w:cs="Times New Roman"/>
                <w:color w:val="0000FF"/>
                <w:sz w:val="24"/>
              </w:rPr>
            </w:pPr>
          </w:p>
        </w:tc>
      </w:tr>
    </w:tbl>
    <w:p w14:paraId="086C21DD">
      <w:pPr>
        <w:rPr>
          <w:rFonts w:hint="default" w:ascii="Times New Roman" w:hAnsi="Times New Roman" w:eastAsia="宋体" w:cs="Times New Roman"/>
          <w:color w:val="0000FF"/>
        </w:rPr>
        <w:sectPr>
          <w:headerReference r:id="rId12" w:type="default"/>
          <w:pgSz w:w="11906" w:h="16838"/>
          <w:pgMar w:top="1440" w:right="1440" w:bottom="1440" w:left="1440" w:header="851" w:footer="851" w:gutter="0"/>
          <w:pgBorders>
            <w:top w:val="none" w:sz="0" w:space="0"/>
            <w:left w:val="none" w:sz="0" w:space="0"/>
            <w:bottom w:val="none" w:sz="0" w:space="0"/>
            <w:right w:val="none" w:sz="0" w:space="0"/>
          </w:pgBorders>
          <w:pgNumType w:fmt="numberInDash"/>
          <w:cols w:space="720" w:num="1"/>
          <w:docGrid w:linePitch="312" w:charSpace="0"/>
        </w:sectPr>
      </w:pPr>
    </w:p>
    <w:p w14:paraId="795F1A54">
      <w:pPr>
        <w:pStyle w:val="46"/>
        <w:adjustRightInd w:val="0"/>
        <w:snapToGrid w:val="0"/>
        <w:spacing w:before="0" w:beforeAutospacing="0" w:after="0" w:afterAutospacing="0" w:line="460" w:lineRule="exact"/>
        <w:jc w:val="both"/>
        <w:outlineLvl w:val="0"/>
        <w:rPr>
          <w:rFonts w:hint="default" w:ascii="Times New Roman" w:hAnsi="Times New Roman" w:eastAsia="宋体" w:cs="Times New Roman"/>
          <w:b/>
          <w:snapToGrid w:val="0"/>
          <w:color w:val="auto"/>
          <w:sz w:val="24"/>
          <w:szCs w:val="24"/>
        </w:rPr>
      </w:pPr>
      <w:bookmarkStart w:id="16" w:name="_Toc120118378"/>
      <w:r>
        <w:rPr>
          <w:rFonts w:hint="default" w:ascii="Times New Roman" w:hAnsi="Times New Roman" w:eastAsia="宋体" w:cs="Times New Roman"/>
          <w:b/>
          <w:snapToGrid w:val="0"/>
          <w:color w:val="auto"/>
          <w:sz w:val="24"/>
          <w:szCs w:val="24"/>
        </w:rPr>
        <w:t>附表</w:t>
      </w:r>
      <w:bookmarkEnd w:id="16"/>
    </w:p>
    <w:p w14:paraId="40A12300">
      <w:pPr>
        <w:spacing w:line="240" w:lineRule="auto"/>
        <w:jc w:val="center"/>
        <w:rPr>
          <w:rFonts w:hint="default" w:ascii="Times New Roman" w:hAnsi="Times New Roman" w:eastAsia="宋体" w:cs="Times New Roman"/>
          <w:b/>
          <w:color w:val="auto"/>
          <w:sz w:val="24"/>
          <w:szCs w:val="24"/>
        </w:rPr>
      </w:pPr>
      <w:bookmarkStart w:id="17" w:name="_Toc67775558"/>
      <w:bookmarkStart w:id="18" w:name="_Toc76490905"/>
      <w:r>
        <w:rPr>
          <w:rFonts w:hint="default" w:ascii="Times New Roman" w:hAnsi="Times New Roman" w:eastAsia="宋体" w:cs="Times New Roman"/>
          <w:b/>
          <w:color w:val="auto"/>
          <w:sz w:val="24"/>
          <w:szCs w:val="24"/>
        </w:rPr>
        <w:t>建设项目污染物排放量汇总表</w:t>
      </w:r>
      <w:bookmarkEnd w:id="17"/>
      <w:r>
        <w:rPr>
          <w:rFonts w:hint="default" w:ascii="Times New Roman" w:hAnsi="Times New Roman" w:eastAsia="宋体" w:cs="Times New Roman"/>
          <w:b/>
          <w:color w:val="auto"/>
          <w:sz w:val="24"/>
          <w:szCs w:val="24"/>
        </w:rPr>
        <w:t xml:space="preserve">  单位：t/a</w:t>
      </w:r>
      <w:bookmarkEnd w:id="18"/>
    </w:p>
    <w:tbl>
      <w:tblPr>
        <w:tblStyle w:val="52"/>
        <w:tblW w:w="1429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912"/>
        <w:gridCol w:w="1560"/>
        <w:gridCol w:w="1387"/>
        <w:gridCol w:w="1743"/>
        <w:gridCol w:w="1690"/>
        <w:gridCol w:w="1360"/>
        <w:gridCol w:w="1743"/>
        <w:gridCol w:w="1637"/>
      </w:tblGrid>
      <w:tr w14:paraId="49CA5E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1260" w:type="dxa"/>
            <w:tcBorders>
              <w:tl2br w:val="single" w:color="auto" w:sz="4" w:space="0"/>
            </w:tcBorders>
            <w:noWrap w:val="0"/>
            <w:tcMar>
              <w:left w:w="28" w:type="dxa"/>
              <w:right w:w="28" w:type="dxa"/>
            </w:tcMar>
            <w:vAlign w:val="center"/>
          </w:tcPr>
          <w:p w14:paraId="2B50C2DB">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jc w:val="right"/>
              <w:rPr>
                <w:rFonts w:hint="default" w:ascii="Times New Roman" w:hAnsi="Times New Roman" w:eastAsia="宋体" w:cs="Times New Roman"/>
                <w:b/>
                <w:snapToGrid w:val="0"/>
                <w:color w:val="auto"/>
                <w:spacing w:val="-6"/>
                <w:kern w:val="21"/>
                <w:sz w:val="24"/>
                <w:szCs w:val="24"/>
                <w:lang w:val="en-US" w:eastAsia="zh-CN"/>
              </w:rPr>
            </w:pPr>
            <w:r>
              <w:rPr>
                <w:rFonts w:hint="default" w:ascii="Times New Roman" w:hAnsi="Times New Roman" w:eastAsia="宋体" w:cs="Times New Roman"/>
                <w:b/>
                <w:snapToGrid w:val="0"/>
                <w:color w:val="auto"/>
                <w:spacing w:val="-6"/>
                <w:kern w:val="21"/>
                <w:sz w:val="24"/>
                <w:szCs w:val="24"/>
                <w:lang w:val="en-US" w:eastAsia="zh-CN"/>
              </w:rPr>
              <w:t>项目</w:t>
            </w:r>
          </w:p>
          <w:p w14:paraId="6F9D36F0">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jc w:val="left"/>
              <w:rPr>
                <w:rFonts w:hint="default" w:ascii="Times New Roman" w:hAnsi="Times New Roman" w:eastAsia="宋体" w:cs="Times New Roman"/>
                <w:b/>
                <w:snapToGrid w:val="0"/>
                <w:color w:val="auto"/>
                <w:spacing w:val="-6"/>
                <w:kern w:val="21"/>
                <w:sz w:val="24"/>
                <w:szCs w:val="24"/>
                <w:lang w:val="en-US" w:eastAsia="zh-CN"/>
              </w:rPr>
            </w:pPr>
            <w:r>
              <w:rPr>
                <w:rFonts w:hint="default" w:ascii="Times New Roman" w:hAnsi="Times New Roman" w:eastAsia="宋体" w:cs="Times New Roman"/>
                <w:b/>
                <w:snapToGrid w:val="0"/>
                <w:color w:val="auto"/>
                <w:spacing w:val="-6"/>
                <w:kern w:val="21"/>
                <w:sz w:val="24"/>
                <w:szCs w:val="24"/>
                <w:lang w:val="en-US" w:eastAsia="zh-CN"/>
              </w:rPr>
              <w:t>分类</w:t>
            </w:r>
          </w:p>
        </w:tc>
        <w:tc>
          <w:tcPr>
            <w:tcW w:w="1912" w:type="dxa"/>
            <w:noWrap w:val="0"/>
            <w:tcMar>
              <w:left w:w="28" w:type="dxa"/>
              <w:right w:w="28" w:type="dxa"/>
            </w:tcMar>
            <w:vAlign w:val="center"/>
          </w:tcPr>
          <w:p w14:paraId="79080EAF">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rPr>
                <w:rFonts w:hint="default" w:ascii="Times New Roman" w:hAnsi="Times New Roman" w:eastAsia="宋体" w:cs="Times New Roman"/>
                <w:b/>
                <w:snapToGrid w:val="0"/>
                <w:color w:val="auto"/>
                <w:spacing w:val="-6"/>
                <w:kern w:val="21"/>
                <w:sz w:val="24"/>
                <w:szCs w:val="24"/>
                <w:lang w:val="en-US" w:eastAsia="zh-CN"/>
              </w:rPr>
            </w:pPr>
            <w:r>
              <w:rPr>
                <w:rFonts w:hint="default" w:ascii="Times New Roman" w:hAnsi="Times New Roman" w:eastAsia="宋体" w:cs="Times New Roman"/>
                <w:b/>
                <w:snapToGrid w:val="0"/>
                <w:color w:val="auto"/>
                <w:spacing w:val="-6"/>
                <w:kern w:val="21"/>
                <w:sz w:val="24"/>
                <w:szCs w:val="24"/>
                <w:lang w:val="en-US" w:eastAsia="zh-CN"/>
              </w:rPr>
              <w:t>污染物名称</w:t>
            </w:r>
          </w:p>
        </w:tc>
        <w:tc>
          <w:tcPr>
            <w:tcW w:w="1560" w:type="dxa"/>
            <w:noWrap w:val="0"/>
            <w:tcMar>
              <w:left w:w="28" w:type="dxa"/>
              <w:right w:w="28" w:type="dxa"/>
            </w:tcMar>
            <w:vAlign w:val="center"/>
          </w:tcPr>
          <w:p w14:paraId="7AF25FDF">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rPr>
                <w:rFonts w:hint="default" w:ascii="Times New Roman" w:hAnsi="Times New Roman" w:eastAsia="宋体" w:cs="Times New Roman"/>
                <w:b/>
                <w:snapToGrid w:val="0"/>
                <w:color w:val="auto"/>
                <w:spacing w:val="-6"/>
                <w:kern w:val="21"/>
                <w:sz w:val="24"/>
                <w:szCs w:val="24"/>
                <w:lang w:val="en-US" w:eastAsia="zh-CN"/>
              </w:rPr>
            </w:pPr>
            <w:r>
              <w:rPr>
                <w:rFonts w:hint="default" w:ascii="Times New Roman" w:hAnsi="Times New Roman" w:eastAsia="宋体" w:cs="Times New Roman"/>
                <w:b/>
                <w:snapToGrid w:val="0"/>
                <w:color w:val="auto"/>
                <w:spacing w:val="-6"/>
                <w:kern w:val="21"/>
                <w:sz w:val="24"/>
                <w:szCs w:val="24"/>
                <w:lang w:val="en-US" w:eastAsia="zh-CN"/>
              </w:rPr>
              <w:t>现有工程排放量（固体废物产生量）</w:t>
            </w:r>
            <w:r>
              <w:rPr>
                <w:rFonts w:hint="default" w:ascii="Times New Roman" w:hAnsi="Times New Roman" w:eastAsia="宋体" w:cs="Times New Roman"/>
                <w:b/>
                <w:snapToGrid w:val="0"/>
                <w:color w:val="auto"/>
                <w:spacing w:val="-6"/>
                <w:kern w:val="21"/>
                <w:sz w:val="24"/>
                <w:szCs w:val="24"/>
                <w:lang w:val="en-US" w:eastAsia="zh-CN"/>
              </w:rPr>
              <w:fldChar w:fldCharType="begin"/>
            </w:r>
            <w:r>
              <w:rPr>
                <w:rFonts w:hint="default" w:ascii="Times New Roman" w:hAnsi="Times New Roman" w:eastAsia="宋体" w:cs="Times New Roman"/>
                <w:b/>
                <w:snapToGrid w:val="0"/>
                <w:color w:val="auto"/>
                <w:spacing w:val="-6"/>
                <w:kern w:val="21"/>
                <w:sz w:val="24"/>
                <w:szCs w:val="24"/>
                <w:lang w:val="en-US" w:eastAsia="zh-CN"/>
              </w:rPr>
              <w:instrText xml:space="preserve"> = 1 \* GB3 \* MERGEFORMAT </w:instrText>
            </w:r>
            <w:r>
              <w:rPr>
                <w:rFonts w:hint="default" w:ascii="Times New Roman" w:hAnsi="Times New Roman" w:eastAsia="宋体" w:cs="Times New Roman"/>
                <w:b/>
                <w:snapToGrid w:val="0"/>
                <w:color w:val="auto"/>
                <w:spacing w:val="-6"/>
                <w:kern w:val="21"/>
                <w:sz w:val="24"/>
                <w:szCs w:val="24"/>
                <w:lang w:val="en-US" w:eastAsia="zh-CN"/>
              </w:rPr>
              <w:fldChar w:fldCharType="separate"/>
            </w:r>
            <w:r>
              <w:rPr>
                <w:rFonts w:hint="default" w:ascii="Times New Roman" w:hAnsi="Times New Roman" w:eastAsia="宋体" w:cs="Times New Roman"/>
                <w:b/>
                <w:color w:val="auto"/>
                <w:kern w:val="2"/>
                <w:sz w:val="24"/>
                <w:szCs w:val="24"/>
                <w:lang w:val="en-US" w:eastAsia="zh-CN"/>
              </w:rPr>
              <w:t>①</w:t>
            </w:r>
            <w:r>
              <w:rPr>
                <w:rFonts w:hint="default" w:ascii="Times New Roman" w:hAnsi="Times New Roman" w:eastAsia="宋体" w:cs="Times New Roman"/>
                <w:b/>
                <w:snapToGrid w:val="0"/>
                <w:color w:val="auto"/>
                <w:spacing w:val="-6"/>
                <w:kern w:val="21"/>
                <w:sz w:val="24"/>
                <w:szCs w:val="24"/>
                <w:lang w:val="en-US" w:eastAsia="zh-CN"/>
              </w:rPr>
              <w:fldChar w:fldCharType="end"/>
            </w:r>
          </w:p>
        </w:tc>
        <w:tc>
          <w:tcPr>
            <w:tcW w:w="1387" w:type="dxa"/>
            <w:noWrap w:val="0"/>
            <w:tcMar>
              <w:left w:w="28" w:type="dxa"/>
              <w:right w:w="28" w:type="dxa"/>
            </w:tcMar>
            <w:vAlign w:val="center"/>
          </w:tcPr>
          <w:p w14:paraId="469A791A">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rPr>
                <w:rFonts w:hint="default" w:ascii="Times New Roman" w:hAnsi="Times New Roman" w:eastAsia="宋体" w:cs="Times New Roman"/>
                <w:b/>
                <w:snapToGrid w:val="0"/>
                <w:color w:val="auto"/>
                <w:spacing w:val="-6"/>
                <w:kern w:val="21"/>
                <w:sz w:val="24"/>
                <w:szCs w:val="24"/>
                <w:lang w:val="en-US" w:eastAsia="zh-CN"/>
              </w:rPr>
            </w:pPr>
            <w:r>
              <w:rPr>
                <w:rFonts w:hint="default" w:ascii="Times New Roman" w:hAnsi="Times New Roman" w:eastAsia="宋体" w:cs="Times New Roman"/>
                <w:b/>
                <w:snapToGrid w:val="0"/>
                <w:color w:val="auto"/>
                <w:spacing w:val="-6"/>
                <w:kern w:val="21"/>
                <w:sz w:val="24"/>
                <w:szCs w:val="24"/>
                <w:lang w:val="en-US" w:eastAsia="zh-CN"/>
              </w:rPr>
              <w:t>现有工程</w:t>
            </w:r>
          </w:p>
          <w:p w14:paraId="2207C2BB">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rPr>
                <w:rFonts w:hint="default" w:ascii="Times New Roman" w:hAnsi="Times New Roman" w:eastAsia="宋体" w:cs="Times New Roman"/>
                <w:b/>
                <w:snapToGrid w:val="0"/>
                <w:color w:val="auto"/>
                <w:spacing w:val="-6"/>
                <w:kern w:val="21"/>
                <w:sz w:val="24"/>
                <w:szCs w:val="24"/>
                <w:lang w:val="en-US" w:eastAsia="zh-CN"/>
              </w:rPr>
            </w:pPr>
            <w:r>
              <w:rPr>
                <w:rFonts w:hint="default" w:ascii="Times New Roman" w:hAnsi="Times New Roman" w:eastAsia="宋体" w:cs="Times New Roman"/>
                <w:b/>
                <w:snapToGrid w:val="0"/>
                <w:color w:val="auto"/>
                <w:spacing w:val="-6"/>
                <w:kern w:val="21"/>
                <w:sz w:val="24"/>
                <w:szCs w:val="24"/>
                <w:lang w:val="en-US" w:eastAsia="zh-CN"/>
              </w:rPr>
              <w:t>许可排放量</w:t>
            </w:r>
          </w:p>
          <w:p w14:paraId="513022BC">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rPr>
                <w:rFonts w:hint="default" w:ascii="Times New Roman" w:hAnsi="Times New Roman" w:eastAsia="宋体" w:cs="Times New Roman"/>
                <w:b/>
                <w:snapToGrid w:val="0"/>
                <w:color w:val="auto"/>
                <w:spacing w:val="-6"/>
                <w:kern w:val="21"/>
                <w:sz w:val="24"/>
                <w:szCs w:val="24"/>
                <w:lang w:val="en-US" w:eastAsia="zh-CN"/>
              </w:rPr>
            </w:pPr>
            <w:r>
              <w:rPr>
                <w:rFonts w:hint="default" w:ascii="Times New Roman" w:hAnsi="Times New Roman" w:eastAsia="宋体" w:cs="Times New Roman"/>
                <w:b/>
                <w:snapToGrid w:val="0"/>
                <w:color w:val="auto"/>
                <w:spacing w:val="-6"/>
                <w:kern w:val="21"/>
                <w:sz w:val="24"/>
                <w:szCs w:val="24"/>
                <w:lang w:val="en-US" w:eastAsia="zh-CN"/>
              </w:rPr>
              <w:fldChar w:fldCharType="begin"/>
            </w:r>
            <w:r>
              <w:rPr>
                <w:rFonts w:hint="default" w:ascii="Times New Roman" w:hAnsi="Times New Roman" w:eastAsia="宋体" w:cs="Times New Roman"/>
                <w:b/>
                <w:snapToGrid w:val="0"/>
                <w:color w:val="auto"/>
                <w:spacing w:val="-6"/>
                <w:kern w:val="21"/>
                <w:sz w:val="24"/>
                <w:szCs w:val="24"/>
                <w:lang w:val="en-US" w:eastAsia="zh-CN"/>
              </w:rPr>
              <w:instrText xml:space="preserve"> = 2 \* GB3 \* MERGEFORMAT </w:instrText>
            </w:r>
            <w:r>
              <w:rPr>
                <w:rFonts w:hint="default" w:ascii="Times New Roman" w:hAnsi="Times New Roman" w:eastAsia="宋体" w:cs="Times New Roman"/>
                <w:b/>
                <w:snapToGrid w:val="0"/>
                <w:color w:val="auto"/>
                <w:spacing w:val="-6"/>
                <w:kern w:val="21"/>
                <w:sz w:val="24"/>
                <w:szCs w:val="24"/>
                <w:lang w:val="en-US" w:eastAsia="zh-CN"/>
              </w:rPr>
              <w:fldChar w:fldCharType="separate"/>
            </w:r>
            <w:r>
              <w:rPr>
                <w:rFonts w:hint="default" w:ascii="Times New Roman" w:hAnsi="Times New Roman" w:eastAsia="宋体" w:cs="Times New Roman"/>
                <w:b/>
                <w:snapToGrid w:val="0"/>
                <w:color w:val="auto"/>
                <w:spacing w:val="-6"/>
                <w:kern w:val="21"/>
                <w:sz w:val="24"/>
                <w:szCs w:val="24"/>
                <w:lang w:val="en-US" w:eastAsia="zh-CN"/>
              </w:rPr>
              <w:t>②</w:t>
            </w:r>
            <w:r>
              <w:rPr>
                <w:rFonts w:hint="default" w:ascii="Times New Roman" w:hAnsi="Times New Roman" w:eastAsia="宋体" w:cs="Times New Roman"/>
                <w:b/>
                <w:snapToGrid w:val="0"/>
                <w:color w:val="auto"/>
                <w:spacing w:val="-6"/>
                <w:kern w:val="21"/>
                <w:sz w:val="24"/>
                <w:szCs w:val="24"/>
                <w:lang w:val="en-US" w:eastAsia="zh-CN"/>
              </w:rPr>
              <w:fldChar w:fldCharType="end"/>
            </w:r>
          </w:p>
        </w:tc>
        <w:tc>
          <w:tcPr>
            <w:tcW w:w="1743" w:type="dxa"/>
            <w:noWrap w:val="0"/>
            <w:tcMar>
              <w:left w:w="28" w:type="dxa"/>
              <w:right w:w="28" w:type="dxa"/>
            </w:tcMar>
            <w:vAlign w:val="center"/>
          </w:tcPr>
          <w:p w14:paraId="72752452">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rPr>
                <w:rFonts w:hint="default" w:ascii="Times New Roman" w:hAnsi="Times New Roman" w:eastAsia="宋体" w:cs="Times New Roman"/>
                <w:b/>
                <w:snapToGrid w:val="0"/>
                <w:color w:val="auto"/>
                <w:spacing w:val="-6"/>
                <w:kern w:val="21"/>
                <w:sz w:val="24"/>
                <w:szCs w:val="24"/>
                <w:lang w:val="en-US" w:eastAsia="zh-CN"/>
              </w:rPr>
            </w:pPr>
            <w:r>
              <w:rPr>
                <w:rFonts w:hint="default" w:ascii="Times New Roman" w:hAnsi="Times New Roman" w:eastAsia="宋体" w:cs="Times New Roman"/>
                <w:b/>
                <w:snapToGrid w:val="0"/>
                <w:color w:val="auto"/>
                <w:spacing w:val="-6"/>
                <w:kern w:val="21"/>
                <w:sz w:val="24"/>
                <w:szCs w:val="24"/>
                <w:lang w:val="en-US" w:eastAsia="zh-CN"/>
              </w:rPr>
              <w:t>在建工程</w:t>
            </w:r>
          </w:p>
          <w:p w14:paraId="62EE10BD">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rPr>
                <w:rFonts w:hint="default" w:ascii="Times New Roman" w:hAnsi="Times New Roman" w:eastAsia="宋体" w:cs="Times New Roman"/>
                <w:b/>
                <w:snapToGrid w:val="0"/>
                <w:color w:val="auto"/>
                <w:spacing w:val="-6"/>
                <w:kern w:val="21"/>
                <w:sz w:val="24"/>
                <w:szCs w:val="24"/>
                <w:lang w:val="en-US" w:eastAsia="zh-CN"/>
              </w:rPr>
            </w:pPr>
            <w:r>
              <w:rPr>
                <w:rFonts w:hint="default" w:ascii="Times New Roman" w:hAnsi="Times New Roman" w:eastAsia="宋体" w:cs="Times New Roman"/>
                <w:b/>
                <w:snapToGrid w:val="0"/>
                <w:color w:val="auto"/>
                <w:spacing w:val="-6"/>
                <w:kern w:val="21"/>
                <w:sz w:val="24"/>
                <w:szCs w:val="24"/>
                <w:lang w:val="en-US" w:eastAsia="zh-CN"/>
              </w:rPr>
              <w:t>排放量（固体废物产生量）</w:t>
            </w:r>
            <w:r>
              <w:rPr>
                <w:rFonts w:hint="default" w:ascii="Times New Roman" w:hAnsi="Times New Roman" w:eastAsia="宋体" w:cs="Times New Roman"/>
                <w:b/>
                <w:snapToGrid w:val="0"/>
                <w:color w:val="auto"/>
                <w:spacing w:val="-6"/>
                <w:kern w:val="21"/>
                <w:sz w:val="24"/>
                <w:szCs w:val="24"/>
                <w:lang w:val="en-US" w:eastAsia="zh-CN"/>
              </w:rPr>
              <w:fldChar w:fldCharType="begin"/>
            </w:r>
            <w:r>
              <w:rPr>
                <w:rFonts w:hint="default" w:ascii="Times New Roman" w:hAnsi="Times New Roman" w:eastAsia="宋体" w:cs="Times New Roman"/>
                <w:b/>
                <w:snapToGrid w:val="0"/>
                <w:color w:val="auto"/>
                <w:spacing w:val="-6"/>
                <w:kern w:val="21"/>
                <w:sz w:val="24"/>
                <w:szCs w:val="24"/>
                <w:lang w:val="en-US" w:eastAsia="zh-CN"/>
              </w:rPr>
              <w:instrText xml:space="preserve"> = 3 \* GB3 \* MERGEFORMAT </w:instrText>
            </w:r>
            <w:r>
              <w:rPr>
                <w:rFonts w:hint="default" w:ascii="Times New Roman" w:hAnsi="Times New Roman" w:eastAsia="宋体" w:cs="Times New Roman"/>
                <w:b/>
                <w:snapToGrid w:val="0"/>
                <w:color w:val="auto"/>
                <w:spacing w:val="-6"/>
                <w:kern w:val="21"/>
                <w:sz w:val="24"/>
                <w:szCs w:val="24"/>
                <w:lang w:val="en-US" w:eastAsia="zh-CN"/>
              </w:rPr>
              <w:fldChar w:fldCharType="separate"/>
            </w:r>
            <w:r>
              <w:rPr>
                <w:rFonts w:hint="default" w:ascii="Times New Roman" w:hAnsi="Times New Roman" w:eastAsia="宋体" w:cs="Times New Roman"/>
                <w:b/>
                <w:color w:val="auto"/>
                <w:kern w:val="2"/>
                <w:sz w:val="24"/>
                <w:szCs w:val="24"/>
                <w:lang w:val="en-US" w:eastAsia="zh-CN"/>
              </w:rPr>
              <w:t>③</w:t>
            </w:r>
            <w:r>
              <w:rPr>
                <w:rFonts w:hint="default" w:ascii="Times New Roman" w:hAnsi="Times New Roman" w:eastAsia="宋体" w:cs="Times New Roman"/>
                <w:b/>
                <w:snapToGrid w:val="0"/>
                <w:color w:val="auto"/>
                <w:spacing w:val="-6"/>
                <w:kern w:val="21"/>
                <w:sz w:val="24"/>
                <w:szCs w:val="24"/>
                <w:lang w:val="en-US" w:eastAsia="zh-CN"/>
              </w:rPr>
              <w:fldChar w:fldCharType="end"/>
            </w:r>
          </w:p>
        </w:tc>
        <w:tc>
          <w:tcPr>
            <w:tcW w:w="1690" w:type="dxa"/>
            <w:noWrap w:val="0"/>
            <w:tcMar>
              <w:left w:w="28" w:type="dxa"/>
              <w:right w:w="28" w:type="dxa"/>
            </w:tcMar>
            <w:vAlign w:val="center"/>
          </w:tcPr>
          <w:p w14:paraId="5494AEB9">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rPr>
                <w:rFonts w:hint="default" w:ascii="Times New Roman" w:hAnsi="Times New Roman" w:eastAsia="宋体" w:cs="Times New Roman"/>
                <w:b/>
                <w:snapToGrid w:val="0"/>
                <w:color w:val="auto"/>
                <w:spacing w:val="-6"/>
                <w:kern w:val="21"/>
                <w:sz w:val="24"/>
                <w:szCs w:val="24"/>
                <w:lang w:val="en-US" w:eastAsia="zh-CN"/>
              </w:rPr>
            </w:pPr>
            <w:r>
              <w:rPr>
                <w:rFonts w:hint="default" w:ascii="Times New Roman" w:hAnsi="Times New Roman" w:eastAsia="宋体" w:cs="Times New Roman"/>
                <w:b/>
                <w:snapToGrid w:val="0"/>
                <w:color w:val="auto"/>
                <w:spacing w:val="-6"/>
                <w:kern w:val="21"/>
                <w:sz w:val="24"/>
                <w:szCs w:val="24"/>
                <w:lang w:val="en-US" w:eastAsia="zh-CN"/>
              </w:rPr>
              <w:t>本项目</w:t>
            </w:r>
          </w:p>
          <w:p w14:paraId="2BA48E17">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rPr>
                <w:rFonts w:hint="default" w:ascii="Times New Roman" w:hAnsi="Times New Roman" w:eastAsia="宋体" w:cs="Times New Roman"/>
                <w:b/>
                <w:snapToGrid w:val="0"/>
                <w:color w:val="auto"/>
                <w:spacing w:val="-6"/>
                <w:kern w:val="21"/>
                <w:sz w:val="24"/>
                <w:szCs w:val="24"/>
                <w:lang w:val="en-US" w:eastAsia="zh-CN"/>
              </w:rPr>
            </w:pPr>
            <w:r>
              <w:rPr>
                <w:rFonts w:hint="default" w:ascii="Times New Roman" w:hAnsi="Times New Roman" w:eastAsia="宋体" w:cs="Times New Roman"/>
                <w:b/>
                <w:snapToGrid w:val="0"/>
                <w:color w:val="auto"/>
                <w:spacing w:val="-6"/>
                <w:kern w:val="21"/>
                <w:sz w:val="24"/>
                <w:szCs w:val="24"/>
                <w:lang w:val="en-US" w:eastAsia="zh-CN"/>
              </w:rPr>
              <w:t>排放量（固体废物产生量）</w:t>
            </w:r>
            <w:r>
              <w:rPr>
                <w:rFonts w:hint="default" w:ascii="Times New Roman" w:hAnsi="Times New Roman" w:eastAsia="宋体" w:cs="Times New Roman"/>
                <w:b/>
                <w:snapToGrid w:val="0"/>
                <w:color w:val="auto"/>
                <w:spacing w:val="-6"/>
                <w:kern w:val="21"/>
                <w:sz w:val="24"/>
                <w:szCs w:val="24"/>
                <w:lang w:val="en-US" w:eastAsia="zh-CN"/>
              </w:rPr>
              <w:fldChar w:fldCharType="begin"/>
            </w:r>
            <w:r>
              <w:rPr>
                <w:rFonts w:hint="default" w:ascii="Times New Roman" w:hAnsi="Times New Roman" w:eastAsia="宋体" w:cs="Times New Roman"/>
                <w:b/>
                <w:snapToGrid w:val="0"/>
                <w:color w:val="auto"/>
                <w:spacing w:val="-6"/>
                <w:kern w:val="21"/>
                <w:sz w:val="24"/>
                <w:szCs w:val="24"/>
                <w:lang w:val="en-US" w:eastAsia="zh-CN"/>
              </w:rPr>
              <w:instrText xml:space="preserve"> = 4 \* GB3 \* MERGEFORMAT </w:instrText>
            </w:r>
            <w:r>
              <w:rPr>
                <w:rFonts w:hint="default" w:ascii="Times New Roman" w:hAnsi="Times New Roman" w:eastAsia="宋体" w:cs="Times New Roman"/>
                <w:b/>
                <w:snapToGrid w:val="0"/>
                <w:color w:val="auto"/>
                <w:spacing w:val="-6"/>
                <w:kern w:val="21"/>
                <w:sz w:val="24"/>
                <w:szCs w:val="24"/>
                <w:lang w:val="en-US" w:eastAsia="zh-CN"/>
              </w:rPr>
              <w:fldChar w:fldCharType="separate"/>
            </w:r>
            <w:r>
              <w:rPr>
                <w:rFonts w:hint="default" w:ascii="Times New Roman" w:hAnsi="Times New Roman" w:eastAsia="宋体" w:cs="Times New Roman"/>
                <w:b/>
                <w:color w:val="auto"/>
                <w:kern w:val="2"/>
                <w:sz w:val="24"/>
                <w:szCs w:val="24"/>
                <w:lang w:val="en-US" w:eastAsia="zh-CN"/>
              </w:rPr>
              <w:t>④</w:t>
            </w:r>
            <w:r>
              <w:rPr>
                <w:rFonts w:hint="default" w:ascii="Times New Roman" w:hAnsi="Times New Roman" w:eastAsia="宋体" w:cs="Times New Roman"/>
                <w:b/>
                <w:snapToGrid w:val="0"/>
                <w:color w:val="auto"/>
                <w:spacing w:val="-6"/>
                <w:kern w:val="21"/>
                <w:sz w:val="24"/>
                <w:szCs w:val="24"/>
                <w:lang w:val="en-US" w:eastAsia="zh-CN"/>
              </w:rPr>
              <w:fldChar w:fldCharType="end"/>
            </w:r>
          </w:p>
        </w:tc>
        <w:tc>
          <w:tcPr>
            <w:tcW w:w="1360" w:type="dxa"/>
            <w:noWrap w:val="0"/>
            <w:tcMar>
              <w:left w:w="28" w:type="dxa"/>
              <w:right w:w="28" w:type="dxa"/>
            </w:tcMar>
            <w:vAlign w:val="center"/>
          </w:tcPr>
          <w:p w14:paraId="1FB81784">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rPr>
                <w:rFonts w:hint="default" w:ascii="Times New Roman" w:hAnsi="Times New Roman" w:eastAsia="宋体" w:cs="Times New Roman"/>
                <w:b/>
                <w:snapToGrid w:val="0"/>
                <w:color w:val="auto"/>
                <w:spacing w:val="-16"/>
                <w:kern w:val="21"/>
                <w:sz w:val="24"/>
                <w:szCs w:val="24"/>
                <w:lang w:val="en-US" w:eastAsia="zh-CN"/>
              </w:rPr>
            </w:pPr>
            <w:r>
              <w:rPr>
                <w:rFonts w:hint="default" w:ascii="Times New Roman" w:hAnsi="Times New Roman" w:eastAsia="宋体" w:cs="Times New Roman"/>
                <w:b/>
                <w:snapToGrid w:val="0"/>
                <w:color w:val="auto"/>
                <w:spacing w:val="-16"/>
                <w:kern w:val="21"/>
                <w:sz w:val="24"/>
                <w:szCs w:val="24"/>
                <w:lang w:val="en-US" w:eastAsia="zh-CN"/>
              </w:rPr>
              <w:t>以新带老削减量（新建项目不填）</w:t>
            </w:r>
            <w:r>
              <w:rPr>
                <w:rFonts w:hint="default" w:ascii="Times New Roman" w:hAnsi="Times New Roman" w:eastAsia="宋体" w:cs="Times New Roman"/>
                <w:b/>
                <w:snapToGrid w:val="0"/>
                <w:color w:val="auto"/>
                <w:spacing w:val="-16"/>
                <w:kern w:val="21"/>
                <w:sz w:val="24"/>
                <w:szCs w:val="24"/>
                <w:lang w:val="en-US" w:eastAsia="zh-CN"/>
              </w:rPr>
              <w:fldChar w:fldCharType="begin"/>
            </w:r>
            <w:r>
              <w:rPr>
                <w:rFonts w:hint="default" w:ascii="Times New Roman" w:hAnsi="Times New Roman" w:eastAsia="宋体" w:cs="Times New Roman"/>
                <w:b/>
                <w:snapToGrid w:val="0"/>
                <w:color w:val="auto"/>
                <w:spacing w:val="-16"/>
                <w:kern w:val="21"/>
                <w:sz w:val="24"/>
                <w:szCs w:val="24"/>
                <w:lang w:val="en-US" w:eastAsia="zh-CN"/>
              </w:rPr>
              <w:instrText xml:space="preserve"> = 5 \* GB3 \* MERGEFORMAT </w:instrText>
            </w:r>
            <w:r>
              <w:rPr>
                <w:rFonts w:hint="default" w:ascii="Times New Roman" w:hAnsi="Times New Roman" w:eastAsia="宋体" w:cs="Times New Roman"/>
                <w:b/>
                <w:snapToGrid w:val="0"/>
                <w:color w:val="auto"/>
                <w:spacing w:val="-16"/>
                <w:kern w:val="21"/>
                <w:sz w:val="24"/>
                <w:szCs w:val="24"/>
                <w:lang w:val="en-US" w:eastAsia="zh-CN"/>
              </w:rPr>
              <w:fldChar w:fldCharType="separate"/>
            </w:r>
            <w:r>
              <w:rPr>
                <w:rFonts w:hint="default" w:ascii="Times New Roman" w:hAnsi="Times New Roman" w:eastAsia="宋体" w:cs="Times New Roman"/>
                <w:b/>
                <w:color w:val="auto"/>
                <w:kern w:val="2"/>
                <w:sz w:val="24"/>
                <w:szCs w:val="24"/>
                <w:lang w:val="en-US" w:eastAsia="zh-CN"/>
              </w:rPr>
              <w:t>⑤</w:t>
            </w:r>
            <w:r>
              <w:rPr>
                <w:rFonts w:hint="default" w:ascii="Times New Roman" w:hAnsi="Times New Roman" w:eastAsia="宋体" w:cs="Times New Roman"/>
                <w:b/>
                <w:snapToGrid w:val="0"/>
                <w:color w:val="auto"/>
                <w:spacing w:val="-16"/>
                <w:kern w:val="21"/>
                <w:sz w:val="24"/>
                <w:szCs w:val="24"/>
                <w:lang w:val="en-US" w:eastAsia="zh-CN"/>
              </w:rPr>
              <w:fldChar w:fldCharType="end"/>
            </w:r>
          </w:p>
        </w:tc>
        <w:tc>
          <w:tcPr>
            <w:tcW w:w="1743" w:type="dxa"/>
            <w:noWrap w:val="0"/>
            <w:tcMar>
              <w:left w:w="28" w:type="dxa"/>
              <w:right w:w="28" w:type="dxa"/>
            </w:tcMar>
            <w:vAlign w:val="center"/>
          </w:tcPr>
          <w:p w14:paraId="1DA64BAC">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rPr>
                <w:rFonts w:hint="default" w:ascii="Times New Roman" w:hAnsi="Times New Roman" w:eastAsia="宋体" w:cs="Times New Roman"/>
                <w:b/>
                <w:snapToGrid w:val="0"/>
                <w:color w:val="auto"/>
                <w:spacing w:val="-16"/>
                <w:kern w:val="21"/>
                <w:sz w:val="24"/>
                <w:szCs w:val="24"/>
                <w:lang w:val="en-US" w:eastAsia="zh-CN"/>
              </w:rPr>
            </w:pPr>
            <w:r>
              <w:rPr>
                <w:rFonts w:hint="default" w:ascii="Times New Roman" w:hAnsi="Times New Roman" w:eastAsia="宋体" w:cs="Times New Roman"/>
                <w:b/>
                <w:snapToGrid w:val="0"/>
                <w:color w:val="auto"/>
                <w:spacing w:val="-16"/>
                <w:kern w:val="21"/>
                <w:sz w:val="24"/>
                <w:szCs w:val="24"/>
                <w:lang w:val="en-US" w:eastAsia="zh-CN"/>
              </w:rPr>
              <w:t>本项目建成后</w:t>
            </w:r>
          </w:p>
          <w:p w14:paraId="1B15BB05">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rPr>
                <w:rFonts w:hint="default" w:ascii="Times New Roman" w:hAnsi="Times New Roman" w:eastAsia="宋体" w:cs="Times New Roman"/>
                <w:b/>
                <w:snapToGrid w:val="0"/>
                <w:color w:val="auto"/>
                <w:spacing w:val="-16"/>
                <w:kern w:val="21"/>
                <w:sz w:val="24"/>
                <w:szCs w:val="24"/>
                <w:lang w:val="en-US" w:eastAsia="zh-CN"/>
              </w:rPr>
            </w:pPr>
            <w:r>
              <w:rPr>
                <w:rFonts w:hint="default" w:ascii="Times New Roman" w:hAnsi="Times New Roman" w:eastAsia="宋体" w:cs="Times New Roman"/>
                <w:b/>
                <w:snapToGrid w:val="0"/>
                <w:color w:val="auto"/>
                <w:spacing w:val="-16"/>
                <w:kern w:val="21"/>
                <w:sz w:val="24"/>
                <w:szCs w:val="24"/>
                <w:lang w:val="en-US" w:eastAsia="zh-CN"/>
              </w:rPr>
              <w:t>全厂排放量（固体废物产生量）</w:t>
            </w:r>
            <w:r>
              <w:rPr>
                <w:rFonts w:hint="default" w:ascii="Times New Roman" w:hAnsi="Times New Roman" w:eastAsia="宋体" w:cs="Times New Roman"/>
                <w:b/>
                <w:snapToGrid w:val="0"/>
                <w:color w:val="auto"/>
                <w:spacing w:val="-16"/>
                <w:kern w:val="21"/>
                <w:sz w:val="24"/>
                <w:szCs w:val="24"/>
                <w:lang w:val="en-US" w:eastAsia="zh-CN"/>
              </w:rPr>
              <w:fldChar w:fldCharType="begin"/>
            </w:r>
            <w:r>
              <w:rPr>
                <w:rFonts w:hint="default" w:ascii="Times New Roman" w:hAnsi="Times New Roman" w:eastAsia="宋体" w:cs="Times New Roman"/>
                <w:b/>
                <w:snapToGrid w:val="0"/>
                <w:color w:val="auto"/>
                <w:spacing w:val="-16"/>
                <w:kern w:val="21"/>
                <w:sz w:val="24"/>
                <w:szCs w:val="24"/>
                <w:lang w:val="en-US" w:eastAsia="zh-CN"/>
              </w:rPr>
              <w:instrText xml:space="preserve"> = 6 \* GB3 \* MERGEFORMAT </w:instrText>
            </w:r>
            <w:r>
              <w:rPr>
                <w:rFonts w:hint="default" w:ascii="Times New Roman" w:hAnsi="Times New Roman" w:eastAsia="宋体" w:cs="Times New Roman"/>
                <w:b/>
                <w:snapToGrid w:val="0"/>
                <w:color w:val="auto"/>
                <w:spacing w:val="-16"/>
                <w:kern w:val="21"/>
                <w:sz w:val="24"/>
                <w:szCs w:val="24"/>
                <w:lang w:val="en-US" w:eastAsia="zh-CN"/>
              </w:rPr>
              <w:fldChar w:fldCharType="separate"/>
            </w:r>
            <w:r>
              <w:rPr>
                <w:rFonts w:hint="default" w:ascii="Times New Roman" w:hAnsi="Times New Roman" w:eastAsia="宋体" w:cs="Times New Roman"/>
                <w:b/>
                <w:color w:val="auto"/>
                <w:kern w:val="2"/>
                <w:sz w:val="24"/>
                <w:szCs w:val="24"/>
                <w:lang w:val="en-US" w:eastAsia="zh-CN"/>
              </w:rPr>
              <w:t>⑥</w:t>
            </w:r>
            <w:r>
              <w:rPr>
                <w:rFonts w:hint="default" w:ascii="Times New Roman" w:hAnsi="Times New Roman" w:eastAsia="宋体" w:cs="Times New Roman"/>
                <w:b/>
                <w:snapToGrid w:val="0"/>
                <w:color w:val="auto"/>
                <w:spacing w:val="-16"/>
                <w:kern w:val="21"/>
                <w:sz w:val="24"/>
                <w:szCs w:val="24"/>
                <w:lang w:val="en-US" w:eastAsia="zh-CN"/>
              </w:rPr>
              <w:fldChar w:fldCharType="end"/>
            </w:r>
          </w:p>
        </w:tc>
        <w:tc>
          <w:tcPr>
            <w:tcW w:w="1637" w:type="dxa"/>
            <w:noWrap w:val="0"/>
            <w:tcMar>
              <w:left w:w="28" w:type="dxa"/>
              <w:right w:w="28" w:type="dxa"/>
            </w:tcMar>
            <w:vAlign w:val="center"/>
          </w:tcPr>
          <w:p w14:paraId="6B6D7337">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rPr>
                <w:rFonts w:hint="default" w:ascii="Times New Roman" w:hAnsi="Times New Roman" w:eastAsia="宋体" w:cs="Times New Roman"/>
                <w:b/>
                <w:snapToGrid w:val="0"/>
                <w:color w:val="auto"/>
                <w:spacing w:val="-6"/>
                <w:kern w:val="21"/>
                <w:sz w:val="24"/>
                <w:szCs w:val="24"/>
                <w:lang w:val="en-US" w:eastAsia="zh-CN"/>
              </w:rPr>
            </w:pPr>
            <w:r>
              <w:rPr>
                <w:rFonts w:hint="default" w:ascii="Times New Roman" w:hAnsi="Times New Roman" w:eastAsia="宋体" w:cs="Times New Roman"/>
                <w:b/>
                <w:snapToGrid w:val="0"/>
                <w:color w:val="auto"/>
                <w:spacing w:val="-6"/>
                <w:kern w:val="21"/>
                <w:sz w:val="24"/>
                <w:szCs w:val="24"/>
                <w:lang w:val="en-US" w:eastAsia="zh-CN"/>
              </w:rPr>
              <w:t>变化量</w:t>
            </w:r>
          </w:p>
          <w:p w14:paraId="5851155D">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rPr>
                <w:rFonts w:hint="default" w:ascii="Times New Roman" w:hAnsi="Times New Roman" w:eastAsia="宋体" w:cs="Times New Roman"/>
                <w:b/>
                <w:snapToGrid w:val="0"/>
                <w:color w:val="auto"/>
                <w:spacing w:val="-6"/>
                <w:kern w:val="21"/>
                <w:sz w:val="24"/>
                <w:szCs w:val="24"/>
                <w:lang w:val="en-US" w:eastAsia="zh-CN"/>
              </w:rPr>
            </w:pPr>
            <w:r>
              <w:rPr>
                <w:rFonts w:hint="default" w:ascii="Times New Roman" w:hAnsi="Times New Roman" w:eastAsia="宋体" w:cs="Times New Roman"/>
                <w:b/>
                <w:snapToGrid w:val="0"/>
                <w:color w:val="auto"/>
                <w:spacing w:val="-6"/>
                <w:kern w:val="21"/>
                <w:sz w:val="24"/>
                <w:szCs w:val="24"/>
                <w:lang w:val="en-US" w:eastAsia="zh-CN"/>
              </w:rPr>
              <w:fldChar w:fldCharType="begin"/>
            </w:r>
            <w:r>
              <w:rPr>
                <w:rFonts w:hint="default" w:ascii="Times New Roman" w:hAnsi="Times New Roman" w:eastAsia="宋体" w:cs="Times New Roman"/>
                <w:b/>
                <w:snapToGrid w:val="0"/>
                <w:color w:val="auto"/>
                <w:spacing w:val="-6"/>
                <w:kern w:val="21"/>
                <w:sz w:val="24"/>
                <w:szCs w:val="24"/>
                <w:lang w:val="en-US" w:eastAsia="zh-CN"/>
              </w:rPr>
              <w:instrText xml:space="preserve"> = 7 \* GB3 \* MERGEFORMAT </w:instrText>
            </w:r>
            <w:r>
              <w:rPr>
                <w:rFonts w:hint="default" w:ascii="Times New Roman" w:hAnsi="Times New Roman" w:eastAsia="宋体" w:cs="Times New Roman"/>
                <w:b/>
                <w:snapToGrid w:val="0"/>
                <w:color w:val="auto"/>
                <w:spacing w:val="-6"/>
                <w:kern w:val="21"/>
                <w:sz w:val="24"/>
                <w:szCs w:val="24"/>
                <w:lang w:val="en-US" w:eastAsia="zh-CN"/>
              </w:rPr>
              <w:fldChar w:fldCharType="separate"/>
            </w:r>
            <w:r>
              <w:rPr>
                <w:rFonts w:hint="default" w:ascii="Times New Roman" w:hAnsi="Times New Roman" w:eastAsia="宋体" w:cs="Times New Roman"/>
                <w:b/>
                <w:color w:val="auto"/>
                <w:kern w:val="2"/>
                <w:sz w:val="24"/>
                <w:szCs w:val="24"/>
                <w:lang w:val="en-US" w:eastAsia="zh-CN"/>
              </w:rPr>
              <w:t>⑦</w:t>
            </w:r>
            <w:r>
              <w:rPr>
                <w:rFonts w:hint="default" w:ascii="Times New Roman" w:hAnsi="Times New Roman" w:eastAsia="宋体" w:cs="Times New Roman"/>
                <w:b/>
                <w:snapToGrid w:val="0"/>
                <w:color w:val="auto"/>
                <w:spacing w:val="-6"/>
                <w:kern w:val="21"/>
                <w:sz w:val="24"/>
                <w:szCs w:val="24"/>
                <w:lang w:val="en-US" w:eastAsia="zh-CN"/>
              </w:rPr>
              <w:fldChar w:fldCharType="end"/>
            </w:r>
          </w:p>
        </w:tc>
      </w:tr>
      <w:tr w14:paraId="5E0A64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260" w:type="dxa"/>
            <w:vMerge w:val="restart"/>
            <w:noWrap w:val="0"/>
            <w:vAlign w:val="center"/>
          </w:tcPr>
          <w:p w14:paraId="1D27B221">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eastAsia="宋体" w:cs="Times New Roman"/>
                <w:snapToGrid w:val="0"/>
                <w:color w:val="auto"/>
                <w:kern w:val="21"/>
                <w:sz w:val="24"/>
                <w:szCs w:val="24"/>
                <w:lang w:val="en-US" w:eastAsia="zh-CN"/>
              </w:rPr>
              <w:t>废气</w:t>
            </w:r>
          </w:p>
        </w:tc>
        <w:tc>
          <w:tcPr>
            <w:tcW w:w="1912" w:type="dxa"/>
            <w:noWrap w:val="0"/>
            <w:vAlign w:val="center"/>
          </w:tcPr>
          <w:p w14:paraId="3CE90BC8">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非甲烷总烃</w:t>
            </w:r>
          </w:p>
        </w:tc>
        <w:tc>
          <w:tcPr>
            <w:tcW w:w="1560" w:type="dxa"/>
            <w:noWrap w:val="0"/>
            <w:vAlign w:val="center"/>
          </w:tcPr>
          <w:p w14:paraId="028F5AA6">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0</w:t>
            </w:r>
          </w:p>
        </w:tc>
        <w:tc>
          <w:tcPr>
            <w:tcW w:w="1387" w:type="dxa"/>
            <w:noWrap w:val="0"/>
            <w:vAlign w:val="center"/>
          </w:tcPr>
          <w:p w14:paraId="492F19EF">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0</w:t>
            </w:r>
          </w:p>
        </w:tc>
        <w:tc>
          <w:tcPr>
            <w:tcW w:w="1743" w:type="dxa"/>
            <w:noWrap w:val="0"/>
            <w:vAlign w:val="center"/>
          </w:tcPr>
          <w:p w14:paraId="6213E648">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0</w:t>
            </w:r>
          </w:p>
        </w:tc>
        <w:tc>
          <w:tcPr>
            <w:tcW w:w="1690" w:type="dxa"/>
            <w:tcBorders>
              <w:bottom w:val="single" w:color="auto" w:sz="4" w:space="0"/>
            </w:tcBorders>
            <w:noWrap w:val="0"/>
            <w:vAlign w:val="center"/>
          </w:tcPr>
          <w:p w14:paraId="3534CE18">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0.</w:t>
            </w:r>
            <w:r>
              <w:rPr>
                <w:rFonts w:hint="default" w:ascii="Times New Roman" w:hAnsi="Times New Roman" w:eastAsia="宋体" w:cs="Times New Roman"/>
                <w:color w:val="auto"/>
                <w:sz w:val="24"/>
                <w:szCs w:val="24"/>
                <w:lang w:val="en-US" w:eastAsia="zh-CN"/>
              </w:rPr>
              <w:t>0</w:t>
            </w:r>
            <w:r>
              <w:rPr>
                <w:rFonts w:hint="default" w:ascii="Times New Roman" w:hAnsi="Times New Roman" w:cs="Times New Roman"/>
                <w:color w:val="auto"/>
                <w:sz w:val="24"/>
                <w:szCs w:val="24"/>
                <w:lang w:val="en-US" w:eastAsia="zh-CN"/>
              </w:rPr>
              <w:t>03</w:t>
            </w:r>
          </w:p>
        </w:tc>
        <w:tc>
          <w:tcPr>
            <w:tcW w:w="1360" w:type="dxa"/>
            <w:noWrap w:val="0"/>
            <w:vAlign w:val="center"/>
          </w:tcPr>
          <w:p w14:paraId="10F40061">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0</w:t>
            </w:r>
          </w:p>
        </w:tc>
        <w:tc>
          <w:tcPr>
            <w:tcW w:w="1743" w:type="dxa"/>
            <w:noWrap w:val="0"/>
            <w:vAlign w:val="center"/>
          </w:tcPr>
          <w:p w14:paraId="2DEEC7FA">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sz w:val="24"/>
                <w:szCs w:val="24"/>
              </w:rPr>
              <w:t>0.</w:t>
            </w:r>
            <w:r>
              <w:rPr>
                <w:rFonts w:hint="default" w:ascii="Times New Roman" w:hAnsi="Times New Roman" w:eastAsia="宋体" w:cs="Times New Roman"/>
                <w:color w:val="auto"/>
                <w:sz w:val="24"/>
                <w:szCs w:val="24"/>
                <w:lang w:val="en-US" w:eastAsia="zh-CN"/>
              </w:rPr>
              <w:t>0</w:t>
            </w:r>
            <w:r>
              <w:rPr>
                <w:rFonts w:hint="default" w:ascii="Times New Roman" w:hAnsi="Times New Roman" w:cs="Times New Roman"/>
                <w:color w:val="auto"/>
                <w:sz w:val="24"/>
                <w:szCs w:val="24"/>
                <w:lang w:val="en-US" w:eastAsia="zh-CN"/>
              </w:rPr>
              <w:t>03</w:t>
            </w:r>
          </w:p>
        </w:tc>
        <w:tc>
          <w:tcPr>
            <w:tcW w:w="1637" w:type="dxa"/>
            <w:noWrap w:val="0"/>
            <w:vAlign w:val="center"/>
          </w:tcPr>
          <w:p w14:paraId="3B75566F">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0.</w:t>
            </w:r>
            <w:r>
              <w:rPr>
                <w:rFonts w:hint="default" w:ascii="Times New Roman" w:hAnsi="Times New Roman" w:eastAsia="宋体" w:cs="Times New Roman"/>
                <w:color w:val="auto"/>
                <w:sz w:val="24"/>
                <w:szCs w:val="24"/>
                <w:lang w:val="en-US" w:eastAsia="zh-CN"/>
              </w:rPr>
              <w:t>0</w:t>
            </w:r>
            <w:r>
              <w:rPr>
                <w:rFonts w:hint="default" w:ascii="Times New Roman" w:hAnsi="Times New Roman" w:cs="Times New Roman"/>
                <w:color w:val="auto"/>
                <w:sz w:val="24"/>
                <w:szCs w:val="24"/>
                <w:lang w:val="en-US" w:eastAsia="zh-CN"/>
              </w:rPr>
              <w:t>03</w:t>
            </w:r>
          </w:p>
        </w:tc>
      </w:tr>
      <w:tr w14:paraId="6F5F4E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260" w:type="dxa"/>
            <w:vMerge w:val="continue"/>
            <w:noWrap w:val="0"/>
            <w:vAlign w:val="center"/>
          </w:tcPr>
          <w:p w14:paraId="0ECA0C0E">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rPr>
                <w:rFonts w:hint="default" w:ascii="Times New Roman" w:hAnsi="Times New Roman" w:eastAsia="宋体" w:cs="Times New Roman"/>
                <w:snapToGrid w:val="0"/>
                <w:color w:val="auto"/>
                <w:kern w:val="21"/>
                <w:sz w:val="24"/>
                <w:szCs w:val="24"/>
                <w:lang w:val="en-US" w:eastAsia="zh-CN"/>
              </w:rPr>
            </w:pPr>
          </w:p>
        </w:tc>
        <w:tc>
          <w:tcPr>
            <w:tcW w:w="1912" w:type="dxa"/>
            <w:noWrap w:val="0"/>
            <w:vAlign w:val="center"/>
          </w:tcPr>
          <w:p w14:paraId="66A60246">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cs="Times New Roman"/>
                <w:color w:val="auto"/>
                <w:sz w:val="24"/>
                <w:szCs w:val="24"/>
                <w:lang w:val="en-US" w:eastAsia="zh-CN"/>
              </w:rPr>
              <w:t>颗粒物</w:t>
            </w:r>
          </w:p>
        </w:tc>
        <w:tc>
          <w:tcPr>
            <w:tcW w:w="1560" w:type="dxa"/>
            <w:noWrap w:val="0"/>
            <w:vAlign w:val="center"/>
          </w:tcPr>
          <w:p w14:paraId="3AB21120">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0</w:t>
            </w:r>
          </w:p>
        </w:tc>
        <w:tc>
          <w:tcPr>
            <w:tcW w:w="1387" w:type="dxa"/>
            <w:noWrap w:val="0"/>
            <w:vAlign w:val="center"/>
          </w:tcPr>
          <w:p w14:paraId="2CA9B050">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0</w:t>
            </w:r>
          </w:p>
        </w:tc>
        <w:tc>
          <w:tcPr>
            <w:tcW w:w="1743" w:type="dxa"/>
            <w:tcBorders>
              <w:right w:val="single" w:color="auto" w:sz="4" w:space="0"/>
            </w:tcBorders>
            <w:noWrap w:val="0"/>
            <w:vAlign w:val="center"/>
          </w:tcPr>
          <w:p w14:paraId="22D45A32">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0</w:t>
            </w:r>
          </w:p>
        </w:tc>
        <w:tc>
          <w:tcPr>
            <w:tcW w:w="1690" w:type="dxa"/>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14:paraId="02FCDE11">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0.</w:t>
            </w:r>
            <w:r>
              <w:rPr>
                <w:rFonts w:hint="eastAsia" w:ascii="Times New Roman" w:hAnsi="Times New Roman" w:cs="Times New Roman"/>
                <w:color w:val="auto"/>
                <w:sz w:val="24"/>
                <w:szCs w:val="24"/>
                <w:lang w:val="en-US" w:eastAsia="zh-CN"/>
              </w:rPr>
              <w:t>047</w:t>
            </w:r>
          </w:p>
        </w:tc>
        <w:tc>
          <w:tcPr>
            <w:tcW w:w="1360" w:type="dxa"/>
            <w:tcBorders>
              <w:left w:val="single" w:color="auto" w:sz="4" w:space="0"/>
            </w:tcBorders>
            <w:noWrap w:val="0"/>
            <w:vAlign w:val="center"/>
          </w:tcPr>
          <w:p w14:paraId="62FD8299">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0</w:t>
            </w:r>
          </w:p>
        </w:tc>
        <w:tc>
          <w:tcPr>
            <w:tcW w:w="1743" w:type="dxa"/>
            <w:noWrap w:val="0"/>
            <w:vAlign w:val="center"/>
          </w:tcPr>
          <w:p w14:paraId="353735DA">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lang w:val="en-US"/>
              </w:rPr>
            </w:pPr>
            <w:r>
              <w:rPr>
                <w:rFonts w:hint="default" w:ascii="Times New Roman" w:hAnsi="Times New Roman" w:cs="Times New Roman"/>
                <w:color w:val="auto"/>
                <w:sz w:val="24"/>
                <w:szCs w:val="24"/>
                <w:lang w:val="en-US" w:eastAsia="zh-CN"/>
              </w:rPr>
              <w:t>0.</w:t>
            </w:r>
            <w:r>
              <w:rPr>
                <w:rFonts w:hint="eastAsia" w:ascii="Times New Roman" w:hAnsi="Times New Roman" w:cs="Times New Roman"/>
                <w:color w:val="auto"/>
                <w:sz w:val="24"/>
                <w:szCs w:val="24"/>
                <w:lang w:val="en-US" w:eastAsia="zh-CN"/>
              </w:rPr>
              <w:t>047</w:t>
            </w:r>
          </w:p>
        </w:tc>
        <w:tc>
          <w:tcPr>
            <w:tcW w:w="1637" w:type="dxa"/>
            <w:noWrap w:val="0"/>
            <w:vAlign w:val="center"/>
          </w:tcPr>
          <w:p w14:paraId="376C24AF">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cs="Times New Roman"/>
                <w:color w:val="auto"/>
                <w:sz w:val="24"/>
                <w:szCs w:val="24"/>
                <w:lang w:val="en-US" w:eastAsia="zh-CN"/>
              </w:rPr>
              <w:t>+0.</w:t>
            </w:r>
            <w:r>
              <w:rPr>
                <w:rFonts w:hint="eastAsia" w:ascii="Times New Roman" w:hAnsi="Times New Roman" w:cs="Times New Roman"/>
                <w:color w:val="auto"/>
                <w:sz w:val="24"/>
                <w:szCs w:val="24"/>
                <w:lang w:val="en-US" w:eastAsia="zh-CN"/>
              </w:rPr>
              <w:t>047</w:t>
            </w:r>
          </w:p>
        </w:tc>
      </w:tr>
      <w:tr w14:paraId="67DFE7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260" w:type="dxa"/>
            <w:vMerge w:val="continue"/>
            <w:noWrap w:val="0"/>
            <w:vAlign w:val="center"/>
          </w:tcPr>
          <w:p w14:paraId="240DFE62">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rPr>
                <w:rFonts w:hint="default" w:ascii="Times New Roman" w:hAnsi="Times New Roman" w:eastAsia="宋体" w:cs="Times New Roman"/>
                <w:snapToGrid w:val="0"/>
                <w:color w:val="auto"/>
                <w:kern w:val="21"/>
                <w:sz w:val="24"/>
                <w:szCs w:val="24"/>
                <w:lang w:val="en-US" w:eastAsia="zh-CN"/>
              </w:rPr>
            </w:pPr>
          </w:p>
        </w:tc>
        <w:tc>
          <w:tcPr>
            <w:tcW w:w="1912" w:type="dxa"/>
            <w:noWrap w:val="0"/>
            <w:vAlign w:val="center"/>
          </w:tcPr>
          <w:p w14:paraId="266EBE20">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二氧化硫</w:t>
            </w:r>
          </w:p>
        </w:tc>
        <w:tc>
          <w:tcPr>
            <w:tcW w:w="1560" w:type="dxa"/>
            <w:noWrap w:val="0"/>
            <w:vAlign w:val="center"/>
          </w:tcPr>
          <w:p w14:paraId="22914B2F">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0</w:t>
            </w:r>
          </w:p>
        </w:tc>
        <w:tc>
          <w:tcPr>
            <w:tcW w:w="1387" w:type="dxa"/>
            <w:noWrap w:val="0"/>
            <w:vAlign w:val="center"/>
          </w:tcPr>
          <w:p w14:paraId="525D7AC0">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0</w:t>
            </w:r>
          </w:p>
        </w:tc>
        <w:tc>
          <w:tcPr>
            <w:tcW w:w="1743" w:type="dxa"/>
            <w:tcBorders>
              <w:right w:val="single" w:color="auto" w:sz="4" w:space="0"/>
            </w:tcBorders>
            <w:noWrap w:val="0"/>
            <w:vAlign w:val="center"/>
          </w:tcPr>
          <w:p w14:paraId="77B87CB6">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0</w:t>
            </w:r>
          </w:p>
        </w:tc>
        <w:tc>
          <w:tcPr>
            <w:tcW w:w="1690" w:type="dxa"/>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14:paraId="51C68C87">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0.017</w:t>
            </w:r>
          </w:p>
        </w:tc>
        <w:tc>
          <w:tcPr>
            <w:tcW w:w="1360" w:type="dxa"/>
            <w:tcBorders>
              <w:left w:val="single" w:color="auto" w:sz="4" w:space="0"/>
            </w:tcBorders>
            <w:noWrap w:val="0"/>
            <w:vAlign w:val="center"/>
          </w:tcPr>
          <w:p w14:paraId="3B1ED4F8">
            <w:pPr>
              <w:pStyle w:val="41"/>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21"/>
                <w:sz w:val="24"/>
                <w:szCs w:val="24"/>
              </w:rPr>
              <w:t>0</w:t>
            </w:r>
          </w:p>
        </w:tc>
        <w:tc>
          <w:tcPr>
            <w:tcW w:w="1743" w:type="dxa"/>
            <w:noWrap w:val="0"/>
            <w:vAlign w:val="center"/>
          </w:tcPr>
          <w:p w14:paraId="2FC50226">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0.017</w:t>
            </w:r>
          </w:p>
        </w:tc>
        <w:tc>
          <w:tcPr>
            <w:tcW w:w="1637" w:type="dxa"/>
            <w:noWrap w:val="0"/>
            <w:vAlign w:val="center"/>
          </w:tcPr>
          <w:p w14:paraId="521746A4">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+0.017</w:t>
            </w:r>
          </w:p>
        </w:tc>
      </w:tr>
      <w:tr w14:paraId="12EDA9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260" w:type="dxa"/>
            <w:vMerge w:val="continue"/>
            <w:noWrap w:val="0"/>
            <w:vAlign w:val="center"/>
          </w:tcPr>
          <w:p w14:paraId="5F58AE55">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rPr>
                <w:rFonts w:hint="default" w:ascii="Times New Roman" w:hAnsi="Times New Roman" w:eastAsia="宋体" w:cs="Times New Roman"/>
                <w:snapToGrid w:val="0"/>
                <w:color w:val="auto"/>
                <w:kern w:val="21"/>
                <w:sz w:val="24"/>
                <w:szCs w:val="24"/>
                <w:lang w:val="en-US" w:eastAsia="zh-CN"/>
              </w:rPr>
            </w:pPr>
          </w:p>
        </w:tc>
        <w:tc>
          <w:tcPr>
            <w:tcW w:w="1912" w:type="dxa"/>
            <w:noWrap w:val="0"/>
            <w:vAlign w:val="center"/>
          </w:tcPr>
          <w:p w14:paraId="005ACDE0">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氮氧化物</w:t>
            </w:r>
          </w:p>
        </w:tc>
        <w:tc>
          <w:tcPr>
            <w:tcW w:w="1560" w:type="dxa"/>
            <w:noWrap w:val="0"/>
            <w:vAlign w:val="center"/>
          </w:tcPr>
          <w:p w14:paraId="16A4B4DB">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0</w:t>
            </w:r>
          </w:p>
        </w:tc>
        <w:tc>
          <w:tcPr>
            <w:tcW w:w="1387" w:type="dxa"/>
            <w:noWrap w:val="0"/>
            <w:vAlign w:val="center"/>
          </w:tcPr>
          <w:p w14:paraId="253EA6F0">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0</w:t>
            </w:r>
          </w:p>
        </w:tc>
        <w:tc>
          <w:tcPr>
            <w:tcW w:w="1743" w:type="dxa"/>
            <w:tcBorders>
              <w:right w:val="single" w:color="auto" w:sz="4" w:space="0"/>
            </w:tcBorders>
            <w:noWrap w:val="0"/>
            <w:vAlign w:val="center"/>
          </w:tcPr>
          <w:p w14:paraId="270C6310">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0</w:t>
            </w:r>
          </w:p>
        </w:tc>
        <w:tc>
          <w:tcPr>
            <w:tcW w:w="1690" w:type="dxa"/>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14:paraId="35BCD15D">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0.041</w:t>
            </w:r>
          </w:p>
        </w:tc>
        <w:tc>
          <w:tcPr>
            <w:tcW w:w="1360" w:type="dxa"/>
            <w:tcBorders>
              <w:left w:val="single" w:color="auto" w:sz="4" w:space="0"/>
            </w:tcBorders>
            <w:noWrap w:val="0"/>
            <w:vAlign w:val="center"/>
          </w:tcPr>
          <w:p w14:paraId="0BA0DDDA">
            <w:pPr>
              <w:pStyle w:val="41"/>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21"/>
                <w:sz w:val="24"/>
                <w:szCs w:val="24"/>
              </w:rPr>
              <w:t>0</w:t>
            </w:r>
          </w:p>
        </w:tc>
        <w:tc>
          <w:tcPr>
            <w:tcW w:w="1743" w:type="dxa"/>
            <w:noWrap w:val="0"/>
            <w:vAlign w:val="center"/>
          </w:tcPr>
          <w:p w14:paraId="30E2351D">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0.041</w:t>
            </w:r>
          </w:p>
        </w:tc>
        <w:tc>
          <w:tcPr>
            <w:tcW w:w="1637" w:type="dxa"/>
            <w:noWrap w:val="0"/>
            <w:vAlign w:val="center"/>
          </w:tcPr>
          <w:p w14:paraId="785799A6">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val="en-US" w:eastAsia="zh-CN"/>
              </w:rPr>
              <w:t>0.041</w:t>
            </w:r>
          </w:p>
        </w:tc>
      </w:tr>
      <w:tr w14:paraId="385354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260" w:type="dxa"/>
            <w:vMerge w:val="restart"/>
            <w:noWrap w:val="0"/>
            <w:vAlign w:val="center"/>
          </w:tcPr>
          <w:p w14:paraId="7443C843">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eastAsia="宋体" w:cs="Times New Roman"/>
                <w:snapToGrid w:val="0"/>
                <w:color w:val="auto"/>
                <w:kern w:val="21"/>
                <w:sz w:val="24"/>
                <w:szCs w:val="24"/>
                <w:lang w:val="en-US" w:eastAsia="zh-CN"/>
              </w:rPr>
              <w:t>废水</w:t>
            </w:r>
          </w:p>
        </w:tc>
        <w:tc>
          <w:tcPr>
            <w:tcW w:w="1912" w:type="dxa"/>
            <w:noWrap w:val="0"/>
            <w:vAlign w:val="center"/>
          </w:tcPr>
          <w:p w14:paraId="25A920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4"/>
                <w:szCs w:val="24"/>
              </w:rPr>
            </w:pPr>
            <w:r>
              <w:rPr>
                <w:rFonts w:hint="default" w:ascii="Times New Roman" w:hAnsi="Times New Roman" w:eastAsia="宋体" w:cs="Times New Roman"/>
                <w:i w:val="0"/>
                <w:iCs w:val="0"/>
                <w:color w:val="auto"/>
                <w:kern w:val="0"/>
                <w:sz w:val="24"/>
                <w:szCs w:val="24"/>
                <w:u w:val="none"/>
                <w:lang w:val="en-US" w:eastAsia="zh-CN" w:bidi="ar"/>
              </w:rPr>
              <w:t>COD</w:t>
            </w:r>
          </w:p>
        </w:tc>
        <w:tc>
          <w:tcPr>
            <w:tcW w:w="1560" w:type="dxa"/>
            <w:noWrap w:val="0"/>
            <w:vAlign w:val="center"/>
          </w:tcPr>
          <w:p w14:paraId="175C5709">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387" w:type="dxa"/>
            <w:noWrap w:val="0"/>
            <w:vAlign w:val="center"/>
          </w:tcPr>
          <w:p w14:paraId="5930B887">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743" w:type="dxa"/>
            <w:noWrap w:val="0"/>
            <w:vAlign w:val="center"/>
          </w:tcPr>
          <w:p w14:paraId="22FDE196">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690" w:type="dxa"/>
            <w:tcBorders>
              <w:top w:val="single" w:color="auto" w:sz="4" w:space="0"/>
            </w:tcBorders>
            <w:noWrap w:val="0"/>
            <w:vAlign w:val="center"/>
          </w:tcPr>
          <w:p w14:paraId="3EBD64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i w:val="0"/>
                <w:iCs w:val="0"/>
                <w:color w:val="auto"/>
                <w:kern w:val="0"/>
                <w:sz w:val="24"/>
                <w:szCs w:val="24"/>
                <w:u w:val="none"/>
                <w:lang w:val="en-US" w:eastAsia="zh-CN" w:bidi="ar"/>
              </w:rPr>
              <w:t xml:space="preserve">0.0120 </w:t>
            </w:r>
          </w:p>
        </w:tc>
        <w:tc>
          <w:tcPr>
            <w:tcW w:w="1360" w:type="dxa"/>
            <w:noWrap w:val="0"/>
            <w:vAlign w:val="center"/>
          </w:tcPr>
          <w:p w14:paraId="68ED2EA5">
            <w:pPr>
              <w:pStyle w:val="41"/>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743" w:type="dxa"/>
            <w:noWrap w:val="0"/>
            <w:vAlign w:val="center"/>
          </w:tcPr>
          <w:p w14:paraId="7FD66E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4"/>
                <w:szCs w:val="24"/>
              </w:rPr>
            </w:pPr>
            <w:r>
              <w:rPr>
                <w:rFonts w:hint="default" w:ascii="Times New Roman" w:hAnsi="Times New Roman" w:eastAsia="宋体" w:cs="Times New Roman"/>
                <w:i w:val="0"/>
                <w:iCs w:val="0"/>
                <w:color w:val="auto"/>
                <w:kern w:val="0"/>
                <w:sz w:val="24"/>
                <w:szCs w:val="24"/>
                <w:u w:val="none"/>
                <w:lang w:val="en-US" w:eastAsia="zh-CN" w:bidi="ar"/>
              </w:rPr>
              <w:t xml:space="preserve">0.0120 </w:t>
            </w:r>
          </w:p>
        </w:tc>
        <w:tc>
          <w:tcPr>
            <w:tcW w:w="1637" w:type="dxa"/>
            <w:noWrap w:val="0"/>
            <w:vAlign w:val="center"/>
          </w:tcPr>
          <w:p w14:paraId="1BD4D3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4"/>
                <w:szCs w:val="24"/>
              </w:rPr>
            </w:pPr>
            <w:r>
              <w:rPr>
                <w:rFonts w:hint="default" w:ascii="Times New Roman" w:hAnsi="Times New Roman" w:eastAsia="宋体" w:cs="Times New Roman"/>
                <w:i w:val="0"/>
                <w:iCs w:val="0"/>
                <w:color w:val="auto"/>
                <w:kern w:val="0"/>
                <w:sz w:val="24"/>
                <w:szCs w:val="24"/>
                <w:u w:val="none"/>
                <w:lang w:val="en-US" w:eastAsia="zh-CN" w:bidi="ar"/>
              </w:rPr>
              <w:t xml:space="preserve">+0.0120 </w:t>
            </w:r>
          </w:p>
        </w:tc>
      </w:tr>
      <w:tr w14:paraId="72C7EC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260" w:type="dxa"/>
            <w:vMerge w:val="continue"/>
            <w:noWrap w:val="0"/>
            <w:vAlign w:val="center"/>
          </w:tcPr>
          <w:p w14:paraId="0D423D0F">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rPr>
                <w:rFonts w:hint="default" w:ascii="Times New Roman" w:hAnsi="Times New Roman" w:eastAsia="宋体" w:cs="Times New Roman"/>
                <w:snapToGrid w:val="0"/>
                <w:color w:val="auto"/>
                <w:kern w:val="21"/>
                <w:sz w:val="24"/>
                <w:szCs w:val="24"/>
                <w:lang w:val="en-US" w:eastAsia="zh-CN"/>
              </w:rPr>
            </w:pPr>
          </w:p>
        </w:tc>
        <w:tc>
          <w:tcPr>
            <w:tcW w:w="1912" w:type="dxa"/>
            <w:noWrap w:val="0"/>
            <w:vAlign w:val="center"/>
          </w:tcPr>
          <w:p w14:paraId="4ADC832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4"/>
                <w:szCs w:val="24"/>
                <w:vertAlign w:val="subscript"/>
              </w:rPr>
            </w:pPr>
            <w:r>
              <w:rPr>
                <w:rFonts w:hint="default" w:ascii="Times New Roman" w:hAnsi="Times New Roman" w:eastAsia="宋体" w:cs="Times New Roman"/>
                <w:i w:val="0"/>
                <w:iCs w:val="0"/>
                <w:color w:val="auto"/>
                <w:kern w:val="0"/>
                <w:sz w:val="24"/>
                <w:szCs w:val="24"/>
                <w:u w:val="none"/>
                <w:lang w:val="en-US" w:eastAsia="zh-CN" w:bidi="ar"/>
              </w:rPr>
              <w:t>BOD</w:t>
            </w:r>
            <w:r>
              <w:rPr>
                <w:rFonts w:hint="default" w:ascii="Times New Roman" w:hAnsi="Times New Roman" w:eastAsia="宋体" w:cs="Times New Roman"/>
                <w:i w:val="0"/>
                <w:iCs w:val="0"/>
                <w:color w:val="auto"/>
                <w:kern w:val="0"/>
                <w:sz w:val="24"/>
                <w:szCs w:val="24"/>
                <w:u w:val="none"/>
                <w:vertAlign w:val="subscript"/>
                <w:lang w:val="en-US" w:eastAsia="zh-CN" w:bidi="ar"/>
              </w:rPr>
              <w:t>5</w:t>
            </w:r>
          </w:p>
        </w:tc>
        <w:tc>
          <w:tcPr>
            <w:tcW w:w="1560" w:type="dxa"/>
            <w:noWrap w:val="0"/>
            <w:vAlign w:val="center"/>
          </w:tcPr>
          <w:p w14:paraId="2F8D8BEC">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387" w:type="dxa"/>
            <w:noWrap w:val="0"/>
            <w:vAlign w:val="center"/>
          </w:tcPr>
          <w:p w14:paraId="16087EA2">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743" w:type="dxa"/>
            <w:noWrap w:val="0"/>
            <w:vAlign w:val="center"/>
          </w:tcPr>
          <w:p w14:paraId="2F03ED4D">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690" w:type="dxa"/>
            <w:noWrap w:val="0"/>
            <w:vAlign w:val="center"/>
          </w:tcPr>
          <w:p w14:paraId="56AEF2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i w:val="0"/>
                <w:iCs w:val="0"/>
                <w:color w:val="auto"/>
                <w:kern w:val="0"/>
                <w:sz w:val="24"/>
                <w:szCs w:val="24"/>
                <w:u w:val="none"/>
                <w:lang w:val="en-US" w:eastAsia="zh-CN" w:bidi="ar"/>
              </w:rPr>
              <w:t xml:space="preserve">0.0024 </w:t>
            </w:r>
          </w:p>
        </w:tc>
        <w:tc>
          <w:tcPr>
            <w:tcW w:w="1360" w:type="dxa"/>
            <w:noWrap w:val="0"/>
            <w:vAlign w:val="center"/>
          </w:tcPr>
          <w:p w14:paraId="0FC159BC">
            <w:pPr>
              <w:pStyle w:val="41"/>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743" w:type="dxa"/>
            <w:noWrap w:val="0"/>
            <w:vAlign w:val="center"/>
          </w:tcPr>
          <w:p w14:paraId="0C9946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4"/>
                <w:szCs w:val="24"/>
              </w:rPr>
            </w:pPr>
            <w:r>
              <w:rPr>
                <w:rFonts w:hint="default" w:ascii="Times New Roman" w:hAnsi="Times New Roman" w:eastAsia="宋体" w:cs="Times New Roman"/>
                <w:i w:val="0"/>
                <w:iCs w:val="0"/>
                <w:color w:val="auto"/>
                <w:kern w:val="0"/>
                <w:sz w:val="24"/>
                <w:szCs w:val="24"/>
                <w:u w:val="none"/>
                <w:lang w:val="en-US" w:eastAsia="zh-CN" w:bidi="ar"/>
              </w:rPr>
              <w:t xml:space="preserve">0.0024 </w:t>
            </w:r>
          </w:p>
        </w:tc>
        <w:tc>
          <w:tcPr>
            <w:tcW w:w="1637" w:type="dxa"/>
            <w:noWrap w:val="0"/>
            <w:vAlign w:val="center"/>
          </w:tcPr>
          <w:p w14:paraId="22127C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4"/>
                <w:szCs w:val="24"/>
              </w:rPr>
            </w:pPr>
            <w:r>
              <w:rPr>
                <w:rFonts w:hint="default" w:ascii="Times New Roman" w:hAnsi="Times New Roman" w:eastAsia="宋体" w:cs="Times New Roman"/>
                <w:i w:val="0"/>
                <w:iCs w:val="0"/>
                <w:color w:val="auto"/>
                <w:kern w:val="0"/>
                <w:sz w:val="24"/>
                <w:szCs w:val="24"/>
                <w:u w:val="none"/>
                <w:lang w:val="en-US" w:eastAsia="zh-CN" w:bidi="ar"/>
              </w:rPr>
              <w:t xml:space="preserve">+0.0024 </w:t>
            </w:r>
          </w:p>
        </w:tc>
      </w:tr>
      <w:tr w14:paraId="590E2C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260" w:type="dxa"/>
            <w:vMerge w:val="continue"/>
            <w:noWrap w:val="0"/>
            <w:vAlign w:val="center"/>
          </w:tcPr>
          <w:p w14:paraId="516E8546">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rPr>
                <w:rFonts w:hint="default" w:ascii="Times New Roman" w:hAnsi="Times New Roman" w:eastAsia="宋体" w:cs="Times New Roman"/>
                <w:snapToGrid w:val="0"/>
                <w:color w:val="auto"/>
                <w:kern w:val="21"/>
                <w:sz w:val="24"/>
                <w:szCs w:val="24"/>
                <w:lang w:val="en-US" w:eastAsia="zh-CN"/>
              </w:rPr>
            </w:pPr>
          </w:p>
        </w:tc>
        <w:tc>
          <w:tcPr>
            <w:tcW w:w="1912" w:type="dxa"/>
            <w:noWrap w:val="0"/>
            <w:vAlign w:val="center"/>
          </w:tcPr>
          <w:p w14:paraId="468F95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4"/>
                <w:szCs w:val="24"/>
              </w:rPr>
            </w:pPr>
            <w:r>
              <w:rPr>
                <w:rFonts w:hint="default" w:ascii="Times New Roman" w:hAnsi="Times New Roman" w:eastAsia="宋体" w:cs="Times New Roman"/>
                <w:i w:val="0"/>
                <w:iCs w:val="0"/>
                <w:color w:val="auto"/>
                <w:kern w:val="0"/>
                <w:sz w:val="24"/>
                <w:szCs w:val="24"/>
                <w:u w:val="none"/>
                <w:lang w:val="en-US" w:eastAsia="zh-CN" w:bidi="ar"/>
              </w:rPr>
              <w:t>NH</w:t>
            </w:r>
            <w:r>
              <w:rPr>
                <w:rFonts w:hint="default" w:ascii="Times New Roman" w:hAnsi="Times New Roman" w:eastAsia="宋体" w:cs="Times New Roman"/>
                <w:i w:val="0"/>
                <w:iCs w:val="0"/>
                <w:color w:val="auto"/>
                <w:kern w:val="0"/>
                <w:sz w:val="24"/>
                <w:szCs w:val="24"/>
                <w:u w:val="none"/>
                <w:vertAlign w:val="subscript"/>
                <w:lang w:val="en-US" w:eastAsia="zh-CN" w:bidi="ar"/>
              </w:rPr>
              <w:t>3</w:t>
            </w:r>
            <w:r>
              <w:rPr>
                <w:rFonts w:hint="default" w:ascii="Times New Roman" w:hAnsi="Times New Roman" w:eastAsia="宋体" w:cs="Times New Roman"/>
                <w:i w:val="0"/>
                <w:iCs w:val="0"/>
                <w:color w:val="auto"/>
                <w:kern w:val="0"/>
                <w:sz w:val="24"/>
                <w:szCs w:val="24"/>
                <w:u w:val="none"/>
                <w:lang w:val="en-US" w:eastAsia="zh-CN" w:bidi="ar"/>
              </w:rPr>
              <w:t>-N</w:t>
            </w:r>
          </w:p>
        </w:tc>
        <w:tc>
          <w:tcPr>
            <w:tcW w:w="1560" w:type="dxa"/>
            <w:noWrap w:val="0"/>
            <w:vAlign w:val="center"/>
          </w:tcPr>
          <w:p w14:paraId="136A9FB5">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387" w:type="dxa"/>
            <w:noWrap w:val="0"/>
            <w:vAlign w:val="center"/>
          </w:tcPr>
          <w:p w14:paraId="3E1F3960">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743" w:type="dxa"/>
            <w:noWrap w:val="0"/>
            <w:vAlign w:val="center"/>
          </w:tcPr>
          <w:p w14:paraId="60B5D99E">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690" w:type="dxa"/>
            <w:noWrap w:val="0"/>
            <w:vAlign w:val="center"/>
          </w:tcPr>
          <w:p w14:paraId="5922940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i w:val="0"/>
                <w:iCs w:val="0"/>
                <w:color w:val="auto"/>
                <w:kern w:val="0"/>
                <w:sz w:val="24"/>
                <w:szCs w:val="24"/>
                <w:u w:val="none"/>
                <w:lang w:val="en-US" w:eastAsia="zh-CN" w:bidi="ar"/>
              </w:rPr>
              <w:t xml:space="preserve">0.0012 </w:t>
            </w:r>
          </w:p>
        </w:tc>
        <w:tc>
          <w:tcPr>
            <w:tcW w:w="1360" w:type="dxa"/>
            <w:noWrap w:val="0"/>
            <w:vAlign w:val="center"/>
          </w:tcPr>
          <w:p w14:paraId="2E2AA9E9">
            <w:pPr>
              <w:pStyle w:val="41"/>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743" w:type="dxa"/>
            <w:noWrap w:val="0"/>
            <w:vAlign w:val="center"/>
          </w:tcPr>
          <w:p w14:paraId="14D86F6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4"/>
                <w:szCs w:val="24"/>
              </w:rPr>
            </w:pPr>
            <w:r>
              <w:rPr>
                <w:rFonts w:hint="default" w:ascii="Times New Roman" w:hAnsi="Times New Roman" w:eastAsia="宋体" w:cs="Times New Roman"/>
                <w:i w:val="0"/>
                <w:iCs w:val="0"/>
                <w:color w:val="auto"/>
                <w:kern w:val="0"/>
                <w:sz w:val="24"/>
                <w:szCs w:val="24"/>
                <w:u w:val="none"/>
                <w:lang w:val="en-US" w:eastAsia="zh-CN" w:bidi="ar"/>
              </w:rPr>
              <w:t xml:space="preserve">0.0012 </w:t>
            </w:r>
          </w:p>
        </w:tc>
        <w:tc>
          <w:tcPr>
            <w:tcW w:w="1637" w:type="dxa"/>
            <w:noWrap w:val="0"/>
            <w:vAlign w:val="center"/>
          </w:tcPr>
          <w:p w14:paraId="504B2B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4"/>
                <w:szCs w:val="24"/>
              </w:rPr>
            </w:pPr>
            <w:r>
              <w:rPr>
                <w:rFonts w:hint="default" w:ascii="Times New Roman" w:hAnsi="Times New Roman" w:eastAsia="宋体" w:cs="Times New Roman"/>
                <w:i w:val="0"/>
                <w:iCs w:val="0"/>
                <w:color w:val="auto"/>
                <w:kern w:val="0"/>
                <w:sz w:val="24"/>
                <w:szCs w:val="24"/>
                <w:u w:val="none"/>
                <w:lang w:val="en-US" w:eastAsia="zh-CN" w:bidi="ar"/>
              </w:rPr>
              <w:t xml:space="preserve">+0.0012 </w:t>
            </w:r>
          </w:p>
        </w:tc>
      </w:tr>
      <w:tr w14:paraId="54632D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260" w:type="dxa"/>
            <w:vMerge w:val="continue"/>
            <w:noWrap w:val="0"/>
            <w:vAlign w:val="center"/>
          </w:tcPr>
          <w:p w14:paraId="767B7781">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rPr>
                <w:rFonts w:hint="default" w:ascii="Times New Roman" w:hAnsi="Times New Roman" w:eastAsia="宋体" w:cs="Times New Roman"/>
                <w:snapToGrid w:val="0"/>
                <w:color w:val="auto"/>
                <w:kern w:val="21"/>
                <w:sz w:val="24"/>
                <w:szCs w:val="24"/>
                <w:lang w:val="en-US" w:eastAsia="zh-CN"/>
              </w:rPr>
            </w:pPr>
          </w:p>
        </w:tc>
        <w:tc>
          <w:tcPr>
            <w:tcW w:w="1912" w:type="dxa"/>
            <w:noWrap w:val="0"/>
            <w:vAlign w:val="center"/>
          </w:tcPr>
          <w:p w14:paraId="3DCCE2F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4"/>
                <w:szCs w:val="24"/>
              </w:rPr>
            </w:pPr>
            <w:r>
              <w:rPr>
                <w:rFonts w:hint="default" w:ascii="Times New Roman" w:hAnsi="Times New Roman" w:eastAsia="宋体" w:cs="Times New Roman"/>
                <w:i w:val="0"/>
                <w:iCs w:val="0"/>
                <w:color w:val="auto"/>
                <w:kern w:val="0"/>
                <w:sz w:val="24"/>
                <w:szCs w:val="24"/>
                <w:u w:val="none"/>
                <w:lang w:val="en-US" w:eastAsia="zh-CN" w:bidi="ar"/>
              </w:rPr>
              <w:t>SS</w:t>
            </w:r>
          </w:p>
        </w:tc>
        <w:tc>
          <w:tcPr>
            <w:tcW w:w="1560" w:type="dxa"/>
            <w:noWrap w:val="0"/>
            <w:vAlign w:val="center"/>
          </w:tcPr>
          <w:p w14:paraId="1777F448">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387" w:type="dxa"/>
            <w:noWrap w:val="0"/>
            <w:vAlign w:val="center"/>
          </w:tcPr>
          <w:p w14:paraId="43CC2DD4">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743" w:type="dxa"/>
            <w:noWrap w:val="0"/>
            <w:vAlign w:val="center"/>
          </w:tcPr>
          <w:p w14:paraId="1817ADD2">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690" w:type="dxa"/>
            <w:noWrap w:val="0"/>
            <w:vAlign w:val="center"/>
          </w:tcPr>
          <w:p w14:paraId="508727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i w:val="0"/>
                <w:iCs w:val="0"/>
                <w:color w:val="auto"/>
                <w:kern w:val="0"/>
                <w:sz w:val="24"/>
                <w:szCs w:val="24"/>
                <w:u w:val="none"/>
                <w:lang w:val="en-US" w:eastAsia="zh-CN" w:bidi="ar"/>
              </w:rPr>
              <w:t xml:space="preserve">0.0024 </w:t>
            </w:r>
          </w:p>
        </w:tc>
        <w:tc>
          <w:tcPr>
            <w:tcW w:w="1360" w:type="dxa"/>
            <w:noWrap w:val="0"/>
            <w:vAlign w:val="center"/>
          </w:tcPr>
          <w:p w14:paraId="2E341E8E">
            <w:pPr>
              <w:pStyle w:val="41"/>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743" w:type="dxa"/>
            <w:noWrap w:val="0"/>
            <w:vAlign w:val="center"/>
          </w:tcPr>
          <w:p w14:paraId="178AE49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4"/>
                <w:szCs w:val="24"/>
              </w:rPr>
            </w:pPr>
            <w:r>
              <w:rPr>
                <w:rFonts w:hint="default" w:ascii="Times New Roman" w:hAnsi="Times New Roman" w:eastAsia="宋体" w:cs="Times New Roman"/>
                <w:i w:val="0"/>
                <w:iCs w:val="0"/>
                <w:color w:val="auto"/>
                <w:kern w:val="0"/>
                <w:sz w:val="24"/>
                <w:szCs w:val="24"/>
                <w:u w:val="none"/>
                <w:lang w:val="en-US" w:eastAsia="zh-CN" w:bidi="ar"/>
              </w:rPr>
              <w:t xml:space="preserve">0.0024 </w:t>
            </w:r>
          </w:p>
        </w:tc>
        <w:tc>
          <w:tcPr>
            <w:tcW w:w="1637" w:type="dxa"/>
            <w:noWrap w:val="0"/>
            <w:vAlign w:val="center"/>
          </w:tcPr>
          <w:p w14:paraId="5F8C50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4"/>
                <w:szCs w:val="24"/>
              </w:rPr>
            </w:pPr>
            <w:r>
              <w:rPr>
                <w:rFonts w:hint="default" w:ascii="Times New Roman" w:hAnsi="Times New Roman" w:eastAsia="宋体" w:cs="Times New Roman"/>
                <w:i w:val="0"/>
                <w:iCs w:val="0"/>
                <w:color w:val="auto"/>
                <w:kern w:val="0"/>
                <w:sz w:val="24"/>
                <w:szCs w:val="24"/>
                <w:u w:val="none"/>
                <w:lang w:val="en-US" w:eastAsia="zh-CN" w:bidi="ar"/>
              </w:rPr>
              <w:t xml:space="preserve">+0.0024 </w:t>
            </w:r>
          </w:p>
        </w:tc>
      </w:tr>
      <w:tr w14:paraId="6C987C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260" w:type="dxa"/>
            <w:vMerge w:val="continue"/>
            <w:noWrap w:val="0"/>
            <w:vAlign w:val="center"/>
          </w:tcPr>
          <w:p w14:paraId="779A2746">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rPr>
                <w:rFonts w:hint="default" w:ascii="Times New Roman" w:hAnsi="Times New Roman" w:eastAsia="宋体" w:cs="Times New Roman"/>
                <w:snapToGrid w:val="0"/>
                <w:color w:val="auto"/>
                <w:kern w:val="21"/>
                <w:sz w:val="24"/>
                <w:szCs w:val="24"/>
                <w:lang w:val="en-US" w:eastAsia="zh-CN"/>
              </w:rPr>
            </w:pPr>
          </w:p>
        </w:tc>
        <w:tc>
          <w:tcPr>
            <w:tcW w:w="1912" w:type="dxa"/>
            <w:noWrap w:val="0"/>
            <w:vAlign w:val="center"/>
          </w:tcPr>
          <w:p w14:paraId="2BB4D79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TP</w:t>
            </w:r>
          </w:p>
        </w:tc>
        <w:tc>
          <w:tcPr>
            <w:tcW w:w="1560" w:type="dxa"/>
            <w:noWrap w:val="0"/>
            <w:vAlign w:val="center"/>
          </w:tcPr>
          <w:p w14:paraId="1F02CD86">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387" w:type="dxa"/>
            <w:noWrap w:val="0"/>
            <w:vAlign w:val="center"/>
          </w:tcPr>
          <w:p w14:paraId="09BFF3B6">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743" w:type="dxa"/>
            <w:noWrap w:val="0"/>
            <w:vAlign w:val="center"/>
          </w:tcPr>
          <w:p w14:paraId="42E2A042">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690" w:type="dxa"/>
            <w:noWrap w:val="0"/>
            <w:vAlign w:val="center"/>
          </w:tcPr>
          <w:p w14:paraId="5F0AB6E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 xml:space="preserve">0.0001 </w:t>
            </w:r>
          </w:p>
        </w:tc>
        <w:tc>
          <w:tcPr>
            <w:tcW w:w="1360" w:type="dxa"/>
            <w:noWrap w:val="0"/>
            <w:vAlign w:val="center"/>
          </w:tcPr>
          <w:p w14:paraId="0C2FB374">
            <w:pPr>
              <w:pStyle w:val="41"/>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cs="Times New Roman"/>
                <w:snapToGrid w:val="0"/>
                <w:color w:val="auto"/>
                <w:kern w:val="21"/>
                <w:sz w:val="24"/>
                <w:szCs w:val="24"/>
                <w:lang w:val="en-US" w:eastAsia="zh-CN"/>
              </w:rPr>
              <w:t>0</w:t>
            </w:r>
          </w:p>
        </w:tc>
        <w:tc>
          <w:tcPr>
            <w:tcW w:w="1743" w:type="dxa"/>
            <w:noWrap w:val="0"/>
            <w:vAlign w:val="center"/>
          </w:tcPr>
          <w:p w14:paraId="416A12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 xml:space="preserve">0.0001 </w:t>
            </w:r>
          </w:p>
        </w:tc>
        <w:tc>
          <w:tcPr>
            <w:tcW w:w="1637" w:type="dxa"/>
            <w:noWrap w:val="0"/>
            <w:vAlign w:val="center"/>
          </w:tcPr>
          <w:p w14:paraId="35BC18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 xml:space="preserve">+0.0001 </w:t>
            </w:r>
          </w:p>
        </w:tc>
      </w:tr>
      <w:tr w14:paraId="1DC30C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260" w:type="dxa"/>
            <w:vMerge w:val="continue"/>
            <w:noWrap w:val="0"/>
            <w:vAlign w:val="center"/>
          </w:tcPr>
          <w:p w14:paraId="2BDD9158">
            <w:pPr>
              <w:pStyle w:val="64"/>
              <w:keepNext w:val="0"/>
              <w:keepLines w:val="0"/>
              <w:pageBreakBefore w:val="0"/>
              <w:suppressLineNumbers w:val="0"/>
              <w:tabs>
                <w:tab w:val="center" w:pos="0"/>
              </w:tabs>
              <w:kinsoku/>
              <w:wordWrap/>
              <w:overflowPunct/>
              <w:topLinePunct w:val="0"/>
              <w:bidi w:val="0"/>
              <w:snapToGrid/>
              <w:spacing w:before="0" w:beforeLines="0" w:beforeAutospacing="0" w:after="0" w:afterLines="0" w:afterAutospacing="0" w:line="240" w:lineRule="auto"/>
              <w:ind w:left="0" w:leftChars="0" w:right="0" w:rightChars="0" w:firstLine="0" w:firstLineChars="0"/>
              <w:rPr>
                <w:rFonts w:hint="default" w:ascii="Times New Roman" w:hAnsi="Times New Roman" w:eastAsia="宋体" w:cs="Times New Roman"/>
                <w:snapToGrid w:val="0"/>
                <w:color w:val="auto"/>
                <w:kern w:val="21"/>
                <w:sz w:val="24"/>
                <w:szCs w:val="24"/>
                <w:lang w:val="en-US" w:eastAsia="zh-CN"/>
              </w:rPr>
            </w:pPr>
          </w:p>
        </w:tc>
        <w:tc>
          <w:tcPr>
            <w:tcW w:w="1912" w:type="dxa"/>
            <w:noWrap w:val="0"/>
            <w:vAlign w:val="center"/>
          </w:tcPr>
          <w:p w14:paraId="3E87C0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TN</w:t>
            </w:r>
          </w:p>
        </w:tc>
        <w:tc>
          <w:tcPr>
            <w:tcW w:w="1560" w:type="dxa"/>
            <w:noWrap w:val="0"/>
            <w:vAlign w:val="center"/>
          </w:tcPr>
          <w:p w14:paraId="5628E73E">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387" w:type="dxa"/>
            <w:noWrap w:val="0"/>
            <w:vAlign w:val="center"/>
          </w:tcPr>
          <w:p w14:paraId="766EDFDB">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743" w:type="dxa"/>
            <w:noWrap w:val="0"/>
            <w:vAlign w:val="center"/>
          </w:tcPr>
          <w:p w14:paraId="11C811D3">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690" w:type="dxa"/>
            <w:noWrap w:val="0"/>
            <w:vAlign w:val="center"/>
          </w:tcPr>
          <w:p w14:paraId="1BC9D2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 xml:space="preserve">0.0036 </w:t>
            </w:r>
          </w:p>
        </w:tc>
        <w:tc>
          <w:tcPr>
            <w:tcW w:w="1360" w:type="dxa"/>
            <w:noWrap w:val="0"/>
            <w:vAlign w:val="center"/>
          </w:tcPr>
          <w:p w14:paraId="00AEFDFF">
            <w:pPr>
              <w:pStyle w:val="41"/>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cs="Times New Roman"/>
                <w:snapToGrid w:val="0"/>
                <w:color w:val="auto"/>
                <w:kern w:val="21"/>
                <w:sz w:val="24"/>
                <w:szCs w:val="24"/>
                <w:lang w:val="en-US" w:eastAsia="zh-CN"/>
              </w:rPr>
              <w:t>0</w:t>
            </w:r>
          </w:p>
        </w:tc>
        <w:tc>
          <w:tcPr>
            <w:tcW w:w="1743" w:type="dxa"/>
            <w:noWrap w:val="0"/>
            <w:vAlign w:val="center"/>
          </w:tcPr>
          <w:p w14:paraId="424BBAE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 xml:space="preserve">0.0036 </w:t>
            </w:r>
          </w:p>
        </w:tc>
        <w:tc>
          <w:tcPr>
            <w:tcW w:w="1637" w:type="dxa"/>
            <w:noWrap w:val="0"/>
            <w:vAlign w:val="center"/>
          </w:tcPr>
          <w:p w14:paraId="2E0292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 xml:space="preserve">+0.0036 </w:t>
            </w:r>
          </w:p>
        </w:tc>
      </w:tr>
      <w:tr w14:paraId="3020D7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260" w:type="dxa"/>
            <w:noWrap w:val="0"/>
            <w:vAlign w:val="center"/>
          </w:tcPr>
          <w:p w14:paraId="45FADAD7">
            <w:pPr>
              <w:pStyle w:val="227"/>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一般工业</w:t>
            </w:r>
          </w:p>
          <w:p w14:paraId="72C3A476">
            <w:pPr>
              <w:pStyle w:val="227"/>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固体废物</w:t>
            </w:r>
          </w:p>
        </w:tc>
        <w:tc>
          <w:tcPr>
            <w:tcW w:w="1912" w:type="dxa"/>
            <w:noWrap w:val="0"/>
            <w:vAlign w:val="center"/>
          </w:tcPr>
          <w:p w14:paraId="4DCFD4F4">
            <w:pPr>
              <w:pStyle w:val="144"/>
              <w:keepNext w:val="0"/>
              <w:keepLines w:val="0"/>
              <w:suppressLineNumbers w:val="0"/>
              <w:spacing w:before="0" w:beforeAutospacing="0" w:after="0" w:afterAutospacing="0"/>
              <w:ind w:left="0" w:right="0" w:right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不合格品</w:t>
            </w:r>
          </w:p>
        </w:tc>
        <w:tc>
          <w:tcPr>
            <w:tcW w:w="1560" w:type="dxa"/>
            <w:noWrap w:val="0"/>
            <w:vAlign w:val="center"/>
          </w:tcPr>
          <w:p w14:paraId="592722E8">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387" w:type="dxa"/>
            <w:noWrap w:val="0"/>
            <w:vAlign w:val="center"/>
          </w:tcPr>
          <w:p w14:paraId="7689F513">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743" w:type="dxa"/>
            <w:noWrap w:val="0"/>
            <w:vAlign w:val="center"/>
          </w:tcPr>
          <w:p w14:paraId="4DA8560A">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690" w:type="dxa"/>
            <w:noWrap w:val="0"/>
            <w:vAlign w:val="center"/>
          </w:tcPr>
          <w:p w14:paraId="0908DBAE">
            <w:pPr>
              <w:pStyle w:val="217"/>
              <w:keepNext w:val="0"/>
              <w:keepLines w:val="0"/>
              <w:suppressLineNumbers w:val="0"/>
              <w:spacing w:before="0" w:beforeAutospacing="0" w:after="0" w:afterAutospacing="0" w:line="240" w:lineRule="auto"/>
              <w:ind w:left="-105" w:leftChars="-50" w:right="-105" w:rightChars="-50"/>
              <w:rPr>
                <w:rFonts w:hint="default" w:ascii="Times New Roman" w:hAnsi="Times New Roman" w:eastAsia="宋体" w:cs="Times New Roman"/>
                <w:color w:val="auto"/>
                <w:sz w:val="24"/>
                <w:szCs w:val="24"/>
                <w:lang w:val="en-US"/>
              </w:rPr>
            </w:pPr>
            <w:r>
              <w:rPr>
                <w:rFonts w:hint="default" w:ascii="Times New Roman" w:hAnsi="Times New Roman" w:cs="Times New Roman"/>
                <w:color w:val="auto"/>
                <w:sz w:val="24"/>
                <w:szCs w:val="24"/>
                <w:lang w:val="en-US" w:eastAsia="zh-CN"/>
              </w:rPr>
              <w:t>3.5</w:t>
            </w:r>
          </w:p>
        </w:tc>
        <w:tc>
          <w:tcPr>
            <w:tcW w:w="1360" w:type="dxa"/>
            <w:noWrap w:val="0"/>
            <w:vAlign w:val="center"/>
          </w:tcPr>
          <w:p w14:paraId="3E832C16">
            <w:pPr>
              <w:pStyle w:val="41"/>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743" w:type="dxa"/>
            <w:noWrap w:val="0"/>
            <w:vAlign w:val="center"/>
          </w:tcPr>
          <w:p w14:paraId="0D7C189A">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4"/>
                <w:szCs w:val="24"/>
              </w:rPr>
            </w:pPr>
            <w:r>
              <w:rPr>
                <w:rFonts w:hint="default" w:ascii="Times New Roman" w:hAnsi="Times New Roman" w:cs="Times New Roman"/>
                <w:color w:val="auto"/>
                <w:sz w:val="24"/>
                <w:szCs w:val="24"/>
                <w:lang w:val="en-US" w:eastAsia="zh-CN"/>
              </w:rPr>
              <w:t>3.5</w:t>
            </w:r>
          </w:p>
        </w:tc>
        <w:tc>
          <w:tcPr>
            <w:tcW w:w="1637" w:type="dxa"/>
            <w:noWrap w:val="0"/>
            <w:vAlign w:val="center"/>
          </w:tcPr>
          <w:p w14:paraId="138089B6">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4"/>
                <w:szCs w:val="24"/>
              </w:rPr>
            </w:pPr>
            <w:r>
              <w:rPr>
                <w:rFonts w:hint="default" w:ascii="Times New Roman" w:hAnsi="Times New Roman" w:cs="Times New Roman"/>
                <w:color w:val="auto"/>
                <w:sz w:val="24"/>
                <w:szCs w:val="24"/>
                <w:lang w:val="en-US" w:eastAsia="zh-CN"/>
              </w:rPr>
              <w:t>+3.5</w:t>
            </w:r>
          </w:p>
        </w:tc>
      </w:tr>
      <w:tr w14:paraId="69E60C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260" w:type="dxa"/>
            <w:vMerge w:val="restart"/>
            <w:noWrap w:val="0"/>
            <w:vAlign w:val="center"/>
          </w:tcPr>
          <w:p w14:paraId="130202CC">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21"/>
                <w:sz w:val="24"/>
                <w:szCs w:val="24"/>
              </w:rPr>
              <w:t>危险废物</w:t>
            </w:r>
          </w:p>
        </w:tc>
        <w:tc>
          <w:tcPr>
            <w:tcW w:w="1912" w:type="dxa"/>
            <w:noWrap w:val="0"/>
            <w:vAlign w:val="center"/>
          </w:tcPr>
          <w:p w14:paraId="652E1B15">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rPr>
              <w:t>油污</w:t>
            </w:r>
          </w:p>
        </w:tc>
        <w:tc>
          <w:tcPr>
            <w:tcW w:w="1560" w:type="dxa"/>
            <w:noWrap w:val="0"/>
            <w:vAlign w:val="center"/>
          </w:tcPr>
          <w:p w14:paraId="69BB0014">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387" w:type="dxa"/>
            <w:noWrap w:val="0"/>
            <w:vAlign w:val="center"/>
          </w:tcPr>
          <w:p w14:paraId="1D168B72">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743" w:type="dxa"/>
            <w:noWrap w:val="0"/>
            <w:vAlign w:val="center"/>
          </w:tcPr>
          <w:p w14:paraId="74879054">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690" w:type="dxa"/>
            <w:noWrap w:val="0"/>
            <w:vAlign w:val="center"/>
          </w:tcPr>
          <w:p w14:paraId="37AC23D7">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4"/>
                <w:szCs w:val="24"/>
              </w:rPr>
            </w:pPr>
            <w:r>
              <w:rPr>
                <w:rFonts w:hint="default" w:ascii="Times New Roman" w:hAnsi="Times New Roman" w:cs="Times New Roman"/>
                <w:color w:val="auto"/>
                <w:sz w:val="24"/>
                <w:szCs w:val="24"/>
                <w:lang w:val="en-US" w:eastAsia="zh-CN"/>
              </w:rPr>
              <w:t>1.94</w:t>
            </w:r>
          </w:p>
        </w:tc>
        <w:tc>
          <w:tcPr>
            <w:tcW w:w="1360" w:type="dxa"/>
            <w:noWrap w:val="0"/>
            <w:vAlign w:val="center"/>
          </w:tcPr>
          <w:p w14:paraId="3DFC7616">
            <w:pPr>
              <w:pStyle w:val="41"/>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743" w:type="dxa"/>
            <w:noWrap w:val="0"/>
            <w:vAlign w:val="center"/>
          </w:tcPr>
          <w:p w14:paraId="6A66D0B8">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4"/>
                <w:szCs w:val="24"/>
              </w:rPr>
            </w:pPr>
            <w:r>
              <w:rPr>
                <w:rFonts w:hint="default" w:ascii="Times New Roman" w:hAnsi="Times New Roman" w:cs="Times New Roman"/>
                <w:color w:val="auto"/>
                <w:sz w:val="24"/>
                <w:szCs w:val="24"/>
                <w:lang w:val="en-US" w:eastAsia="zh-CN"/>
              </w:rPr>
              <w:t>1.94</w:t>
            </w:r>
          </w:p>
        </w:tc>
        <w:tc>
          <w:tcPr>
            <w:tcW w:w="1637" w:type="dxa"/>
            <w:noWrap w:val="0"/>
            <w:vAlign w:val="center"/>
          </w:tcPr>
          <w:p w14:paraId="72738619">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4"/>
                <w:szCs w:val="24"/>
              </w:rPr>
            </w:pPr>
            <w:r>
              <w:rPr>
                <w:rFonts w:hint="default" w:ascii="Times New Roman" w:hAnsi="Times New Roman" w:cs="Times New Roman"/>
                <w:color w:val="auto"/>
                <w:sz w:val="24"/>
                <w:szCs w:val="24"/>
                <w:lang w:val="en-US" w:eastAsia="zh-CN"/>
              </w:rPr>
              <w:t>+1.94</w:t>
            </w:r>
          </w:p>
        </w:tc>
      </w:tr>
      <w:tr w14:paraId="56626A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260" w:type="dxa"/>
            <w:vMerge w:val="continue"/>
            <w:noWrap w:val="0"/>
            <w:vAlign w:val="center"/>
          </w:tcPr>
          <w:p w14:paraId="377446C8">
            <w:pPr>
              <w:pStyle w:val="227"/>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p>
        </w:tc>
        <w:tc>
          <w:tcPr>
            <w:tcW w:w="1912" w:type="dxa"/>
            <w:noWrap w:val="0"/>
            <w:vAlign w:val="center"/>
          </w:tcPr>
          <w:p w14:paraId="1222583D">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kern w:val="0"/>
                <w:sz w:val="24"/>
                <w:szCs w:val="24"/>
                <w:lang w:val="en-US" w:eastAsia="zh-CN"/>
              </w:rPr>
              <w:t>油泥</w:t>
            </w:r>
          </w:p>
        </w:tc>
        <w:tc>
          <w:tcPr>
            <w:tcW w:w="1560" w:type="dxa"/>
            <w:noWrap w:val="0"/>
            <w:vAlign w:val="center"/>
          </w:tcPr>
          <w:p w14:paraId="1083D260">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387" w:type="dxa"/>
            <w:noWrap w:val="0"/>
            <w:vAlign w:val="center"/>
          </w:tcPr>
          <w:p w14:paraId="34D08A3B">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743" w:type="dxa"/>
            <w:noWrap w:val="0"/>
            <w:vAlign w:val="center"/>
          </w:tcPr>
          <w:p w14:paraId="5AA7A852">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690" w:type="dxa"/>
            <w:noWrap w:val="0"/>
            <w:vAlign w:val="center"/>
          </w:tcPr>
          <w:p w14:paraId="140BE4BB">
            <w:pPr>
              <w:pStyle w:val="217"/>
              <w:keepNext w:val="0"/>
              <w:keepLines w:val="0"/>
              <w:suppressLineNumbers w:val="0"/>
              <w:spacing w:before="0" w:beforeAutospacing="0" w:after="0" w:afterAutospacing="0"/>
              <w:ind w:left="-105" w:leftChars="-50" w:right="-105" w:rightChars="-50"/>
              <w:rPr>
                <w:rFonts w:hint="default" w:ascii="Times New Roman" w:hAnsi="Times New Roman" w:eastAsia="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0.5</w:t>
            </w:r>
          </w:p>
        </w:tc>
        <w:tc>
          <w:tcPr>
            <w:tcW w:w="1360" w:type="dxa"/>
            <w:noWrap w:val="0"/>
            <w:vAlign w:val="center"/>
          </w:tcPr>
          <w:p w14:paraId="3DEC8734">
            <w:pPr>
              <w:pStyle w:val="41"/>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eastAsia="宋体" w:cs="Times New Roman"/>
                <w:snapToGrid w:val="0"/>
                <w:color w:val="auto"/>
                <w:kern w:val="21"/>
                <w:sz w:val="24"/>
                <w:szCs w:val="24"/>
                <w:lang w:val="en-US" w:eastAsia="zh-CN"/>
              </w:rPr>
              <w:t>0</w:t>
            </w:r>
          </w:p>
        </w:tc>
        <w:tc>
          <w:tcPr>
            <w:tcW w:w="1743" w:type="dxa"/>
            <w:noWrap w:val="0"/>
            <w:vAlign w:val="center"/>
          </w:tcPr>
          <w:p w14:paraId="6F84AF19">
            <w:pPr>
              <w:pStyle w:val="217"/>
              <w:keepNext w:val="0"/>
              <w:keepLines w:val="0"/>
              <w:suppressLineNumbers w:val="0"/>
              <w:spacing w:before="0" w:beforeAutospacing="0" w:after="0" w:afterAutospacing="0"/>
              <w:ind w:left="-105" w:leftChars="-50" w:right="-105" w:rightChars="-50"/>
              <w:rPr>
                <w:rFonts w:hint="default" w:ascii="Times New Roman" w:hAnsi="Times New Roman" w:eastAsia="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0.5</w:t>
            </w:r>
          </w:p>
        </w:tc>
        <w:tc>
          <w:tcPr>
            <w:tcW w:w="1637" w:type="dxa"/>
            <w:noWrap w:val="0"/>
            <w:vAlign w:val="center"/>
          </w:tcPr>
          <w:p w14:paraId="2C9B5B3D">
            <w:pPr>
              <w:pStyle w:val="217"/>
              <w:keepNext w:val="0"/>
              <w:keepLines w:val="0"/>
              <w:suppressLineNumbers w:val="0"/>
              <w:spacing w:before="0" w:beforeAutospacing="0" w:after="0" w:afterAutospacing="0"/>
              <w:ind w:left="-105" w:leftChars="-50" w:right="-105" w:rightChars="-50"/>
              <w:rPr>
                <w:rFonts w:hint="default" w:ascii="Times New Roman" w:hAnsi="Times New Roman" w:eastAsia="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+0.5</w:t>
            </w:r>
          </w:p>
        </w:tc>
      </w:tr>
      <w:tr w14:paraId="2F5E4F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260" w:type="dxa"/>
            <w:vMerge w:val="continue"/>
            <w:noWrap w:val="0"/>
            <w:vAlign w:val="center"/>
          </w:tcPr>
          <w:p w14:paraId="4CBB0949">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rPr>
                <w:rFonts w:hint="default" w:ascii="Times New Roman" w:hAnsi="Times New Roman" w:eastAsia="宋体" w:cs="Times New Roman"/>
                <w:color w:val="auto"/>
                <w:sz w:val="24"/>
                <w:szCs w:val="24"/>
              </w:rPr>
            </w:pPr>
          </w:p>
        </w:tc>
        <w:tc>
          <w:tcPr>
            <w:tcW w:w="1912" w:type="dxa"/>
            <w:noWrap w:val="0"/>
            <w:vAlign w:val="center"/>
          </w:tcPr>
          <w:p w14:paraId="54F3C18B">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废活性炭</w:t>
            </w:r>
          </w:p>
        </w:tc>
        <w:tc>
          <w:tcPr>
            <w:tcW w:w="1560" w:type="dxa"/>
            <w:noWrap w:val="0"/>
            <w:vAlign w:val="center"/>
          </w:tcPr>
          <w:p w14:paraId="13308D09">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387" w:type="dxa"/>
            <w:noWrap w:val="0"/>
            <w:vAlign w:val="center"/>
          </w:tcPr>
          <w:p w14:paraId="4C43C452">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743" w:type="dxa"/>
            <w:noWrap w:val="0"/>
            <w:vAlign w:val="center"/>
          </w:tcPr>
          <w:p w14:paraId="276EDF0F">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690" w:type="dxa"/>
            <w:noWrap w:val="0"/>
            <w:vAlign w:val="center"/>
          </w:tcPr>
          <w:p w14:paraId="217A7425">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4"/>
                <w:szCs w:val="24"/>
              </w:rPr>
            </w:pPr>
            <w:r>
              <w:rPr>
                <w:rFonts w:hint="default" w:ascii="Times New Roman" w:hAnsi="Times New Roman" w:eastAsia="Times New Roman" w:cs="Times New Roman"/>
                <w:color w:val="auto"/>
                <w:sz w:val="24"/>
                <w:szCs w:val="24"/>
                <w:lang w:val="en-US" w:eastAsia="zh-CN"/>
              </w:rPr>
              <w:t>2.23</w:t>
            </w:r>
          </w:p>
        </w:tc>
        <w:tc>
          <w:tcPr>
            <w:tcW w:w="1360" w:type="dxa"/>
            <w:noWrap w:val="0"/>
            <w:vAlign w:val="center"/>
          </w:tcPr>
          <w:p w14:paraId="01A2BF23">
            <w:pPr>
              <w:pStyle w:val="41"/>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743" w:type="dxa"/>
            <w:noWrap w:val="0"/>
            <w:vAlign w:val="center"/>
          </w:tcPr>
          <w:p w14:paraId="046C7A7E">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4"/>
                <w:szCs w:val="24"/>
              </w:rPr>
            </w:pPr>
            <w:r>
              <w:rPr>
                <w:rFonts w:hint="default" w:ascii="Times New Roman" w:hAnsi="Times New Roman" w:eastAsia="Times New Roman" w:cs="Times New Roman"/>
                <w:color w:val="auto"/>
                <w:sz w:val="24"/>
                <w:szCs w:val="24"/>
                <w:lang w:val="en-US" w:eastAsia="zh-CN"/>
              </w:rPr>
              <w:t>2.23</w:t>
            </w:r>
          </w:p>
        </w:tc>
        <w:tc>
          <w:tcPr>
            <w:tcW w:w="1637" w:type="dxa"/>
            <w:noWrap w:val="0"/>
            <w:vAlign w:val="center"/>
          </w:tcPr>
          <w:p w14:paraId="6AED7234">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4"/>
                <w:szCs w:val="24"/>
              </w:rPr>
            </w:pPr>
            <w:r>
              <w:rPr>
                <w:rFonts w:hint="default" w:ascii="Times New Roman" w:hAnsi="Times New Roman" w:eastAsia="Times New Roman" w:cs="Times New Roman"/>
                <w:color w:val="auto"/>
                <w:sz w:val="24"/>
                <w:szCs w:val="24"/>
                <w:lang w:val="en-US" w:eastAsia="zh-CN"/>
              </w:rPr>
              <w:t>+2.23</w:t>
            </w:r>
          </w:p>
        </w:tc>
      </w:tr>
      <w:tr w14:paraId="3F026D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260" w:type="dxa"/>
            <w:vMerge w:val="continue"/>
            <w:noWrap w:val="0"/>
            <w:vAlign w:val="center"/>
          </w:tcPr>
          <w:p w14:paraId="57D7BE0D">
            <w:pPr>
              <w:pStyle w:val="227"/>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p>
        </w:tc>
        <w:tc>
          <w:tcPr>
            <w:tcW w:w="1912" w:type="dxa"/>
            <w:noWrap w:val="0"/>
            <w:vAlign w:val="center"/>
          </w:tcPr>
          <w:p w14:paraId="1D44420D">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废</w:t>
            </w:r>
            <w:r>
              <w:rPr>
                <w:rFonts w:hint="default" w:ascii="Times New Roman" w:hAnsi="Times New Roman" w:eastAsia="宋体" w:cs="Times New Roman"/>
                <w:color w:val="auto"/>
                <w:sz w:val="24"/>
                <w:szCs w:val="24"/>
                <w:lang w:val="en-US" w:eastAsia="zh-CN"/>
              </w:rPr>
              <w:t>润滑油</w:t>
            </w:r>
          </w:p>
        </w:tc>
        <w:tc>
          <w:tcPr>
            <w:tcW w:w="1560" w:type="dxa"/>
            <w:noWrap w:val="0"/>
            <w:vAlign w:val="center"/>
          </w:tcPr>
          <w:p w14:paraId="3B983171">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387" w:type="dxa"/>
            <w:noWrap w:val="0"/>
            <w:vAlign w:val="center"/>
          </w:tcPr>
          <w:p w14:paraId="1B5C380E">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743" w:type="dxa"/>
            <w:noWrap w:val="0"/>
            <w:vAlign w:val="center"/>
          </w:tcPr>
          <w:p w14:paraId="4CA917BA">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690" w:type="dxa"/>
            <w:noWrap w:val="0"/>
            <w:vAlign w:val="center"/>
          </w:tcPr>
          <w:p w14:paraId="0B5C0123">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0.24</w:t>
            </w:r>
          </w:p>
        </w:tc>
        <w:tc>
          <w:tcPr>
            <w:tcW w:w="1360" w:type="dxa"/>
            <w:noWrap w:val="0"/>
            <w:vAlign w:val="center"/>
          </w:tcPr>
          <w:p w14:paraId="6924352B">
            <w:pPr>
              <w:pStyle w:val="41"/>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743" w:type="dxa"/>
            <w:noWrap w:val="0"/>
            <w:vAlign w:val="center"/>
          </w:tcPr>
          <w:p w14:paraId="72FB726B">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0.24</w:t>
            </w:r>
          </w:p>
        </w:tc>
        <w:tc>
          <w:tcPr>
            <w:tcW w:w="1637" w:type="dxa"/>
            <w:noWrap w:val="0"/>
            <w:vAlign w:val="center"/>
          </w:tcPr>
          <w:p w14:paraId="14CF8A79">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+0.24</w:t>
            </w:r>
          </w:p>
        </w:tc>
      </w:tr>
      <w:tr w14:paraId="23AE17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260" w:type="dxa"/>
            <w:vMerge w:val="continue"/>
            <w:noWrap w:val="0"/>
            <w:vAlign w:val="center"/>
          </w:tcPr>
          <w:p w14:paraId="404B3219">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rPr>
                <w:rFonts w:hint="default" w:ascii="Times New Roman" w:hAnsi="Times New Roman" w:eastAsia="宋体" w:cs="Times New Roman"/>
                <w:color w:val="auto"/>
                <w:sz w:val="24"/>
                <w:szCs w:val="24"/>
              </w:rPr>
            </w:pPr>
          </w:p>
        </w:tc>
        <w:tc>
          <w:tcPr>
            <w:tcW w:w="1912" w:type="dxa"/>
            <w:noWrap w:val="0"/>
            <w:vAlign w:val="center"/>
          </w:tcPr>
          <w:p w14:paraId="3E88BEAE">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废包装桶</w:t>
            </w:r>
          </w:p>
        </w:tc>
        <w:tc>
          <w:tcPr>
            <w:tcW w:w="1560" w:type="dxa"/>
            <w:noWrap w:val="0"/>
            <w:vAlign w:val="center"/>
          </w:tcPr>
          <w:p w14:paraId="0663A6CA">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21"/>
                <w:sz w:val="24"/>
                <w:szCs w:val="24"/>
              </w:rPr>
              <w:t>0</w:t>
            </w:r>
          </w:p>
        </w:tc>
        <w:tc>
          <w:tcPr>
            <w:tcW w:w="1387" w:type="dxa"/>
            <w:noWrap w:val="0"/>
            <w:vAlign w:val="center"/>
          </w:tcPr>
          <w:p w14:paraId="1B529AAC">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21"/>
                <w:sz w:val="24"/>
                <w:szCs w:val="24"/>
              </w:rPr>
              <w:t>0</w:t>
            </w:r>
          </w:p>
        </w:tc>
        <w:tc>
          <w:tcPr>
            <w:tcW w:w="1743" w:type="dxa"/>
            <w:noWrap w:val="0"/>
            <w:vAlign w:val="center"/>
          </w:tcPr>
          <w:p w14:paraId="4927B4F1">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21"/>
                <w:sz w:val="24"/>
                <w:szCs w:val="24"/>
              </w:rPr>
              <w:t>0</w:t>
            </w:r>
          </w:p>
        </w:tc>
        <w:tc>
          <w:tcPr>
            <w:tcW w:w="1690" w:type="dxa"/>
            <w:noWrap w:val="0"/>
            <w:vAlign w:val="center"/>
          </w:tcPr>
          <w:p w14:paraId="38E578B3">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4"/>
                <w:szCs w:val="24"/>
              </w:rPr>
            </w:pPr>
            <w:r>
              <w:rPr>
                <w:rFonts w:hint="default" w:ascii="Times New Roman" w:hAnsi="Times New Roman" w:eastAsia="Times New Roman" w:cs="Times New Roman"/>
                <w:color w:val="auto"/>
                <w:sz w:val="24"/>
                <w:szCs w:val="24"/>
                <w:lang w:val="en-US" w:eastAsia="zh-CN"/>
              </w:rPr>
              <w:t>0.93</w:t>
            </w:r>
          </w:p>
        </w:tc>
        <w:tc>
          <w:tcPr>
            <w:tcW w:w="1360" w:type="dxa"/>
            <w:noWrap w:val="0"/>
            <w:vAlign w:val="center"/>
          </w:tcPr>
          <w:p w14:paraId="108D99C4">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0</w:t>
            </w:r>
          </w:p>
        </w:tc>
        <w:tc>
          <w:tcPr>
            <w:tcW w:w="1743" w:type="dxa"/>
            <w:noWrap w:val="0"/>
            <w:vAlign w:val="center"/>
          </w:tcPr>
          <w:p w14:paraId="4EB777DB">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4"/>
                <w:szCs w:val="24"/>
              </w:rPr>
            </w:pPr>
            <w:r>
              <w:rPr>
                <w:rFonts w:hint="default" w:ascii="Times New Roman" w:hAnsi="Times New Roman" w:eastAsia="Times New Roman" w:cs="Times New Roman"/>
                <w:color w:val="auto"/>
                <w:sz w:val="24"/>
                <w:szCs w:val="24"/>
                <w:lang w:val="en-US" w:eastAsia="zh-CN"/>
              </w:rPr>
              <w:t>0.93</w:t>
            </w:r>
          </w:p>
        </w:tc>
        <w:tc>
          <w:tcPr>
            <w:tcW w:w="1637" w:type="dxa"/>
            <w:noWrap w:val="0"/>
            <w:vAlign w:val="center"/>
          </w:tcPr>
          <w:p w14:paraId="25E431FC">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4"/>
                <w:szCs w:val="24"/>
              </w:rPr>
            </w:pPr>
            <w:r>
              <w:rPr>
                <w:rFonts w:hint="default" w:ascii="Times New Roman" w:hAnsi="Times New Roman" w:eastAsia="Times New Roman" w:cs="Times New Roman"/>
                <w:color w:val="auto"/>
                <w:sz w:val="24"/>
                <w:szCs w:val="24"/>
                <w:lang w:val="en-US" w:eastAsia="zh-CN"/>
              </w:rPr>
              <w:t>+0.93</w:t>
            </w:r>
          </w:p>
        </w:tc>
      </w:tr>
      <w:tr w14:paraId="2F5FB3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260" w:type="dxa"/>
            <w:vMerge w:val="continue"/>
            <w:noWrap w:val="0"/>
            <w:vAlign w:val="center"/>
          </w:tcPr>
          <w:p w14:paraId="1FF4E37E">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rPr>
                <w:rFonts w:hint="default" w:ascii="Times New Roman" w:hAnsi="Times New Roman" w:eastAsia="宋体" w:cs="Times New Roman"/>
                <w:color w:val="auto"/>
                <w:sz w:val="24"/>
                <w:szCs w:val="24"/>
              </w:rPr>
            </w:pPr>
          </w:p>
        </w:tc>
        <w:tc>
          <w:tcPr>
            <w:tcW w:w="1912" w:type="dxa"/>
            <w:noWrap w:val="0"/>
            <w:vAlign w:val="center"/>
          </w:tcPr>
          <w:p w14:paraId="33744B54">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废过滤棉</w:t>
            </w:r>
          </w:p>
        </w:tc>
        <w:tc>
          <w:tcPr>
            <w:tcW w:w="1560" w:type="dxa"/>
            <w:noWrap w:val="0"/>
            <w:vAlign w:val="center"/>
          </w:tcPr>
          <w:p w14:paraId="7ECC1EB4">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387" w:type="dxa"/>
            <w:noWrap w:val="0"/>
            <w:vAlign w:val="center"/>
          </w:tcPr>
          <w:p w14:paraId="43BF46C2">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743" w:type="dxa"/>
            <w:noWrap w:val="0"/>
            <w:vAlign w:val="center"/>
          </w:tcPr>
          <w:p w14:paraId="673FEA76">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0</w:t>
            </w:r>
          </w:p>
        </w:tc>
        <w:tc>
          <w:tcPr>
            <w:tcW w:w="1690" w:type="dxa"/>
            <w:noWrap w:val="0"/>
            <w:vAlign w:val="center"/>
          </w:tcPr>
          <w:p w14:paraId="72CA5A4D">
            <w:pPr>
              <w:pStyle w:val="217"/>
              <w:keepNext w:val="0"/>
              <w:keepLines w:val="0"/>
              <w:suppressLineNumbers w:val="0"/>
              <w:spacing w:before="0" w:beforeAutospacing="0" w:after="0" w:afterAutospacing="0"/>
              <w:ind w:left="-105" w:leftChars="-50" w:right="-105" w:rightChars="-50"/>
              <w:rPr>
                <w:rFonts w:hint="default" w:ascii="Times New Roman" w:hAnsi="Times New Roman" w:eastAsia="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0.225</w:t>
            </w:r>
          </w:p>
        </w:tc>
        <w:tc>
          <w:tcPr>
            <w:tcW w:w="1360" w:type="dxa"/>
            <w:noWrap w:val="0"/>
            <w:vAlign w:val="center"/>
          </w:tcPr>
          <w:p w14:paraId="54497FF3">
            <w:pPr>
              <w:pStyle w:val="41"/>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21"/>
                <w:sz w:val="24"/>
                <w:szCs w:val="24"/>
              </w:rPr>
              <w:t>0</w:t>
            </w:r>
          </w:p>
        </w:tc>
        <w:tc>
          <w:tcPr>
            <w:tcW w:w="1743" w:type="dxa"/>
            <w:noWrap w:val="0"/>
            <w:vAlign w:val="center"/>
          </w:tcPr>
          <w:p w14:paraId="74656998">
            <w:pPr>
              <w:pStyle w:val="217"/>
              <w:keepNext w:val="0"/>
              <w:keepLines w:val="0"/>
              <w:suppressLineNumbers w:val="0"/>
              <w:spacing w:before="0" w:beforeAutospacing="0" w:after="0" w:afterAutospacing="0"/>
              <w:ind w:left="-105" w:leftChars="-50" w:right="-105" w:rightChars="-50"/>
              <w:rPr>
                <w:rFonts w:hint="default" w:ascii="Times New Roman" w:hAnsi="Times New Roman" w:eastAsia="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0.225</w:t>
            </w:r>
          </w:p>
        </w:tc>
        <w:tc>
          <w:tcPr>
            <w:tcW w:w="1637" w:type="dxa"/>
            <w:noWrap w:val="0"/>
            <w:vAlign w:val="center"/>
          </w:tcPr>
          <w:p w14:paraId="5949A9C2">
            <w:pPr>
              <w:pStyle w:val="217"/>
              <w:keepNext w:val="0"/>
              <w:keepLines w:val="0"/>
              <w:suppressLineNumbers w:val="0"/>
              <w:spacing w:before="0" w:beforeAutospacing="0" w:after="0" w:afterAutospacing="0"/>
              <w:ind w:left="-105" w:leftChars="-50" w:right="-105" w:rightChars="-50"/>
              <w:rPr>
                <w:rFonts w:hint="default" w:ascii="Times New Roman" w:hAnsi="Times New Roman" w:eastAsia="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0.225</w:t>
            </w:r>
          </w:p>
        </w:tc>
      </w:tr>
    </w:tbl>
    <w:p w14:paraId="77B5CD57">
      <w:pPr>
        <w:pStyle w:val="64"/>
        <w:tabs>
          <w:tab w:val="center" w:pos="0"/>
        </w:tabs>
        <w:spacing w:beforeLines="0" w:afterLines="0" w:line="240" w:lineRule="auto"/>
        <w:jc w:val="left"/>
        <w:rPr>
          <w:rFonts w:hint="default" w:ascii="Times New Roman" w:hAnsi="Times New Roman" w:eastAsia="宋体" w:cs="Times New Roman"/>
          <w:snapToGrid w:val="0"/>
          <w:color w:val="auto"/>
          <w:kern w:val="21"/>
          <w:sz w:val="24"/>
        </w:rPr>
      </w:pPr>
      <w:r>
        <w:rPr>
          <w:rFonts w:hint="default" w:ascii="Times New Roman" w:hAnsi="Times New Roman" w:eastAsia="宋体" w:cs="Times New Roman"/>
          <w:snapToGrid w:val="0"/>
          <w:color w:val="auto"/>
          <w:kern w:val="21"/>
        </w:rPr>
        <w:t>注：</w:t>
      </w:r>
      <w:r>
        <w:rPr>
          <w:rFonts w:hint="default" w:ascii="Times New Roman" w:hAnsi="Times New Roman" w:eastAsia="宋体" w:cs="Times New Roman"/>
          <w:snapToGrid w:val="0"/>
          <w:color w:val="auto"/>
          <w:kern w:val="21"/>
        </w:rPr>
        <w:fldChar w:fldCharType="begin"/>
      </w:r>
      <w:r>
        <w:rPr>
          <w:rFonts w:hint="default" w:ascii="Times New Roman" w:hAnsi="Times New Roman" w:eastAsia="宋体" w:cs="Times New Roman"/>
          <w:snapToGrid w:val="0"/>
          <w:color w:val="auto"/>
          <w:kern w:val="21"/>
        </w:rPr>
        <w:instrText xml:space="preserve"> = 6 \* GB3 \* MERGEFORMAT </w:instrText>
      </w:r>
      <w:r>
        <w:rPr>
          <w:rFonts w:hint="default" w:ascii="Times New Roman" w:hAnsi="Times New Roman" w:eastAsia="宋体" w:cs="Times New Roman"/>
          <w:snapToGrid w:val="0"/>
          <w:color w:val="auto"/>
          <w:kern w:val="21"/>
        </w:rPr>
        <w:fldChar w:fldCharType="separate"/>
      </w:r>
      <w:r>
        <w:rPr>
          <w:rFonts w:hint="default" w:ascii="Times New Roman" w:hAnsi="Times New Roman" w:eastAsia="宋体" w:cs="Times New Roman"/>
          <w:color w:val="auto"/>
        </w:rPr>
        <w:t>⑥</w:t>
      </w:r>
      <w:r>
        <w:rPr>
          <w:rFonts w:hint="default" w:ascii="Times New Roman" w:hAnsi="Times New Roman" w:eastAsia="宋体" w:cs="Times New Roman"/>
          <w:snapToGrid w:val="0"/>
          <w:color w:val="auto"/>
          <w:kern w:val="21"/>
        </w:rPr>
        <w:fldChar w:fldCharType="end"/>
      </w:r>
      <w:r>
        <w:rPr>
          <w:rFonts w:hint="default" w:ascii="Times New Roman" w:hAnsi="Times New Roman" w:eastAsia="宋体" w:cs="Times New Roman"/>
          <w:snapToGrid w:val="0"/>
          <w:color w:val="auto"/>
          <w:kern w:val="21"/>
        </w:rPr>
        <w:t>=</w:t>
      </w:r>
      <w:r>
        <w:rPr>
          <w:rFonts w:hint="default" w:ascii="Times New Roman" w:hAnsi="Times New Roman" w:eastAsia="宋体" w:cs="Times New Roman"/>
          <w:snapToGrid w:val="0"/>
          <w:color w:val="auto"/>
          <w:kern w:val="21"/>
        </w:rPr>
        <w:fldChar w:fldCharType="begin"/>
      </w:r>
      <w:r>
        <w:rPr>
          <w:rFonts w:hint="default" w:ascii="Times New Roman" w:hAnsi="Times New Roman" w:eastAsia="宋体" w:cs="Times New Roman"/>
          <w:snapToGrid w:val="0"/>
          <w:color w:val="auto"/>
          <w:kern w:val="21"/>
        </w:rPr>
        <w:instrText xml:space="preserve"> = 1 \* GB3 \* MERGEFORMAT </w:instrText>
      </w:r>
      <w:r>
        <w:rPr>
          <w:rFonts w:hint="default" w:ascii="Times New Roman" w:hAnsi="Times New Roman" w:eastAsia="宋体" w:cs="Times New Roman"/>
          <w:snapToGrid w:val="0"/>
          <w:color w:val="auto"/>
          <w:kern w:val="21"/>
        </w:rPr>
        <w:fldChar w:fldCharType="separate"/>
      </w:r>
      <w:r>
        <w:rPr>
          <w:rFonts w:hint="default" w:ascii="Times New Roman" w:hAnsi="Times New Roman" w:eastAsia="宋体" w:cs="Times New Roman"/>
          <w:color w:val="auto"/>
        </w:rPr>
        <w:t>①</w:t>
      </w:r>
      <w:r>
        <w:rPr>
          <w:rFonts w:hint="default" w:ascii="Times New Roman" w:hAnsi="Times New Roman" w:eastAsia="宋体" w:cs="Times New Roman"/>
          <w:snapToGrid w:val="0"/>
          <w:color w:val="auto"/>
          <w:kern w:val="21"/>
        </w:rPr>
        <w:fldChar w:fldCharType="end"/>
      </w:r>
      <w:r>
        <w:rPr>
          <w:rFonts w:hint="default" w:ascii="Times New Roman" w:hAnsi="Times New Roman" w:eastAsia="宋体" w:cs="Times New Roman"/>
          <w:snapToGrid w:val="0"/>
          <w:color w:val="auto"/>
          <w:kern w:val="21"/>
        </w:rPr>
        <w:t>+</w:t>
      </w:r>
      <w:r>
        <w:rPr>
          <w:rFonts w:hint="default" w:ascii="Times New Roman" w:hAnsi="Times New Roman" w:eastAsia="宋体" w:cs="Times New Roman"/>
          <w:snapToGrid w:val="0"/>
          <w:color w:val="auto"/>
          <w:kern w:val="21"/>
        </w:rPr>
        <w:fldChar w:fldCharType="begin"/>
      </w:r>
      <w:r>
        <w:rPr>
          <w:rFonts w:hint="default" w:ascii="Times New Roman" w:hAnsi="Times New Roman" w:eastAsia="宋体" w:cs="Times New Roman"/>
          <w:snapToGrid w:val="0"/>
          <w:color w:val="auto"/>
          <w:kern w:val="21"/>
        </w:rPr>
        <w:instrText xml:space="preserve"> = 3 \* GB3 \* MERGEFORMAT </w:instrText>
      </w:r>
      <w:r>
        <w:rPr>
          <w:rFonts w:hint="default" w:ascii="Times New Roman" w:hAnsi="Times New Roman" w:eastAsia="宋体" w:cs="Times New Roman"/>
          <w:snapToGrid w:val="0"/>
          <w:color w:val="auto"/>
          <w:kern w:val="21"/>
        </w:rPr>
        <w:fldChar w:fldCharType="separate"/>
      </w:r>
      <w:r>
        <w:rPr>
          <w:rFonts w:hint="default" w:ascii="Times New Roman" w:hAnsi="Times New Roman" w:eastAsia="宋体" w:cs="Times New Roman"/>
          <w:color w:val="auto"/>
        </w:rPr>
        <w:t>③</w:t>
      </w:r>
      <w:r>
        <w:rPr>
          <w:rFonts w:hint="default" w:ascii="Times New Roman" w:hAnsi="Times New Roman" w:eastAsia="宋体" w:cs="Times New Roman"/>
          <w:snapToGrid w:val="0"/>
          <w:color w:val="auto"/>
          <w:kern w:val="21"/>
        </w:rPr>
        <w:fldChar w:fldCharType="end"/>
      </w:r>
      <w:r>
        <w:rPr>
          <w:rFonts w:hint="default" w:ascii="Times New Roman" w:hAnsi="Times New Roman" w:eastAsia="宋体" w:cs="Times New Roman"/>
          <w:snapToGrid w:val="0"/>
          <w:color w:val="auto"/>
          <w:kern w:val="21"/>
        </w:rPr>
        <w:t>+</w:t>
      </w:r>
      <w:r>
        <w:rPr>
          <w:rFonts w:hint="default" w:ascii="Times New Roman" w:hAnsi="Times New Roman" w:eastAsia="宋体" w:cs="Times New Roman"/>
          <w:snapToGrid w:val="0"/>
          <w:color w:val="auto"/>
          <w:kern w:val="21"/>
        </w:rPr>
        <w:fldChar w:fldCharType="begin"/>
      </w:r>
      <w:r>
        <w:rPr>
          <w:rFonts w:hint="default" w:ascii="Times New Roman" w:hAnsi="Times New Roman" w:eastAsia="宋体" w:cs="Times New Roman"/>
          <w:snapToGrid w:val="0"/>
          <w:color w:val="auto"/>
          <w:kern w:val="21"/>
        </w:rPr>
        <w:instrText xml:space="preserve"> = 4 \* GB3 \* MERGEFORMAT </w:instrText>
      </w:r>
      <w:r>
        <w:rPr>
          <w:rFonts w:hint="default" w:ascii="Times New Roman" w:hAnsi="Times New Roman" w:eastAsia="宋体" w:cs="Times New Roman"/>
          <w:snapToGrid w:val="0"/>
          <w:color w:val="auto"/>
          <w:kern w:val="21"/>
        </w:rPr>
        <w:fldChar w:fldCharType="separate"/>
      </w:r>
      <w:r>
        <w:rPr>
          <w:rFonts w:hint="default" w:ascii="Times New Roman" w:hAnsi="Times New Roman" w:eastAsia="宋体" w:cs="Times New Roman"/>
          <w:color w:val="auto"/>
        </w:rPr>
        <w:t>④</w:t>
      </w:r>
      <w:r>
        <w:rPr>
          <w:rFonts w:hint="default" w:ascii="Times New Roman" w:hAnsi="Times New Roman" w:eastAsia="宋体" w:cs="Times New Roman"/>
          <w:snapToGrid w:val="0"/>
          <w:color w:val="auto"/>
          <w:kern w:val="21"/>
        </w:rPr>
        <w:fldChar w:fldCharType="end"/>
      </w:r>
      <w:r>
        <w:rPr>
          <w:rFonts w:hint="default" w:ascii="Times New Roman" w:hAnsi="Times New Roman" w:eastAsia="宋体" w:cs="Times New Roman"/>
          <w:snapToGrid w:val="0"/>
          <w:color w:val="auto"/>
          <w:kern w:val="21"/>
        </w:rPr>
        <w:t>-</w:t>
      </w:r>
      <w:r>
        <w:rPr>
          <w:rFonts w:hint="default" w:ascii="Times New Roman" w:hAnsi="Times New Roman" w:eastAsia="宋体" w:cs="Times New Roman"/>
          <w:snapToGrid w:val="0"/>
          <w:color w:val="auto"/>
          <w:kern w:val="21"/>
        </w:rPr>
        <w:fldChar w:fldCharType="begin"/>
      </w:r>
      <w:r>
        <w:rPr>
          <w:rFonts w:hint="default" w:ascii="Times New Roman" w:hAnsi="Times New Roman" w:eastAsia="宋体" w:cs="Times New Roman"/>
          <w:snapToGrid w:val="0"/>
          <w:color w:val="auto"/>
          <w:kern w:val="21"/>
        </w:rPr>
        <w:instrText xml:space="preserve"> = 5 \* GB3 \* MERGEFORMAT </w:instrText>
      </w:r>
      <w:r>
        <w:rPr>
          <w:rFonts w:hint="default" w:ascii="Times New Roman" w:hAnsi="Times New Roman" w:eastAsia="宋体" w:cs="Times New Roman"/>
          <w:snapToGrid w:val="0"/>
          <w:color w:val="auto"/>
          <w:kern w:val="21"/>
        </w:rPr>
        <w:fldChar w:fldCharType="separate"/>
      </w:r>
      <w:r>
        <w:rPr>
          <w:rFonts w:hint="default" w:ascii="Times New Roman" w:hAnsi="Times New Roman" w:eastAsia="宋体" w:cs="Times New Roman"/>
          <w:color w:val="auto"/>
        </w:rPr>
        <w:t>⑤</w:t>
      </w:r>
      <w:r>
        <w:rPr>
          <w:rFonts w:hint="default" w:ascii="Times New Roman" w:hAnsi="Times New Roman" w:eastAsia="宋体" w:cs="Times New Roman"/>
          <w:snapToGrid w:val="0"/>
          <w:color w:val="auto"/>
          <w:kern w:val="21"/>
        </w:rPr>
        <w:fldChar w:fldCharType="end"/>
      </w:r>
      <w:r>
        <w:rPr>
          <w:rFonts w:hint="default" w:ascii="Times New Roman" w:hAnsi="Times New Roman" w:eastAsia="宋体" w:cs="Times New Roman"/>
          <w:snapToGrid w:val="0"/>
          <w:color w:val="auto"/>
          <w:kern w:val="21"/>
        </w:rPr>
        <w:t>；</w:t>
      </w:r>
      <w:r>
        <w:rPr>
          <w:rFonts w:hint="default" w:ascii="Times New Roman" w:hAnsi="Times New Roman" w:eastAsia="宋体" w:cs="Times New Roman"/>
          <w:snapToGrid w:val="0"/>
          <w:color w:val="auto"/>
          <w:kern w:val="21"/>
        </w:rPr>
        <w:fldChar w:fldCharType="begin"/>
      </w:r>
      <w:r>
        <w:rPr>
          <w:rFonts w:hint="default" w:ascii="Times New Roman" w:hAnsi="Times New Roman" w:eastAsia="宋体" w:cs="Times New Roman"/>
          <w:snapToGrid w:val="0"/>
          <w:color w:val="auto"/>
          <w:kern w:val="21"/>
        </w:rPr>
        <w:instrText xml:space="preserve"> = 7 \* GB3 \* MERGEFORMAT </w:instrText>
      </w:r>
      <w:r>
        <w:rPr>
          <w:rFonts w:hint="default" w:ascii="Times New Roman" w:hAnsi="Times New Roman" w:eastAsia="宋体" w:cs="Times New Roman"/>
          <w:snapToGrid w:val="0"/>
          <w:color w:val="auto"/>
          <w:kern w:val="21"/>
        </w:rPr>
        <w:fldChar w:fldCharType="separate"/>
      </w:r>
      <w:r>
        <w:rPr>
          <w:rFonts w:hint="default" w:ascii="Times New Roman" w:hAnsi="Times New Roman" w:eastAsia="宋体" w:cs="Times New Roman"/>
          <w:color w:val="auto"/>
        </w:rPr>
        <w:t>⑦</w:t>
      </w:r>
      <w:r>
        <w:rPr>
          <w:rFonts w:hint="default" w:ascii="Times New Roman" w:hAnsi="Times New Roman" w:eastAsia="宋体" w:cs="Times New Roman"/>
          <w:snapToGrid w:val="0"/>
          <w:color w:val="auto"/>
          <w:kern w:val="21"/>
        </w:rPr>
        <w:fldChar w:fldCharType="end"/>
      </w:r>
      <w:r>
        <w:rPr>
          <w:rFonts w:hint="default" w:ascii="Times New Roman" w:hAnsi="Times New Roman" w:eastAsia="宋体" w:cs="Times New Roman"/>
          <w:snapToGrid w:val="0"/>
          <w:color w:val="auto"/>
          <w:kern w:val="21"/>
        </w:rPr>
        <w:t>=</w:t>
      </w:r>
      <w:r>
        <w:rPr>
          <w:rFonts w:hint="default" w:ascii="Times New Roman" w:hAnsi="Times New Roman" w:eastAsia="宋体" w:cs="Times New Roman"/>
          <w:snapToGrid w:val="0"/>
          <w:color w:val="auto"/>
          <w:kern w:val="21"/>
        </w:rPr>
        <w:fldChar w:fldCharType="begin"/>
      </w:r>
      <w:r>
        <w:rPr>
          <w:rFonts w:hint="default" w:ascii="Times New Roman" w:hAnsi="Times New Roman" w:eastAsia="宋体" w:cs="Times New Roman"/>
          <w:snapToGrid w:val="0"/>
          <w:color w:val="auto"/>
          <w:kern w:val="21"/>
        </w:rPr>
        <w:instrText xml:space="preserve"> = 6 \* GB3 \* MERGEFORMAT </w:instrText>
      </w:r>
      <w:r>
        <w:rPr>
          <w:rFonts w:hint="default" w:ascii="Times New Roman" w:hAnsi="Times New Roman" w:eastAsia="宋体" w:cs="Times New Roman"/>
          <w:snapToGrid w:val="0"/>
          <w:color w:val="auto"/>
          <w:kern w:val="21"/>
        </w:rPr>
        <w:fldChar w:fldCharType="separate"/>
      </w:r>
      <w:r>
        <w:rPr>
          <w:rFonts w:hint="default" w:ascii="Times New Roman" w:hAnsi="Times New Roman" w:eastAsia="宋体" w:cs="Times New Roman"/>
          <w:color w:val="auto"/>
        </w:rPr>
        <w:t>⑥</w:t>
      </w:r>
      <w:r>
        <w:rPr>
          <w:rFonts w:hint="default" w:ascii="Times New Roman" w:hAnsi="Times New Roman" w:eastAsia="宋体" w:cs="Times New Roman"/>
          <w:snapToGrid w:val="0"/>
          <w:color w:val="auto"/>
          <w:kern w:val="21"/>
        </w:rPr>
        <w:fldChar w:fldCharType="end"/>
      </w:r>
      <w:r>
        <w:rPr>
          <w:rFonts w:hint="default" w:ascii="Times New Roman" w:hAnsi="Times New Roman" w:eastAsia="宋体" w:cs="Times New Roman"/>
          <w:snapToGrid w:val="0"/>
          <w:color w:val="auto"/>
          <w:kern w:val="21"/>
        </w:rPr>
        <w:t>-</w:t>
      </w:r>
      <w:r>
        <w:rPr>
          <w:rFonts w:hint="default" w:ascii="Times New Roman" w:hAnsi="Times New Roman" w:eastAsia="宋体" w:cs="Times New Roman"/>
          <w:snapToGrid w:val="0"/>
          <w:color w:val="auto"/>
          <w:kern w:val="21"/>
        </w:rPr>
        <w:fldChar w:fldCharType="begin"/>
      </w:r>
      <w:r>
        <w:rPr>
          <w:rFonts w:hint="default" w:ascii="Times New Roman" w:hAnsi="Times New Roman" w:eastAsia="宋体" w:cs="Times New Roman"/>
          <w:snapToGrid w:val="0"/>
          <w:color w:val="auto"/>
          <w:kern w:val="21"/>
        </w:rPr>
        <w:instrText xml:space="preserve"> = 1 \* GB3 \* MERGEFORMAT </w:instrText>
      </w:r>
      <w:r>
        <w:rPr>
          <w:rFonts w:hint="default" w:ascii="Times New Roman" w:hAnsi="Times New Roman" w:eastAsia="宋体" w:cs="Times New Roman"/>
          <w:snapToGrid w:val="0"/>
          <w:color w:val="auto"/>
          <w:kern w:val="21"/>
        </w:rPr>
        <w:fldChar w:fldCharType="separate"/>
      </w:r>
      <w:r>
        <w:rPr>
          <w:rFonts w:hint="default" w:ascii="Times New Roman" w:hAnsi="Times New Roman" w:eastAsia="宋体" w:cs="Times New Roman"/>
          <w:color w:val="auto"/>
        </w:rPr>
        <w:t>①</w:t>
      </w:r>
      <w:r>
        <w:rPr>
          <w:rFonts w:hint="default" w:ascii="Times New Roman" w:hAnsi="Times New Roman" w:eastAsia="宋体" w:cs="Times New Roman"/>
          <w:snapToGrid w:val="0"/>
          <w:color w:val="auto"/>
          <w:kern w:val="21"/>
        </w:rPr>
        <w:fldChar w:fldCharType="end"/>
      </w:r>
      <w:r>
        <w:rPr>
          <w:rFonts w:hint="default" w:ascii="Times New Roman" w:hAnsi="Times New Roman" w:eastAsia="宋体" w:cs="Times New Roman"/>
          <w:snapToGrid w:val="0"/>
          <w:color w:val="auto"/>
          <w:kern w:val="21"/>
        </w:rPr>
        <w:t>；</w:t>
      </w:r>
    </w:p>
    <w:p w14:paraId="5E626145">
      <w:pPr>
        <w:rPr>
          <w:rFonts w:hint="default" w:ascii="Times New Roman" w:hAnsi="Times New Roman" w:eastAsia="宋体" w:cs="Times New Roman"/>
          <w:snapToGrid w:val="0"/>
          <w:color w:val="0000FF"/>
          <w:kern w:val="21"/>
          <w:sz w:val="24"/>
        </w:rPr>
        <w:sectPr>
          <w:headerReference r:id="rId13" w:type="default"/>
          <w:footerReference r:id="rId14" w:type="default"/>
          <w:pgSz w:w="16838" w:h="11906" w:orient="landscape"/>
          <w:pgMar w:top="1417" w:right="1417" w:bottom="1361" w:left="1417" w:header="851" w:footer="850" w:gutter="0"/>
          <w:pgBorders>
            <w:top w:val="none" w:sz="0" w:space="0"/>
            <w:left w:val="none" w:sz="0" w:space="0"/>
            <w:bottom w:val="none" w:sz="0" w:space="0"/>
            <w:right w:val="none" w:sz="0" w:space="0"/>
          </w:pgBorders>
          <w:cols w:space="720" w:num="1"/>
          <w:docGrid w:linePitch="312" w:charSpace="0"/>
        </w:sectPr>
      </w:pPr>
    </w:p>
    <w:p w14:paraId="0695FE9E">
      <w:pPr>
        <w:pStyle w:val="46"/>
        <w:spacing w:before="120" w:beforeLines="50" w:beforeAutospacing="0" w:after="0" w:afterAutospacing="0" w:line="360" w:lineRule="auto"/>
        <w:jc w:val="center"/>
        <w:outlineLvl w:val="0"/>
        <w:rPr>
          <w:rFonts w:hint="default" w:ascii="Times New Roman" w:hAnsi="Times New Roman" w:eastAsia="宋体" w:cs="Times New Roman"/>
          <w:b/>
          <w:snapToGrid w:val="0"/>
          <w:color w:val="auto"/>
          <w:sz w:val="28"/>
          <w:szCs w:val="28"/>
        </w:rPr>
      </w:pPr>
      <w:bookmarkStart w:id="19" w:name="_Toc120118379"/>
      <w:r>
        <w:rPr>
          <w:rFonts w:hint="default" w:ascii="Times New Roman" w:hAnsi="Times New Roman" w:eastAsia="宋体" w:cs="Times New Roman"/>
          <w:b/>
          <w:snapToGrid w:val="0"/>
          <w:color w:val="auto"/>
          <w:sz w:val="28"/>
          <w:szCs w:val="28"/>
        </w:rPr>
        <w:t>项目环评与排污许可联动内容</w:t>
      </w:r>
      <w:bookmarkEnd w:id="19"/>
    </w:p>
    <w:p w14:paraId="6C59E0C5">
      <w:pPr>
        <w:pStyle w:val="62"/>
        <w:bidi w:val="0"/>
        <w:rPr>
          <w:rFonts w:hint="default" w:ascii="Times New Roman" w:hAnsi="Times New Roman" w:eastAsia="宋体" w:cs="Times New Roman"/>
          <w:color w:val="auto"/>
        </w:rPr>
      </w:pPr>
      <w:r>
        <w:rPr>
          <w:rFonts w:hint="default" w:ascii="Times New Roman" w:hAnsi="Times New Roman" w:eastAsia="宋体" w:cs="Times New Roman"/>
          <w:color w:val="auto"/>
        </w:rPr>
        <w:t>根据安徽省生态环境厅于2021年1月30日发布的《安徽省生态环境厅关于统筹做好固定污染源排污许可日常监管工作的通知》（皖环发[2021]7号），属于现行《固定污染源排污许可分类管理名录》内重点管理和简化管理的行业，在环评文件中应明确</w:t>
      </w:r>
      <w:r>
        <w:rPr>
          <w:rFonts w:hint="eastAsia" w:cs="Times New Roman"/>
          <w:color w:val="auto"/>
          <w:lang w:eastAsia="zh-CN"/>
        </w:rPr>
        <w:t>“</w:t>
      </w:r>
      <w:r>
        <w:rPr>
          <w:rFonts w:hint="default" w:ascii="Times New Roman" w:hAnsi="Times New Roman" w:eastAsia="宋体" w:cs="Times New Roman"/>
          <w:color w:val="auto"/>
        </w:rPr>
        <w:t>建设项目环境影响评价与排污许可联动内容</w:t>
      </w:r>
      <w:r>
        <w:rPr>
          <w:rFonts w:hint="eastAsia" w:cs="Times New Roman"/>
          <w:color w:val="auto"/>
          <w:lang w:eastAsia="zh-CN"/>
        </w:rPr>
        <w:t>”</w:t>
      </w:r>
      <w:r>
        <w:rPr>
          <w:rFonts w:hint="default" w:ascii="Times New Roman" w:hAnsi="Times New Roman" w:eastAsia="宋体" w:cs="Times New Roman"/>
          <w:color w:val="auto"/>
        </w:rPr>
        <w:t>和《建设项目排污许可申请与填发信息表》。</w:t>
      </w:r>
    </w:p>
    <w:p w14:paraId="23BD7F06">
      <w:pPr>
        <w:tabs>
          <w:tab w:val="left" w:pos="1890"/>
        </w:tabs>
        <w:spacing w:line="440" w:lineRule="atLeast"/>
        <w:ind w:firstLine="482" w:firstLineChars="200"/>
        <w:rPr>
          <w:rFonts w:hint="default" w:ascii="Times New Roman" w:hAnsi="Times New Roman" w:eastAsia="宋体" w:cs="Times New Roman"/>
          <w:b/>
          <w:color w:val="auto"/>
          <w:kern w:val="0"/>
          <w:sz w:val="24"/>
        </w:rPr>
      </w:pPr>
      <w:r>
        <w:rPr>
          <w:rFonts w:hint="default" w:ascii="Times New Roman" w:hAnsi="Times New Roman" w:eastAsia="宋体" w:cs="Times New Roman"/>
          <w:b/>
          <w:color w:val="auto"/>
          <w:kern w:val="0"/>
          <w:sz w:val="24"/>
        </w:rPr>
        <w:t>1、排污许可管理</w:t>
      </w:r>
    </w:p>
    <w:p w14:paraId="4017BE4E">
      <w:pPr>
        <w:pStyle w:val="62"/>
        <w:bidi w:val="0"/>
        <w:rPr>
          <w:rFonts w:hint="eastAsia" w:ascii="宋体" w:hAnsi="宋体" w:eastAsia="宋体" w:cs="宋体"/>
          <w:color w:val="auto"/>
        </w:rPr>
      </w:pPr>
      <w:r>
        <w:rPr>
          <w:rFonts w:hint="default" w:ascii="Times New Roman" w:hAnsi="Times New Roman" w:eastAsia="宋体" w:cs="Times New Roman"/>
          <w:color w:val="auto"/>
        </w:rPr>
        <w:t>根据《国民经济行业分类》（GB/T4754-2017），项目行业类别为</w:t>
      </w:r>
      <w:r>
        <w:rPr>
          <w:rFonts w:hint="default" w:ascii="Times New Roman" w:hAnsi="Times New Roman" w:eastAsia="宋体" w:cs="Times New Roman"/>
          <w:color w:val="auto"/>
          <w:lang w:val="en-US" w:eastAsia="zh-CN"/>
        </w:rPr>
        <w:t>C3360金属表面处理及热处理加工</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对照《固定污染源排污许可分类管理名录》（2019年版）</w:t>
      </w:r>
      <w:r>
        <w:rPr>
          <w:rFonts w:hint="eastAsia" w:ascii="宋体" w:hAnsi="宋体" w:eastAsia="宋体" w:cs="宋体"/>
          <w:color w:val="auto"/>
        </w:rPr>
        <w:t>，本项目属于</w:t>
      </w:r>
      <w:r>
        <w:rPr>
          <w:rFonts w:hint="eastAsia" w:ascii="宋体" w:hAnsi="宋体" w:eastAsia="宋体" w:cs="宋体"/>
          <w:color w:val="auto"/>
          <w:lang w:eastAsia="zh-CN"/>
        </w:rPr>
        <w:t>“</w:t>
      </w:r>
      <w:r>
        <w:rPr>
          <w:rFonts w:hint="eastAsia" w:ascii="宋体" w:hAnsi="宋体" w:eastAsia="宋体" w:cs="宋体"/>
          <w:color w:val="auto"/>
        </w:rPr>
        <w:t>二十八、金属制品业</w:t>
      </w:r>
      <w:r>
        <w:rPr>
          <w:rFonts w:hint="eastAsia" w:ascii="宋体" w:hAnsi="宋体" w:eastAsia="宋体" w:cs="宋体"/>
          <w:color w:val="auto"/>
          <w:lang w:eastAsia="zh-CN"/>
        </w:rPr>
        <w:t>”</w:t>
      </w:r>
      <w:r>
        <w:rPr>
          <w:rFonts w:hint="eastAsia" w:ascii="宋体" w:hAnsi="宋体" w:eastAsia="宋体" w:cs="宋体"/>
          <w:color w:val="auto"/>
        </w:rPr>
        <w:t>中</w:t>
      </w:r>
      <w:r>
        <w:rPr>
          <w:rFonts w:hint="eastAsia" w:ascii="宋体" w:hAnsi="宋体" w:eastAsia="宋体" w:cs="宋体"/>
          <w:color w:val="auto"/>
          <w:lang w:eastAsia="zh-CN"/>
        </w:rPr>
        <w:t>“</w:t>
      </w:r>
      <w:r>
        <w:rPr>
          <w:rFonts w:hint="eastAsia" w:ascii="宋体" w:hAnsi="宋体" w:eastAsia="宋体" w:cs="宋体"/>
          <w:color w:val="auto"/>
        </w:rPr>
        <w:t>金属表面处理及热处理加工</w:t>
      </w:r>
      <w:r>
        <w:rPr>
          <w:rFonts w:hint="eastAsia" w:ascii="宋体" w:hAnsi="宋体" w:eastAsia="宋体" w:cs="宋体"/>
          <w:color w:val="auto"/>
          <w:lang w:val="en-US" w:eastAsia="zh-CN"/>
        </w:rPr>
        <w:t>336</w:t>
      </w:r>
      <w:r>
        <w:rPr>
          <w:rFonts w:hint="eastAsia" w:ascii="宋体" w:hAnsi="宋体" w:eastAsia="宋体" w:cs="宋体"/>
          <w:color w:val="auto"/>
          <w:lang w:eastAsia="zh-CN"/>
        </w:rPr>
        <w:t>”</w:t>
      </w:r>
      <w:r>
        <w:rPr>
          <w:rFonts w:hint="eastAsia" w:ascii="宋体" w:hAnsi="宋体" w:eastAsia="宋体" w:cs="宋体"/>
          <w:color w:val="auto"/>
        </w:rPr>
        <w:t>中</w:t>
      </w:r>
      <w:r>
        <w:rPr>
          <w:rFonts w:hint="eastAsia" w:ascii="宋体" w:hAnsi="宋体" w:eastAsia="宋体" w:cs="宋体"/>
          <w:color w:val="auto"/>
          <w:lang w:eastAsia="zh-CN"/>
        </w:rPr>
        <w:t>“</w:t>
      </w:r>
      <w:r>
        <w:rPr>
          <w:rFonts w:hint="eastAsia" w:ascii="宋体" w:hAnsi="宋体" w:eastAsia="宋体" w:cs="宋体"/>
          <w:color w:val="auto"/>
        </w:rPr>
        <w:t>除重点管理以外的有酸洗、抛光</w:t>
      </w:r>
      <w:r>
        <w:rPr>
          <w:rFonts w:hint="eastAsia" w:ascii="宋体" w:hAnsi="宋体" w:eastAsia="宋体" w:cs="宋体"/>
          <w:color w:val="auto"/>
          <w:lang w:eastAsia="zh-CN"/>
        </w:rPr>
        <w:t>（</w:t>
      </w:r>
      <w:r>
        <w:rPr>
          <w:rFonts w:hint="eastAsia" w:ascii="宋体" w:hAnsi="宋体" w:eastAsia="宋体" w:cs="宋体"/>
          <w:color w:val="auto"/>
        </w:rPr>
        <w:t>电解抛光和化学抛光</w:t>
      </w:r>
      <w:r>
        <w:rPr>
          <w:rFonts w:hint="eastAsia" w:ascii="宋体" w:hAnsi="宋体" w:eastAsia="宋体" w:cs="宋体"/>
          <w:color w:val="auto"/>
          <w:lang w:eastAsia="zh-CN"/>
        </w:rPr>
        <w:t>）</w:t>
      </w:r>
      <w:r>
        <w:rPr>
          <w:rFonts w:hint="eastAsia" w:ascii="宋体" w:hAnsi="宋体" w:eastAsia="宋体" w:cs="宋体"/>
          <w:color w:val="auto"/>
        </w:rPr>
        <w:t>、热浸镀</w:t>
      </w:r>
      <w:r>
        <w:rPr>
          <w:rFonts w:hint="eastAsia" w:ascii="宋体" w:hAnsi="宋体" w:eastAsia="宋体" w:cs="宋体"/>
          <w:color w:val="auto"/>
          <w:lang w:eastAsia="zh-CN"/>
        </w:rPr>
        <w:t>（</w:t>
      </w:r>
      <w:r>
        <w:rPr>
          <w:rFonts w:hint="eastAsia" w:ascii="宋体" w:hAnsi="宋体" w:eastAsia="宋体" w:cs="宋体"/>
          <w:color w:val="auto"/>
        </w:rPr>
        <w:t>溶剂法</w:t>
      </w:r>
      <w:r>
        <w:rPr>
          <w:rFonts w:hint="eastAsia" w:ascii="宋体" w:hAnsi="宋体" w:eastAsia="宋体" w:cs="宋体"/>
          <w:color w:val="auto"/>
          <w:lang w:eastAsia="zh-CN"/>
        </w:rPr>
        <w:t>）</w:t>
      </w:r>
      <w:r>
        <w:rPr>
          <w:rFonts w:hint="eastAsia" w:ascii="宋体" w:hAnsi="宋体" w:eastAsia="宋体" w:cs="宋体"/>
          <w:color w:val="auto"/>
        </w:rPr>
        <w:t>、淬火或者无铬钝化等工序的、年使用10吨及以上有机溶剂的</w:t>
      </w:r>
      <w:r>
        <w:rPr>
          <w:rFonts w:hint="eastAsia" w:ascii="宋体" w:hAnsi="宋体" w:eastAsia="宋体" w:cs="宋体"/>
          <w:color w:val="auto"/>
          <w:lang w:eastAsia="zh-CN"/>
        </w:rPr>
        <w:t>”</w:t>
      </w:r>
      <w:r>
        <w:rPr>
          <w:rFonts w:hint="eastAsia" w:ascii="宋体" w:hAnsi="宋体" w:eastAsia="宋体" w:cs="宋体"/>
          <w:color w:val="auto"/>
        </w:rPr>
        <w:t>类别，</w:t>
      </w:r>
      <w:r>
        <w:rPr>
          <w:rFonts w:hint="eastAsia" w:ascii="宋体" w:hAnsi="宋体" w:eastAsia="宋体" w:cs="宋体"/>
          <w:color w:val="auto"/>
          <w:lang w:val="en-US" w:eastAsia="zh-CN"/>
        </w:rPr>
        <w:t>本项目含淬火工序，</w:t>
      </w:r>
      <w:r>
        <w:rPr>
          <w:rFonts w:hint="eastAsia" w:ascii="宋体" w:hAnsi="宋体" w:eastAsia="宋体" w:cs="宋体"/>
          <w:color w:val="auto"/>
        </w:rPr>
        <w:t>属于简化管理。相关内容如下：</w:t>
      </w:r>
    </w:p>
    <w:p w14:paraId="124C22F4">
      <w:pPr>
        <w:adjustRightInd w:val="0"/>
        <w:spacing w:line="440" w:lineRule="atLeast"/>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表1  固定污染源排污许可证分类管理名录（2019版）对照表（摘录）</w:t>
      </w:r>
    </w:p>
    <w:tbl>
      <w:tblPr>
        <w:tblStyle w:val="52"/>
        <w:tblW w:w="4996"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738"/>
        <w:gridCol w:w="1476"/>
        <w:gridCol w:w="2953"/>
        <w:gridCol w:w="2985"/>
        <w:gridCol w:w="1129"/>
      </w:tblGrid>
      <w:tr w14:paraId="46CDDA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trPr>
        <w:tc>
          <w:tcPr>
            <w:tcW w:w="398" w:type="pct"/>
            <w:noWrap w:val="0"/>
            <w:vAlign w:val="center"/>
          </w:tcPr>
          <w:p w14:paraId="214749D7">
            <w:pPr>
              <w:pStyle w:val="68"/>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795" w:type="pct"/>
            <w:noWrap w:val="0"/>
            <w:vAlign w:val="center"/>
          </w:tcPr>
          <w:p w14:paraId="62D11B37">
            <w:pPr>
              <w:pStyle w:val="68"/>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行业类别</w:t>
            </w:r>
          </w:p>
        </w:tc>
        <w:tc>
          <w:tcPr>
            <w:tcW w:w="1591" w:type="pct"/>
            <w:noWrap w:val="0"/>
            <w:vAlign w:val="center"/>
          </w:tcPr>
          <w:p w14:paraId="22F6E925">
            <w:pPr>
              <w:pStyle w:val="68"/>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重点管理</w:t>
            </w:r>
          </w:p>
        </w:tc>
        <w:tc>
          <w:tcPr>
            <w:tcW w:w="1608" w:type="pct"/>
            <w:noWrap w:val="0"/>
            <w:vAlign w:val="center"/>
          </w:tcPr>
          <w:p w14:paraId="08582761">
            <w:pPr>
              <w:pStyle w:val="68"/>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简化管理</w:t>
            </w:r>
          </w:p>
        </w:tc>
        <w:tc>
          <w:tcPr>
            <w:tcW w:w="606" w:type="pct"/>
            <w:noWrap w:val="0"/>
            <w:vAlign w:val="center"/>
          </w:tcPr>
          <w:p w14:paraId="1F39B822">
            <w:pPr>
              <w:pStyle w:val="68"/>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登记管理</w:t>
            </w:r>
          </w:p>
        </w:tc>
      </w:tr>
      <w:tr w14:paraId="76EFDF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trPr>
        <w:tc>
          <w:tcPr>
            <w:tcW w:w="5000" w:type="pct"/>
            <w:gridSpan w:val="5"/>
            <w:noWrap w:val="0"/>
            <w:vAlign w:val="center"/>
          </w:tcPr>
          <w:p w14:paraId="619C1621">
            <w:pPr>
              <w:pStyle w:val="68"/>
              <w:keepNext w:val="0"/>
              <w:keepLines w:val="0"/>
              <w:suppressLineNumbers w:val="0"/>
              <w:spacing w:before="0" w:beforeAutospacing="0" w:after="0" w:afterAutospacing="0"/>
              <w:ind w:left="0" w:right="0"/>
              <w:rPr>
                <w:rFonts w:hint="default" w:ascii="Times New Roman" w:hAnsi="Times New Roman" w:eastAsia="宋体" w:cs="Times New Roman"/>
                <w:b w:val="0"/>
                <w:bCs/>
                <w:color w:val="auto"/>
                <w:sz w:val="21"/>
                <w:szCs w:val="21"/>
              </w:rPr>
            </w:pPr>
            <w:r>
              <w:rPr>
                <w:rFonts w:hint="default" w:ascii="Times New Roman" w:hAnsi="Times New Roman" w:eastAsia="宋体" w:cs="Times New Roman"/>
                <w:color w:val="auto"/>
                <w:kern w:val="0"/>
                <w:sz w:val="21"/>
                <w:szCs w:val="21"/>
              </w:rPr>
              <w:t>二十八、金属制品业33</w:t>
            </w:r>
          </w:p>
        </w:tc>
      </w:tr>
      <w:tr w14:paraId="07606D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trPr>
        <w:tc>
          <w:tcPr>
            <w:tcW w:w="398" w:type="pct"/>
            <w:shd w:val="clear" w:color="auto" w:fill="auto"/>
            <w:noWrap w:val="0"/>
            <w:vAlign w:val="center"/>
          </w:tcPr>
          <w:p w14:paraId="6807456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sz w:val="21"/>
                <w:szCs w:val="21"/>
                <w:highlight w:val="none"/>
                <w:lang w:val="en-US" w:eastAsia="zh-CN"/>
              </w:rPr>
              <w:t>8</w:t>
            </w:r>
            <w:r>
              <w:rPr>
                <w:rFonts w:hint="eastAsia" w:ascii="Times New Roman" w:hAnsi="Times New Roman" w:eastAsia="宋体" w:cs="Times New Roman"/>
                <w:color w:val="auto"/>
                <w:sz w:val="21"/>
                <w:szCs w:val="21"/>
                <w:highlight w:val="none"/>
                <w:lang w:val="en-US" w:eastAsia="zh-CN"/>
              </w:rPr>
              <w:t>1</w:t>
            </w:r>
          </w:p>
        </w:tc>
        <w:tc>
          <w:tcPr>
            <w:tcW w:w="795" w:type="pct"/>
            <w:shd w:val="clear" w:color="auto" w:fill="auto"/>
            <w:noWrap w:val="0"/>
            <w:vAlign w:val="center"/>
          </w:tcPr>
          <w:p w14:paraId="3C9377D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bCs/>
                <w:color w:val="auto"/>
                <w:sz w:val="21"/>
                <w:szCs w:val="21"/>
                <w:highlight w:val="none"/>
              </w:rPr>
              <w:t>金属表面处理及热处理加工</w:t>
            </w:r>
            <w:r>
              <w:rPr>
                <w:rFonts w:hint="eastAsia" w:ascii="Times New Roman" w:hAnsi="Times New Roman" w:cs="Times New Roman"/>
                <w:bCs/>
                <w:color w:val="auto"/>
                <w:sz w:val="21"/>
                <w:szCs w:val="21"/>
                <w:highlight w:val="none"/>
                <w:lang w:val="en-US" w:eastAsia="zh-CN"/>
              </w:rPr>
              <w:t>336</w:t>
            </w:r>
          </w:p>
        </w:tc>
        <w:tc>
          <w:tcPr>
            <w:tcW w:w="1591" w:type="pct"/>
            <w:shd w:val="clear" w:color="auto" w:fill="auto"/>
            <w:noWrap w:val="0"/>
            <w:vAlign w:val="center"/>
          </w:tcPr>
          <w:p w14:paraId="6E78587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sz w:val="21"/>
                <w:szCs w:val="21"/>
                <w:highlight w:val="none"/>
                <w:lang w:val="en-US" w:eastAsia="zh-CN"/>
              </w:rPr>
              <w:t>纳入重点排污单位名录的</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专业电镀企业</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含电镀园区中电镀企业</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，专门处理电镀废水的集中处理设施，有电镀工序的，有含铬钝化工序的</w:t>
            </w:r>
          </w:p>
        </w:tc>
        <w:tc>
          <w:tcPr>
            <w:tcW w:w="1608" w:type="pct"/>
            <w:shd w:val="clear" w:color="auto" w:fill="EEECE1"/>
            <w:noWrap w:val="0"/>
            <w:vAlign w:val="center"/>
          </w:tcPr>
          <w:p w14:paraId="6C21FA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b w:val="0"/>
                <w:bCs w:val="0"/>
                <w:color w:val="auto"/>
                <w:sz w:val="21"/>
                <w:szCs w:val="21"/>
                <w:highlight w:val="none"/>
                <w:lang w:val="en-US" w:eastAsia="zh-CN"/>
              </w:rPr>
              <w:t>除重点管理以外的有酸洗、抛光</w:t>
            </w:r>
            <w:r>
              <w:rPr>
                <w:rFonts w:hint="eastAsia" w:ascii="Times New Roman" w:hAnsi="Times New Roman"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电解抛光和化学抛光</w:t>
            </w:r>
            <w:r>
              <w:rPr>
                <w:rFonts w:hint="eastAsia" w:ascii="Times New Roman" w:hAnsi="Times New Roman"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、热浸镀</w:t>
            </w:r>
            <w:r>
              <w:rPr>
                <w:rFonts w:hint="eastAsia" w:ascii="Times New Roman" w:hAnsi="Times New Roman"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溶剂法</w:t>
            </w:r>
            <w:r>
              <w:rPr>
                <w:rFonts w:hint="eastAsia" w:ascii="Times New Roman" w:hAnsi="Times New Roman"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、淬火或者无铬钝化等工序的、年使用10吨及以上有机溶剂的</w:t>
            </w:r>
          </w:p>
        </w:tc>
        <w:tc>
          <w:tcPr>
            <w:tcW w:w="606" w:type="pct"/>
            <w:noWrap w:val="0"/>
            <w:vAlign w:val="center"/>
          </w:tcPr>
          <w:p w14:paraId="2AF6AC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rPr>
            </w:pPr>
            <w:r>
              <w:rPr>
                <w:rFonts w:hint="eastAsia" w:ascii="Times New Roman" w:hAnsi="Times New Roman" w:eastAsia="宋体" w:cs="Times New Roman"/>
                <w:color w:val="auto"/>
                <w:kern w:val="0"/>
                <w:sz w:val="21"/>
                <w:szCs w:val="21"/>
                <w:highlight w:val="none"/>
                <w:lang w:val="en-US" w:eastAsia="zh-CN" w:bidi="ar"/>
              </w:rPr>
              <w:t>其他</w:t>
            </w:r>
          </w:p>
        </w:tc>
      </w:tr>
    </w:tbl>
    <w:p w14:paraId="1CEE4710">
      <w:pPr>
        <w:spacing w:line="440" w:lineRule="exact"/>
        <w:ind w:firstLine="472" w:firstLineChars="196"/>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2、建设项目环评与排污许可联动</w:t>
      </w:r>
    </w:p>
    <w:p w14:paraId="58A16F8B">
      <w:pPr>
        <w:spacing w:line="460" w:lineRule="exact"/>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color w:val="auto"/>
          <w:sz w:val="24"/>
        </w:rPr>
        <w:t>对照《固定污染源排污许可分类管理名录》（2019年版），</w:t>
      </w:r>
      <w:r>
        <w:rPr>
          <w:rFonts w:hint="default" w:ascii="Times New Roman" w:hAnsi="Times New Roman" w:eastAsia="宋体" w:cs="Times New Roman"/>
          <w:bCs/>
          <w:color w:val="auto"/>
          <w:sz w:val="24"/>
        </w:rPr>
        <w:t>本项目属于排污许可简化管理，根据皖环发[2021]7号文在环评文件中应明确</w:t>
      </w:r>
      <w:r>
        <w:rPr>
          <w:rFonts w:hint="eastAsia" w:ascii="Times New Roman" w:hAnsi="Times New Roman" w:eastAsia="宋体" w:cs="Times New Roman"/>
          <w:bCs/>
          <w:color w:val="auto"/>
          <w:sz w:val="24"/>
          <w:lang w:eastAsia="zh-CN"/>
        </w:rPr>
        <w:t>“</w:t>
      </w:r>
      <w:r>
        <w:rPr>
          <w:rFonts w:hint="default" w:ascii="Times New Roman" w:hAnsi="Times New Roman" w:eastAsia="宋体" w:cs="Times New Roman"/>
          <w:bCs/>
          <w:color w:val="auto"/>
          <w:sz w:val="24"/>
        </w:rPr>
        <w:t>建设项目环境影响评价与排污许可联动内容</w:t>
      </w:r>
      <w:r>
        <w:rPr>
          <w:rFonts w:hint="eastAsia" w:ascii="Times New Roman" w:hAnsi="Times New Roman" w:eastAsia="宋体" w:cs="Times New Roman"/>
          <w:bCs/>
          <w:color w:val="auto"/>
          <w:sz w:val="24"/>
          <w:lang w:eastAsia="zh-CN"/>
        </w:rPr>
        <w:t>”</w:t>
      </w:r>
      <w:r>
        <w:rPr>
          <w:rFonts w:hint="default" w:ascii="Times New Roman" w:hAnsi="Times New Roman" w:eastAsia="宋体" w:cs="Times New Roman"/>
          <w:bCs/>
          <w:color w:val="auto"/>
          <w:sz w:val="24"/>
        </w:rPr>
        <w:t>和《建设项目排污许可申请与填发信息表》，本项目环评与排污许可联动内容如下：</w:t>
      </w:r>
    </w:p>
    <w:p w14:paraId="3C370BC3">
      <w:pPr>
        <w:spacing w:line="460" w:lineRule="exact"/>
        <w:ind w:firstLine="480" w:firstLineChars="200"/>
        <w:rPr>
          <w:rFonts w:hint="default" w:ascii="Times New Roman" w:hAnsi="Times New Roman" w:eastAsia="宋体" w:cs="Times New Roman"/>
          <w:bCs/>
          <w:color w:val="FF0000"/>
          <w:sz w:val="24"/>
        </w:rPr>
      </w:pPr>
    </w:p>
    <w:p w14:paraId="6DB3DB10">
      <w:pPr>
        <w:spacing w:line="460" w:lineRule="exact"/>
        <w:ind w:firstLine="480" w:firstLineChars="200"/>
        <w:rPr>
          <w:rFonts w:hint="default" w:ascii="Times New Roman" w:hAnsi="Times New Roman" w:eastAsia="宋体" w:cs="Times New Roman"/>
          <w:bCs/>
          <w:color w:val="FF0000"/>
          <w:sz w:val="24"/>
        </w:rPr>
      </w:pPr>
    </w:p>
    <w:p w14:paraId="3A34DC3C">
      <w:pPr>
        <w:rPr>
          <w:rFonts w:hint="default" w:ascii="Times New Roman" w:hAnsi="Times New Roman" w:eastAsia="宋体" w:cs="Times New Roman"/>
          <w:snapToGrid w:val="0"/>
          <w:color w:val="FF0000"/>
          <w:kern w:val="21"/>
          <w:sz w:val="24"/>
        </w:rPr>
      </w:pPr>
    </w:p>
    <w:p w14:paraId="4EF1E2A6">
      <w:pPr>
        <w:rPr>
          <w:rFonts w:hint="default" w:ascii="Times New Roman" w:hAnsi="Times New Roman" w:eastAsia="宋体" w:cs="Times New Roman"/>
          <w:snapToGrid w:val="0"/>
          <w:color w:val="FF0000"/>
          <w:kern w:val="21"/>
          <w:sz w:val="24"/>
        </w:rPr>
      </w:pPr>
    </w:p>
    <w:p w14:paraId="53DA3763">
      <w:pPr>
        <w:rPr>
          <w:rFonts w:hint="default" w:ascii="Times New Roman" w:hAnsi="Times New Roman" w:eastAsia="宋体" w:cs="Times New Roman"/>
          <w:snapToGrid w:val="0"/>
          <w:color w:val="FF0000"/>
          <w:kern w:val="21"/>
          <w:sz w:val="24"/>
        </w:rPr>
        <w:sectPr>
          <w:headerReference r:id="rId15" w:type="default"/>
          <w:footerReference r:id="rId16" w:type="default"/>
          <w:pgSz w:w="11906" w:h="16838"/>
          <w:pgMar w:top="1417" w:right="1417" w:bottom="1417" w:left="1417" w:header="851" w:footer="851" w:gutter="0"/>
          <w:pgBorders>
            <w:top w:val="none" w:sz="0" w:space="0"/>
            <w:left w:val="none" w:sz="0" w:space="0"/>
            <w:bottom w:val="none" w:sz="0" w:space="0"/>
            <w:right w:val="none" w:sz="0" w:space="0"/>
          </w:pgBorders>
          <w:pgNumType w:fmt="numberInDash"/>
          <w:cols w:space="720" w:num="1"/>
          <w:docGrid w:linePitch="312" w:charSpace="0"/>
        </w:sectPr>
      </w:pPr>
    </w:p>
    <w:p w14:paraId="0FECC1FA">
      <w:pPr>
        <w:tabs>
          <w:tab w:val="left" w:pos="1890"/>
        </w:tabs>
        <w:spacing w:line="360" w:lineRule="exact"/>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表2   建设项目排污许可申请基本信息表</w:t>
      </w:r>
    </w:p>
    <w:tbl>
      <w:tblPr>
        <w:tblStyle w:val="53"/>
        <w:tblW w:w="4996"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2"/>
        <w:gridCol w:w="1390"/>
        <w:gridCol w:w="1169"/>
        <w:gridCol w:w="2700"/>
        <w:gridCol w:w="720"/>
        <w:gridCol w:w="872"/>
        <w:gridCol w:w="1070"/>
        <w:gridCol w:w="1528"/>
        <w:gridCol w:w="1100"/>
        <w:gridCol w:w="2153"/>
        <w:gridCol w:w="865"/>
      </w:tblGrid>
      <w:tr w14:paraId="0CA8E1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225" w:type="pct"/>
            <w:noWrap w:val="0"/>
            <w:vAlign w:val="center"/>
          </w:tcPr>
          <w:p w14:paraId="55C736AE">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序号</w:t>
            </w:r>
          </w:p>
        </w:tc>
        <w:tc>
          <w:tcPr>
            <w:tcW w:w="489" w:type="pct"/>
            <w:noWrap w:val="0"/>
            <w:vAlign w:val="center"/>
          </w:tcPr>
          <w:p w14:paraId="68D93768">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生产线名称</w:t>
            </w:r>
          </w:p>
        </w:tc>
        <w:tc>
          <w:tcPr>
            <w:tcW w:w="411" w:type="pct"/>
            <w:noWrap w:val="0"/>
            <w:vAlign w:val="center"/>
          </w:tcPr>
          <w:p w14:paraId="1F2A9449">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生产线编号</w:t>
            </w:r>
          </w:p>
        </w:tc>
        <w:tc>
          <w:tcPr>
            <w:tcW w:w="950" w:type="pct"/>
            <w:noWrap w:val="0"/>
            <w:vAlign w:val="center"/>
          </w:tcPr>
          <w:p w14:paraId="0566649F">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产品名称</w:t>
            </w:r>
          </w:p>
        </w:tc>
        <w:tc>
          <w:tcPr>
            <w:tcW w:w="253" w:type="pct"/>
            <w:noWrap w:val="0"/>
            <w:vAlign w:val="center"/>
          </w:tcPr>
          <w:p w14:paraId="7FFADA8D">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计量</w:t>
            </w:r>
          </w:p>
          <w:p w14:paraId="1A5C267D">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单位</w:t>
            </w:r>
          </w:p>
        </w:tc>
        <w:tc>
          <w:tcPr>
            <w:tcW w:w="306" w:type="pct"/>
            <w:noWrap w:val="0"/>
            <w:vAlign w:val="center"/>
          </w:tcPr>
          <w:p w14:paraId="300EBA94">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生产</w:t>
            </w:r>
          </w:p>
          <w:p w14:paraId="20402C75">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能力</w:t>
            </w:r>
          </w:p>
        </w:tc>
        <w:tc>
          <w:tcPr>
            <w:tcW w:w="376" w:type="pct"/>
            <w:noWrap w:val="0"/>
            <w:vAlign w:val="center"/>
          </w:tcPr>
          <w:p w14:paraId="4493A475">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年生产时间（h）</w:t>
            </w:r>
          </w:p>
        </w:tc>
        <w:tc>
          <w:tcPr>
            <w:tcW w:w="537" w:type="pct"/>
            <w:noWrap w:val="0"/>
            <w:vAlign w:val="center"/>
          </w:tcPr>
          <w:p w14:paraId="4096AEC9">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国民经济行业类别</w:t>
            </w:r>
          </w:p>
        </w:tc>
        <w:tc>
          <w:tcPr>
            <w:tcW w:w="387" w:type="pct"/>
            <w:noWrap w:val="0"/>
            <w:vAlign w:val="center"/>
          </w:tcPr>
          <w:p w14:paraId="5ADFD8C5">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排污许可管理类别</w:t>
            </w:r>
          </w:p>
        </w:tc>
        <w:tc>
          <w:tcPr>
            <w:tcW w:w="757" w:type="pct"/>
            <w:noWrap w:val="0"/>
            <w:vAlign w:val="center"/>
          </w:tcPr>
          <w:p w14:paraId="2F1C7E5A">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排污许可申请与核发技术规范</w:t>
            </w:r>
          </w:p>
        </w:tc>
        <w:tc>
          <w:tcPr>
            <w:tcW w:w="304" w:type="pct"/>
            <w:noWrap w:val="0"/>
            <w:vAlign w:val="center"/>
          </w:tcPr>
          <w:p w14:paraId="4C583B4F">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备注</w:t>
            </w:r>
          </w:p>
        </w:tc>
      </w:tr>
      <w:tr w14:paraId="6DE8F4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25" w:type="pct"/>
            <w:vMerge w:val="restart"/>
            <w:noWrap w:val="0"/>
            <w:vAlign w:val="center"/>
          </w:tcPr>
          <w:p w14:paraId="0419CF84">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489" w:type="pct"/>
            <w:vMerge w:val="restart"/>
            <w:noWrap w:val="0"/>
            <w:vAlign w:val="center"/>
          </w:tcPr>
          <w:p w14:paraId="73C7BC15">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val="0"/>
                <w:bCs w:val="0"/>
                <w:color w:val="auto"/>
                <w:sz w:val="21"/>
                <w:szCs w:val="21"/>
              </w:rPr>
            </w:pPr>
            <w:r>
              <w:rPr>
                <w:rFonts w:hint="default" w:ascii="Times New Roman" w:hAnsi="Times New Roman" w:cs="Times New Roman"/>
                <w:bCs/>
                <w:color w:val="auto"/>
                <w:sz w:val="21"/>
                <w:szCs w:val="21"/>
                <w:lang w:val="en-US" w:eastAsia="zh-CN"/>
              </w:rPr>
              <w:t>汽车金属零配热处理件</w:t>
            </w:r>
            <w:r>
              <w:rPr>
                <w:rFonts w:hint="default" w:ascii="Times New Roman" w:hAnsi="Times New Roman" w:eastAsia="宋体" w:cs="Times New Roman"/>
                <w:b w:val="0"/>
                <w:bCs w:val="0"/>
                <w:color w:val="auto"/>
                <w:sz w:val="21"/>
                <w:szCs w:val="21"/>
                <w:lang w:val="en-US" w:eastAsia="zh-CN"/>
              </w:rPr>
              <w:t>生产线</w:t>
            </w:r>
          </w:p>
        </w:tc>
        <w:tc>
          <w:tcPr>
            <w:tcW w:w="411" w:type="pct"/>
            <w:vMerge w:val="restart"/>
            <w:noWrap w:val="0"/>
            <w:vAlign w:val="center"/>
          </w:tcPr>
          <w:p w14:paraId="6BD24FAD">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SCX00</w:t>
            </w:r>
            <w:r>
              <w:rPr>
                <w:rFonts w:hint="default" w:ascii="Times New Roman" w:hAnsi="Times New Roman" w:eastAsia="宋体" w:cs="Times New Roman"/>
                <w:color w:val="auto"/>
                <w:sz w:val="21"/>
                <w:szCs w:val="21"/>
                <w:lang w:val="en-US" w:eastAsia="zh-CN"/>
              </w:rPr>
              <w:t>1</w:t>
            </w:r>
            <w:r>
              <w:rPr>
                <w:rFonts w:hint="eastAsia" w:ascii="Times New Roman" w:hAnsi="Times New Roman" w:eastAsia="宋体" w:cs="Times New Roman"/>
                <w:color w:val="auto"/>
                <w:sz w:val="21"/>
                <w:szCs w:val="21"/>
                <w:lang w:val="en-US" w:eastAsia="zh-CN"/>
              </w:rPr>
              <w:t>-004</w:t>
            </w:r>
          </w:p>
        </w:tc>
        <w:tc>
          <w:tcPr>
            <w:tcW w:w="950" w:type="pct"/>
            <w:noWrap w:val="0"/>
            <w:vAlign w:val="center"/>
          </w:tcPr>
          <w:p w14:paraId="47F71D12">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bCs/>
                <w:color w:val="auto"/>
                <w:sz w:val="21"/>
                <w:szCs w:val="21"/>
                <w:lang w:val="en-US" w:eastAsia="zh-CN"/>
              </w:rPr>
              <w:t>45#钢</w:t>
            </w:r>
            <w:r>
              <w:rPr>
                <w:rFonts w:hint="eastAsia" w:ascii="Times New Roman" w:hAnsi="Times New Roman" w:cs="Times New Roman"/>
                <w:bCs/>
                <w:color w:val="auto"/>
                <w:sz w:val="21"/>
                <w:szCs w:val="21"/>
                <w:lang w:val="en-US" w:eastAsia="zh-CN"/>
              </w:rPr>
              <w:t>热处理件</w:t>
            </w:r>
          </w:p>
        </w:tc>
        <w:tc>
          <w:tcPr>
            <w:tcW w:w="253" w:type="pct"/>
            <w:vMerge w:val="restart"/>
            <w:noWrap w:val="0"/>
            <w:vAlign w:val="center"/>
          </w:tcPr>
          <w:p w14:paraId="78DD5ECF">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t</w:t>
            </w:r>
          </w:p>
        </w:tc>
        <w:tc>
          <w:tcPr>
            <w:tcW w:w="306" w:type="pct"/>
            <w:noWrap w:val="0"/>
            <w:vAlign w:val="center"/>
          </w:tcPr>
          <w:p w14:paraId="6BA02312">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bCs/>
                <w:color w:val="auto"/>
                <w:sz w:val="21"/>
                <w:szCs w:val="21"/>
                <w:lang w:val="en-US" w:eastAsia="zh-CN"/>
              </w:rPr>
              <w:t>1500</w:t>
            </w:r>
          </w:p>
        </w:tc>
        <w:tc>
          <w:tcPr>
            <w:tcW w:w="376" w:type="pct"/>
            <w:vMerge w:val="restart"/>
            <w:noWrap w:val="0"/>
            <w:vAlign w:val="center"/>
          </w:tcPr>
          <w:p w14:paraId="656C800E">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2400</w:t>
            </w:r>
          </w:p>
        </w:tc>
        <w:tc>
          <w:tcPr>
            <w:tcW w:w="537" w:type="pct"/>
            <w:vMerge w:val="restart"/>
            <w:noWrap w:val="0"/>
            <w:vAlign w:val="center"/>
          </w:tcPr>
          <w:p w14:paraId="5885AFF8">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C</w:t>
            </w:r>
            <w:r>
              <w:rPr>
                <w:rFonts w:hint="eastAsia" w:ascii="Times New Roman" w:hAnsi="Times New Roman" w:cs="Times New Roman"/>
                <w:color w:val="auto"/>
                <w:sz w:val="21"/>
                <w:szCs w:val="21"/>
                <w:lang w:val="en-US" w:eastAsia="zh-CN"/>
              </w:rPr>
              <w:t>3360金属表面处理及热处理加工</w:t>
            </w:r>
          </w:p>
        </w:tc>
        <w:tc>
          <w:tcPr>
            <w:tcW w:w="387" w:type="pct"/>
            <w:vMerge w:val="restart"/>
            <w:noWrap w:val="0"/>
            <w:vAlign w:val="center"/>
          </w:tcPr>
          <w:p w14:paraId="51E6905A">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简化管理</w:t>
            </w:r>
          </w:p>
        </w:tc>
        <w:tc>
          <w:tcPr>
            <w:tcW w:w="757" w:type="pct"/>
            <w:vMerge w:val="restart"/>
            <w:noWrap w:val="0"/>
            <w:vAlign w:val="center"/>
          </w:tcPr>
          <w:p w14:paraId="4B941222">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lang w:val="en-US" w:eastAsia="zh-CN"/>
              </w:rPr>
              <w:t>《排污许可证申请与核发技术规范 总则》（HJ 942-2018）</w:t>
            </w:r>
          </w:p>
        </w:tc>
        <w:tc>
          <w:tcPr>
            <w:tcW w:w="304" w:type="pct"/>
            <w:vMerge w:val="restart"/>
            <w:noWrap w:val="0"/>
            <w:vAlign w:val="center"/>
          </w:tcPr>
          <w:p w14:paraId="5D82E1D9">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56AC8BA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25" w:type="pct"/>
            <w:vMerge w:val="continue"/>
            <w:noWrap w:val="0"/>
            <w:vAlign w:val="center"/>
          </w:tcPr>
          <w:p w14:paraId="2434AB4D">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FF0000"/>
                <w:sz w:val="21"/>
                <w:szCs w:val="21"/>
              </w:rPr>
            </w:pPr>
          </w:p>
        </w:tc>
        <w:tc>
          <w:tcPr>
            <w:tcW w:w="489" w:type="pct"/>
            <w:vMerge w:val="continue"/>
            <w:noWrap w:val="0"/>
            <w:vAlign w:val="center"/>
          </w:tcPr>
          <w:p w14:paraId="127591A0">
            <w:pPr>
              <w:keepNext w:val="0"/>
              <w:keepLines w:val="0"/>
              <w:suppressLineNumbers w:val="0"/>
              <w:tabs>
                <w:tab w:val="left" w:pos="1890"/>
              </w:tabs>
              <w:spacing w:before="0" w:beforeAutospacing="0" w:after="0" w:afterAutospacing="0"/>
              <w:ind w:left="0" w:right="0"/>
              <w:jc w:val="center"/>
              <w:rPr>
                <w:rFonts w:hint="eastAsia" w:ascii="宋体" w:hAnsi="宋体" w:eastAsia="宋体" w:cs="宋体"/>
                <w:color w:val="FF0000"/>
                <w:sz w:val="21"/>
                <w:szCs w:val="21"/>
                <w:lang w:val="zh-CN"/>
              </w:rPr>
            </w:pPr>
          </w:p>
        </w:tc>
        <w:tc>
          <w:tcPr>
            <w:tcW w:w="411" w:type="pct"/>
            <w:vMerge w:val="continue"/>
            <w:noWrap w:val="0"/>
            <w:vAlign w:val="center"/>
          </w:tcPr>
          <w:p w14:paraId="4C7A65B3">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FF0000"/>
                <w:sz w:val="21"/>
                <w:szCs w:val="21"/>
              </w:rPr>
            </w:pPr>
          </w:p>
        </w:tc>
        <w:tc>
          <w:tcPr>
            <w:tcW w:w="950" w:type="pct"/>
            <w:noWrap w:val="0"/>
            <w:vAlign w:val="center"/>
          </w:tcPr>
          <w:p w14:paraId="0B013A48">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FF0000"/>
                <w:sz w:val="21"/>
                <w:szCs w:val="21"/>
                <w:lang w:val="en-US" w:eastAsia="zh-CN"/>
              </w:rPr>
            </w:pPr>
            <w:r>
              <w:rPr>
                <w:rFonts w:hint="default" w:ascii="Times New Roman" w:hAnsi="Times New Roman" w:cs="Times New Roman"/>
                <w:color w:val="000000" w:themeColor="text1"/>
                <w:sz w:val="21"/>
                <w:szCs w:val="21"/>
                <w:lang w:val="en-US" w:eastAsia="zh-CN"/>
              </w:rPr>
              <w:t>40Cr合金钢</w:t>
            </w:r>
            <w:r>
              <w:rPr>
                <w:rFonts w:hint="eastAsia" w:ascii="Times New Roman" w:hAnsi="Times New Roman" w:cs="Times New Roman"/>
                <w:bCs/>
                <w:color w:val="000000" w:themeColor="text1"/>
                <w:sz w:val="21"/>
                <w:szCs w:val="21"/>
                <w:lang w:val="en-US" w:eastAsia="zh-CN"/>
              </w:rPr>
              <w:t>热处理件</w:t>
            </w:r>
          </w:p>
        </w:tc>
        <w:tc>
          <w:tcPr>
            <w:tcW w:w="253" w:type="pct"/>
            <w:vMerge w:val="continue"/>
            <w:noWrap w:val="0"/>
            <w:vAlign w:val="center"/>
          </w:tcPr>
          <w:p w14:paraId="54554F7A">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FF0000"/>
                <w:sz w:val="21"/>
                <w:szCs w:val="21"/>
              </w:rPr>
            </w:pPr>
          </w:p>
        </w:tc>
        <w:tc>
          <w:tcPr>
            <w:tcW w:w="306" w:type="pct"/>
            <w:noWrap w:val="0"/>
            <w:vAlign w:val="center"/>
          </w:tcPr>
          <w:p w14:paraId="072AD2EB">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FF0000"/>
                <w:sz w:val="21"/>
                <w:szCs w:val="21"/>
                <w:lang w:val="en-US" w:eastAsia="zh-CN"/>
              </w:rPr>
            </w:pPr>
            <w:r>
              <w:rPr>
                <w:rFonts w:hint="default" w:ascii="Times New Roman" w:hAnsi="Times New Roman" w:cs="Times New Roman"/>
                <w:color w:val="000000" w:themeColor="text1"/>
                <w:sz w:val="21"/>
                <w:szCs w:val="21"/>
                <w:lang w:val="en-US" w:eastAsia="zh-CN"/>
              </w:rPr>
              <w:t>1000</w:t>
            </w:r>
          </w:p>
        </w:tc>
        <w:tc>
          <w:tcPr>
            <w:tcW w:w="376" w:type="pct"/>
            <w:vMerge w:val="continue"/>
            <w:noWrap w:val="0"/>
            <w:vAlign w:val="center"/>
          </w:tcPr>
          <w:p w14:paraId="195FA3DE">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FF0000"/>
                <w:sz w:val="21"/>
                <w:szCs w:val="21"/>
              </w:rPr>
            </w:pPr>
          </w:p>
        </w:tc>
        <w:tc>
          <w:tcPr>
            <w:tcW w:w="537" w:type="pct"/>
            <w:vMerge w:val="continue"/>
            <w:noWrap w:val="0"/>
            <w:vAlign w:val="center"/>
          </w:tcPr>
          <w:p w14:paraId="79703331">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FF0000"/>
                <w:sz w:val="21"/>
                <w:szCs w:val="21"/>
              </w:rPr>
            </w:pPr>
          </w:p>
        </w:tc>
        <w:tc>
          <w:tcPr>
            <w:tcW w:w="387" w:type="pct"/>
            <w:vMerge w:val="continue"/>
            <w:noWrap w:val="0"/>
            <w:vAlign w:val="center"/>
          </w:tcPr>
          <w:p w14:paraId="0EA1EA87">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FF0000"/>
                <w:sz w:val="21"/>
                <w:szCs w:val="21"/>
              </w:rPr>
            </w:pPr>
          </w:p>
        </w:tc>
        <w:tc>
          <w:tcPr>
            <w:tcW w:w="757" w:type="pct"/>
            <w:vMerge w:val="continue"/>
            <w:noWrap w:val="0"/>
            <w:vAlign w:val="center"/>
          </w:tcPr>
          <w:p w14:paraId="2FE2A62F">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FF0000"/>
                <w:sz w:val="21"/>
                <w:szCs w:val="21"/>
              </w:rPr>
            </w:pPr>
          </w:p>
        </w:tc>
        <w:tc>
          <w:tcPr>
            <w:tcW w:w="304" w:type="pct"/>
            <w:vMerge w:val="continue"/>
            <w:noWrap w:val="0"/>
            <w:vAlign w:val="center"/>
          </w:tcPr>
          <w:p w14:paraId="3E500DA9">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FF0000"/>
                <w:sz w:val="21"/>
                <w:szCs w:val="21"/>
              </w:rPr>
            </w:pPr>
          </w:p>
        </w:tc>
      </w:tr>
      <w:tr w14:paraId="671469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25" w:type="pct"/>
            <w:vMerge w:val="continue"/>
            <w:noWrap w:val="0"/>
            <w:vAlign w:val="center"/>
          </w:tcPr>
          <w:p w14:paraId="140CE6A7">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FF0000"/>
                <w:sz w:val="21"/>
                <w:szCs w:val="21"/>
              </w:rPr>
            </w:pPr>
          </w:p>
        </w:tc>
        <w:tc>
          <w:tcPr>
            <w:tcW w:w="489" w:type="pct"/>
            <w:vMerge w:val="continue"/>
            <w:noWrap w:val="0"/>
            <w:vAlign w:val="center"/>
          </w:tcPr>
          <w:p w14:paraId="31E7B277">
            <w:pPr>
              <w:keepNext w:val="0"/>
              <w:keepLines w:val="0"/>
              <w:suppressLineNumbers w:val="0"/>
              <w:tabs>
                <w:tab w:val="left" w:pos="1890"/>
              </w:tabs>
              <w:spacing w:before="0" w:beforeAutospacing="0" w:after="0" w:afterAutospacing="0"/>
              <w:ind w:left="0" w:right="0"/>
              <w:jc w:val="center"/>
              <w:rPr>
                <w:rFonts w:hint="eastAsia" w:ascii="宋体" w:hAnsi="宋体" w:eastAsia="宋体" w:cs="宋体"/>
                <w:color w:val="FF0000"/>
                <w:sz w:val="21"/>
                <w:szCs w:val="21"/>
                <w:lang w:val="zh-CN"/>
              </w:rPr>
            </w:pPr>
          </w:p>
        </w:tc>
        <w:tc>
          <w:tcPr>
            <w:tcW w:w="411" w:type="pct"/>
            <w:vMerge w:val="continue"/>
            <w:noWrap w:val="0"/>
            <w:vAlign w:val="center"/>
          </w:tcPr>
          <w:p w14:paraId="26F8BFC0">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FF0000"/>
                <w:sz w:val="21"/>
                <w:szCs w:val="21"/>
              </w:rPr>
            </w:pPr>
          </w:p>
        </w:tc>
        <w:tc>
          <w:tcPr>
            <w:tcW w:w="950" w:type="pct"/>
            <w:noWrap w:val="0"/>
            <w:vAlign w:val="center"/>
          </w:tcPr>
          <w:p w14:paraId="208F8DD5">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FF0000"/>
                <w:sz w:val="21"/>
                <w:szCs w:val="21"/>
                <w:lang w:val="en-US" w:eastAsia="zh-CN"/>
              </w:rPr>
            </w:pPr>
            <w:r>
              <w:rPr>
                <w:rFonts w:hint="default" w:ascii="Times New Roman" w:hAnsi="Times New Roman" w:cs="Times New Roman"/>
                <w:color w:val="000000" w:themeColor="text1"/>
                <w:sz w:val="21"/>
                <w:szCs w:val="21"/>
                <w:lang w:val="en-US" w:eastAsia="zh-CN"/>
              </w:rPr>
              <w:t>35Crom合金钢</w:t>
            </w:r>
            <w:r>
              <w:rPr>
                <w:rFonts w:hint="eastAsia" w:ascii="Times New Roman" w:hAnsi="Times New Roman" w:cs="Times New Roman"/>
                <w:bCs/>
                <w:color w:val="000000" w:themeColor="text1"/>
                <w:sz w:val="21"/>
                <w:szCs w:val="21"/>
                <w:lang w:val="en-US" w:eastAsia="zh-CN"/>
              </w:rPr>
              <w:t>热处理件</w:t>
            </w:r>
          </w:p>
        </w:tc>
        <w:tc>
          <w:tcPr>
            <w:tcW w:w="253" w:type="pct"/>
            <w:vMerge w:val="continue"/>
            <w:noWrap w:val="0"/>
            <w:vAlign w:val="center"/>
          </w:tcPr>
          <w:p w14:paraId="12B25706">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FF0000"/>
                <w:sz w:val="21"/>
                <w:szCs w:val="21"/>
              </w:rPr>
            </w:pPr>
          </w:p>
        </w:tc>
        <w:tc>
          <w:tcPr>
            <w:tcW w:w="306" w:type="pct"/>
            <w:noWrap w:val="0"/>
            <w:vAlign w:val="center"/>
          </w:tcPr>
          <w:p w14:paraId="5FEB9623">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FF0000"/>
                <w:sz w:val="21"/>
                <w:szCs w:val="21"/>
                <w:lang w:val="en-US" w:eastAsia="zh-CN"/>
              </w:rPr>
            </w:pPr>
            <w:r>
              <w:rPr>
                <w:rFonts w:hint="default" w:ascii="Times New Roman" w:hAnsi="Times New Roman" w:cs="Times New Roman"/>
                <w:color w:val="000000" w:themeColor="text1"/>
                <w:sz w:val="21"/>
                <w:szCs w:val="21"/>
                <w:lang w:val="en-US" w:eastAsia="zh-CN"/>
              </w:rPr>
              <w:t>1000</w:t>
            </w:r>
          </w:p>
        </w:tc>
        <w:tc>
          <w:tcPr>
            <w:tcW w:w="376" w:type="pct"/>
            <w:vMerge w:val="continue"/>
            <w:noWrap w:val="0"/>
            <w:vAlign w:val="center"/>
          </w:tcPr>
          <w:p w14:paraId="72236024">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FF0000"/>
                <w:sz w:val="21"/>
                <w:szCs w:val="21"/>
              </w:rPr>
            </w:pPr>
          </w:p>
        </w:tc>
        <w:tc>
          <w:tcPr>
            <w:tcW w:w="537" w:type="pct"/>
            <w:vMerge w:val="continue"/>
            <w:noWrap w:val="0"/>
            <w:vAlign w:val="center"/>
          </w:tcPr>
          <w:p w14:paraId="3646C2D2">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FF0000"/>
                <w:sz w:val="21"/>
                <w:szCs w:val="21"/>
              </w:rPr>
            </w:pPr>
          </w:p>
        </w:tc>
        <w:tc>
          <w:tcPr>
            <w:tcW w:w="387" w:type="pct"/>
            <w:vMerge w:val="continue"/>
            <w:noWrap w:val="0"/>
            <w:vAlign w:val="center"/>
          </w:tcPr>
          <w:p w14:paraId="17D7AFBF">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FF0000"/>
                <w:sz w:val="21"/>
                <w:szCs w:val="21"/>
              </w:rPr>
            </w:pPr>
          </w:p>
        </w:tc>
        <w:tc>
          <w:tcPr>
            <w:tcW w:w="757" w:type="pct"/>
            <w:vMerge w:val="continue"/>
            <w:noWrap w:val="0"/>
            <w:vAlign w:val="center"/>
          </w:tcPr>
          <w:p w14:paraId="2EE1E75E">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FF0000"/>
                <w:sz w:val="21"/>
                <w:szCs w:val="21"/>
              </w:rPr>
            </w:pPr>
          </w:p>
        </w:tc>
        <w:tc>
          <w:tcPr>
            <w:tcW w:w="304" w:type="pct"/>
            <w:vMerge w:val="continue"/>
            <w:noWrap w:val="0"/>
            <w:vAlign w:val="center"/>
          </w:tcPr>
          <w:p w14:paraId="7C472348">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FF0000"/>
                <w:sz w:val="21"/>
                <w:szCs w:val="21"/>
              </w:rPr>
            </w:pPr>
          </w:p>
        </w:tc>
      </w:tr>
    </w:tbl>
    <w:p w14:paraId="756FC075">
      <w:pPr>
        <w:tabs>
          <w:tab w:val="left" w:pos="1890"/>
        </w:tabs>
        <w:spacing w:line="360" w:lineRule="exact"/>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表3</w:t>
      </w:r>
      <w:r>
        <w:rPr>
          <w:rFonts w:hint="default" w:ascii="Times New Roman" w:hAnsi="Times New Roman" w:eastAsia="宋体" w:cs="Times New Roman"/>
          <w:b/>
          <w:bCs/>
          <w:color w:val="auto"/>
          <w:sz w:val="21"/>
          <w:szCs w:val="21"/>
          <w:lang w:val="en-US" w:eastAsia="zh-CN"/>
        </w:rPr>
        <w:t xml:space="preserve"> </w:t>
      </w:r>
      <w:r>
        <w:rPr>
          <w:rFonts w:hint="default" w:ascii="Times New Roman" w:hAnsi="Times New Roman" w:eastAsia="宋体" w:cs="Times New Roman"/>
          <w:b/>
          <w:bCs/>
          <w:color w:val="auto"/>
          <w:sz w:val="21"/>
          <w:szCs w:val="21"/>
        </w:rPr>
        <w:t xml:space="preserve"> 建设项目主要原辅材料及燃料信息表</w:t>
      </w:r>
    </w:p>
    <w:tbl>
      <w:tblPr>
        <w:tblStyle w:val="53"/>
        <w:tblW w:w="4996"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04"/>
        <w:gridCol w:w="818"/>
        <w:gridCol w:w="1466"/>
        <w:gridCol w:w="884"/>
        <w:gridCol w:w="679"/>
        <w:gridCol w:w="872"/>
        <w:gridCol w:w="995"/>
        <w:gridCol w:w="887"/>
        <w:gridCol w:w="1572"/>
        <w:gridCol w:w="1697"/>
        <w:gridCol w:w="1336"/>
        <w:gridCol w:w="637"/>
        <w:gridCol w:w="591"/>
        <w:gridCol w:w="1171"/>
      </w:tblGrid>
      <w:tr w14:paraId="72740F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88" w:hRule="atLeast"/>
          <w:jc w:val="center"/>
        </w:trPr>
        <w:tc>
          <w:tcPr>
            <w:tcW w:w="213" w:type="pct"/>
            <w:noWrap w:val="0"/>
            <w:vAlign w:val="center"/>
          </w:tcPr>
          <w:p w14:paraId="2E82FCE2">
            <w:pPr>
              <w:keepNext w:val="0"/>
              <w:keepLines w:val="0"/>
              <w:pageBreakBefore w:val="0"/>
              <w:widowControl w:val="0"/>
              <w:suppressLineNumbers w:val="0"/>
              <w:tabs>
                <w:tab w:val="left" w:pos="1890"/>
              </w:tabs>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序号</w:t>
            </w:r>
          </w:p>
        </w:tc>
        <w:tc>
          <w:tcPr>
            <w:tcW w:w="288" w:type="pct"/>
            <w:noWrap w:val="0"/>
            <w:vAlign w:val="center"/>
          </w:tcPr>
          <w:p w14:paraId="277A7092">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种类</w:t>
            </w:r>
          </w:p>
        </w:tc>
        <w:tc>
          <w:tcPr>
            <w:tcW w:w="827" w:type="pct"/>
            <w:gridSpan w:val="2"/>
            <w:noWrap w:val="0"/>
            <w:vAlign w:val="center"/>
          </w:tcPr>
          <w:p w14:paraId="7D658A57">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名称</w:t>
            </w:r>
          </w:p>
        </w:tc>
        <w:tc>
          <w:tcPr>
            <w:tcW w:w="546" w:type="pct"/>
            <w:gridSpan w:val="2"/>
            <w:noWrap w:val="0"/>
            <w:vAlign w:val="center"/>
          </w:tcPr>
          <w:p w14:paraId="167C2F14">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设计年使用量</w:t>
            </w:r>
          </w:p>
        </w:tc>
        <w:tc>
          <w:tcPr>
            <w:tcW w:w="662" w:type="pct"/>
            <w:gridSpan w:val="2"/>
            <w:noWrap w:val="0"/>
            <w:vAlign w:val="center"/>
          </w:tcPr>
          <w:p w14:paraId="7D70FEAC">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年最大使用量</w:t>
            </w:r>
          </w:p>
        </w:tc>
        <w:tc>
          <w:tcPr>
            <w:tcW w:w="553" w:type="pct"/>
            <w:noWrap w:val="0"/>
            <w:vAlign w:val="center"/>
          </w:tcPr>
          <w:p w14:paraId="48781F0C">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计量单位</w:t>
            </w:r>
          </w:p>
        </w:tc>
        <w:tc>
          <w:tcPr>
            <w:tcW w:w="597" w:type="pct"/>
            <w:noWrap w:val="0"/>
            <w:vAlign w:val="center"/>
          </w:tcPr>
          <w:p w14:paraId="61C26565">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有毒有害成分</w:t>
            </w:r>
          </w:p>
        </w:tc>
        <w:tc>
          <w:tcPr>
            <w:tcW w:w="694" w:type="pct"/>
            <w:gridSpan w:val="2"/>
            <w:noWrap w:val="0"/>
            <w:vAlign w:val="center"/>
          </w:tcPr>
          <w:p w14:paraId="6CA72613">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有毒有害成分占比</w:t>
            </w:r>
          </w:p>
        </w:tc>
        <w:tc>
          <w:tcPr>
            <w:tcW w:w="615" w:type="pct"/>
            <w:gridSpan w:val="2"/>
            <w:noWrap w:val="0"/>
            <w:vAlign w:val="center"/>
          </w:tcPr>
          <w:p w14:paraId="50D9BE67">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其他信息</w:t>
            </w:r>
          </w:p>
        </w:tc>
      </w:tr>
      <w:tr w14:paraId="2DADEE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3" w:hRule="atLeast"/>
          <w:jc w:val="center"/>
        </w:trPr>
        <w:tc>
          <w:tcPr>
            <w:tcW w:w="5000" w:type="pct"/>
            <w:gridSpan w:val="14"/>
            <w:noWrap w:val="0"/>
            <w:vAlign w:val="center"/>
          </w:tcPr>
          <w:p w14:paraId="4FAE6BF7">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原料及辅料</w:t>
            </w:r>
          </w:p>
        </w:tc>
      </w:tr>
      <w:tr w14:paraId="7CDDB40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0" w:hRule="atLeast"/>
          <w:jc w:val="center"/>
        </w:trPr>
        <w:tc>
          <w:tcPr>
            <w:tcW w:w="213" w:type="pct"/>
            <w:noWrap w:val="0"/>
            <w:vAlign w:val="center"/>
          </w:tcPr>
          <w:p w14:paraId="7A2386C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288" w:type="pct"/>
            <w:vMerge w:val="restart"/>
            <w:noWrap w:val="0"/>
            <w:vAlign w:val="center"/>
          </w:tcPr>
          <w:p w14:paraId="5FCE64C3">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color w:val="auto"/>
                <w:sz w:val="21"/>
                <w:szCs w:val="21"/>
                <w:lang w:val="en-US" w:eastAsia="zh-CN"/>
              </w:rPr>
              <w:t>原辅材料</w:t>
            </w:r>
          </w:p>
        </w:tc>
        <w:tc>
          <w:tcPr>
            <w:tcW w:w="827" w:type="pct"/>
            <w:gridSpan w:val="2"/>
            <w:noWrap w:val="0"/>
            <w:vAlign w:val="center"/>
          </w:tcPr>
          <w:p w14:paraId="77CB429E">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rPr>
            </w:pPr>
            <w:r>
              <w:rPr>
                <w:rFonts w:hint="default" w:ascii="Times New Roman" w:hAnsi="Times New Roman" w:cs="Times New Roman"/>
                <w:bCs/>
                <w:color w:val="auto"/>
                <w:sz w:val="21"/>
                <w:szCs w:val="21"/>
                <w:lang w:val="en-US" w:eastAsia="zh-CN"/>
              </w:rPr>
              <w:t>汽车金属零配外来件（45#钢）</w:t>
            </w:r>
          </w:p>
        </w:tc>
        <w:tc>
          <w:tcPr>
            <w:tcW w:w="546" w:type="pct"/>
            <w:gridSpan w:val="2"/>
            <w:noWrap w:val="0"/>
            <w:vAlign w:val="center"/>
          </w:tcPr>
          <w:p w14:paraId="5D11246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rPr>
            </w:pPr>
            <w:r>
              <w:rPr>
                <w:rFonts w:hint="default" w:ascii="Times New Roman" w:hAnsi="Times New Roman" w:cs="Times New Roman"/>
                <w:bCs/>
                <w:color w:val="auto"/>
                <w:sz w:val="21"/>
                <w:szCs w:val="21"/>
                <w:lang w:val="en-US" w:eastAsia="zh-CN"/>
              </w:rPr>
              <w:t>1500</w:t>
            </w:r>
          </w:p>
        </w:tc>
        <w:tc>
          <w:tcPr>
            <w:tcW w:w="662" w:type="pct"/>
            <w:gridSpan w:val="2"/>
            <w:noWrap w:val="0"/>
            <w:vAlign w:val="center"/>
          </w:tcPr>
          <w:p w14:paraId="1D1607F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rPr>
            </w:pPr>
            <w:r>
              <w:rPr>
                <w:rFonts w:hint="default" w:ascii="Times New Roman" w:hAnsi="Times New Roman" w:cs="Times New Roman"/>
                <w:bCs/>
                <w:color w:val="auto"/>
                <w:sz w:val="21"/>
                <w:szCs w:val="21"/>
                <w:lang w:val="en-US" w:eastAsia="zh-CN"/>
              </w:rPr>
              <w:t>1500</w:t>
            </w:r>
          </w:p>
        </w:tc>
        <w:tc>
          <w:tcPr>
            <w:tcW w:w="553" w:type="pct"/>
            <w:noWrap w:val="0"/>
            <w:vAlign w:val="center"/>
          </w:tcPr>
          <w:p w14:paraId="6E6B27B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吨/年</w:t>
            </w:r>
          </w:p>
        </w:tc>
        <w:tc>
          <w:tcPr>
            <w:tcW w:w="597" w:type="pct"/>
            <w:noWrap w:val="0"/>
            <w:vAlign w:val="center"/>
          </w:tcPr>
          <w:p w14:paraId="2615107C">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694" w:type="pct"/>
            <w:gridSpan w:val="2"/>
            <w:noWrap w:val="0"/>
            <w:vAlign w:val="center"/>
          </w:tcPr>
          <w:p w14:paraId="39D45740">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615" w:type="pct"/>
            <w:gridSpan w:val="2"/>
            <w:noWrap w:val="0"/>
            <w:vAlign w:val="center"/>
          </w:tcPr>
          <w:p w14:paraId="55B9405E">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462BFA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0" w:hRule="atLeast"/>
          <w:jc w:val="center"/>
        </w:trPr>
        <w:tc>
          <w:tcPr>
            <w:tcW w:w="213" w:type="pct"/>
            <w:noWrap w:val="0"/>
            <w:vAlign w:val="center"/>
          </w:tcPr>
          <w:p w14:paraId="4CC6EBC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288" w:type="pct"/>
            <w:vMerge w:val="continue"/>
            <w:noWrap w:val="0"/>
            <w:vAlign w:val="center"/>
          </w:tcPr>
          <w:p w14:paraId="14AD7275">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827" w:type="pct"/>
            <w:gridSpan w:val="2"/>
            <w:noWrap w:val="0"/>
            <w:vAlign w:val="center"/>
          </w:tcPr>
          <w:p w14:paraId="6AEAFE60">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rPr>
            </w:pPr>
            <w:r>
              <w:rPr>
                <w:rFonts w:hint="default" w:ascii="Times New Roman" w:hAnsi="Times New Roman" w:cs="Times New Roman"/>
                <w:bCs/>
                <w:color w:val="auto"/>
                <w:sz w:val="21"/>
                <w:szCs w:val="21"/>
                <w:lang w:val="en-US" w:eastAsia="zh-CN"/>
              </w:rPr>
              <w:t>汽车金属零配外来件</w:t>
            </w:r>
            <w:r>
              <w:rPr>
                <w:rFonts w:hint="default" w:ascii="Times New Roman" w:hAnsi="Times New Roman" w:cs="Times New Roman"/>
                <w:color w:val="auto"/>
                <w:sz w:val="21"/>
                <w:szCs w:val="21"/>
                <w:lang w:val="en-US" w:eastAsia="zh-CN"/>
              </w:rPr>
              <w:t>（40Cr合金钢）</w:t>
            </w:r>
          </w:p>
        </w:tc>
        <w:tc>
          <w:tcPr>
            <w:tcW w:w="546" w:type="pct"/>
            <w:gridSpan w:val="2"/>
            <w:noWrap w:val="0"/>
            <w:vAlign w:val="center"/>
          </w:tcPr>
          <w:p w14:paraId="417EB58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1000</w:t>
            </w:r>
          </w:p>
        </w:tc>
        <w:tc>
          <w:tcPr>
            <w:tcW w:w="662" w:type="pct"/>
            <w:gridSpan w:val="2"/>
            <w:noWrap w:val="0"/>
            <w:vAlign w:val="center"/>
          </w:tcPr>
          <w:p w14:paraId="51F0E91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1000</w:t>
            </w:r>
          </w:p>
        </w:tc>
        <w:tc>
          <w:tcPr>
            <w:tcW w:w="553" w:type="pct"/>
            <w:noWrap w:val="0"/>
            <w:vAlign w:val="center"/>
          </w:tcPr>
          <w:p w14:paraId="4C57EB9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吨/年</w:t>
            </w:r>
          </w:p>
        </w:tc>
        <w:tc>
          <w:tcPr>
            <w:tcW w:w="597" w:type="pct"/>
            <w:noWrap w:val="0"/>
            <w:vAlign w:val="center"/>
          </w:tcPr>
          <w:p w14:paraId="6E52D001">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694" w:type="pct"/>
            <w:gridSpan w:val="2"/>
            <w:noWrap w:val="0"/>
            <w:vAlign w:val="center"/>
          </w:tcPr>
          <w:p w14:paraId="5533AFF8">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615" w:type="pct"/>
            <w:gridSpan w:val="2"/>
            <w:noWrap w:val="0"/>
            <w:vAlign w:val="center"/>
          </w:tcPr>
          <w:p w14:paraId="563AC2DC">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4DEC6D0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0" w:hRule="atLeast"/>
          <w:jc w:val="center"/>
        </w:trPr>
        <w:tc>
          <w:tcPr>
            <w:tcW w:w="213" w:type="pct"/>
            <w:noWrap w:val="0"/>
            <w:vAlign w:val="center"/>
          </w:tcPr>
          <w:p w14:paraId="3F8960D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288" w:type="pct"/>
            <w:vMerge w:val="continue"/>
            <w:noWrap w:val="0"/>
            <w:vAlign w:val="center"/>
          </w:tcPr>
          <w:p w14:paraId="26ECE98E">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827" w:type="pct"/>
            <w:gridSpan w:val="2"/>
            <w:noWrap w:val="0"/>
            <w:vAlign w:val="center"/>
          </w:tcPr>
          <w:p w14:paraId="1A8C8067">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cs="Times New Roman"/>
                <w:bCs/>
                <w:color w:val="auto"/>
                <w:sz w:val="21"/>
                <w:szCs w:val="21"/>
                <w:lang w:val="en-US" w:eastAsia="zh-CN"/>
              </w:rPr>
              <w:t>汽车金属零配外来件</w:t>
            </w:r>
            <w:r>
              <w:rPr>
                <w:rFonts w:hint="default" w:ascii="Times New Roman" w:hAnsi="Times New Roman" w:cs="Times New Roman"/>
                <w:color w:val="auto"/>
                <w:sz w:val="21"/>
                <w:szCs w:val="21"/>
                <w:lang w:val="en-US" w:eastAsia="zh-CN"/>
              </w:rPr>
              <w:t>（35Crom合金钢）</w:t>
            </w:r>
          </w:p>
        </w:tc>
        <w:tc>
          <w:tcPr>
            <w:tcW w:w="546" w:type="pct"/>
            <w:gridSpan w:val="2"/>
            <w:noWrap w:val="0"/>
            <w:vAlign w:val="center"/>
          </w:tcPr>
          <w:p w14:paraId="4E917F4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val="en-US" w:eastAsia="zh-CN"/>
              </w:rPr>
              <w:t>1000</w:t>
            </w:r>
          </w:p>
        </w:tc>
        <w:tc>
          <w:tcPr>
            <w:tcW w:w="662" w:type="pct"/>
            <w:gridSpan w:val="2"/>
            <w:noWrap w:val="0"/>
            <w:vAlign w:val="center"/>
          </w:tcPr>
          <w:p w14:paraId="5F7A7A9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val="en-US" w:eastAsia="zh-CN"/>
              </w:rPr>
              <w:t>1000</w:t>
            </w:r>
          </w:p>
        </w:tc>
        <w:tc>
          <w:tcPr>
            <w:tcW w:w="553" w:type="pct"/>
            <w:noWrap w:val="0"/>
            <w:vAlign w:val="center"/>
          </w:tcPr>
          <w:p w14:paraId="3A5121A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吨/年</w:t>
            </w:r>
          </w:p>
        </w:tc>
        <w:tc>
          <w:tcPr>
            <w:tcW w:w="597" w:type="pct"/>
            <w:noWrap w:val="0"/>
            <w:vAlign w:val="center"/>
          </w:tcPr>
          <w:p w14:paraId="5DCBC0E8">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694" w:type="pct"/>
            <w:gridSpan w:val="2"/>
            <w:noWrap w:val="0"/>
            <w:vAlign w:val="center"/>
          </w:tcPr>
          <w:p w14:paraId="25C5B47A">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615" w:type="pct"/>
            <w:gridSpan w:val="2"/>
            <w:noWrap w:val="0"/>
            <w:vAlign w:val="center"/>
          </w:tcPr>
          <w:p w14:paraId="7C17E52E">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03D166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0" w:hRule="atLeast"/>
          <w:jc w:val="center"/>
        </w:trPr>
        <w:tc>
          <w:tcPr>
            <w:tcW w:w="213" w:type="pct"/>
            <w:noWrap w:val="0"/>
            <w:vAlign w:val="center"/>
          </w:tcPr>
          <w:p w14:paraId="3635C56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4</w:t>
            </w:r>
          </w:p>
        </w:tc>
        <w:tc>
          <w:tcPr>
            <w:tcW w:w="288" w:type="pct"/>
            <w:vMerge w:val="continue"/>
            <w:noWrap w:val="0"/>
            <w:vAlign w:val="center"/>
          </w:tcPr>
          <w:p w14:paraId="5084FE6C">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827" w:type="pct"/>
            <w:gridSpan w:val="2"/>
            <w:noWrap w:val="0"/>
            <w:vAlign w:val="center"/>
          </w:tcPr>
          <w:p w14:paraId="7914672B">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淬火油</w:t>
            </w:r>
          </w:p>
        </w:tc>
        <w:tc>
          <w:tcPr>
            <w:tcW w:w="546" w:type="pct"/>
            <w:gridSpan w:val="2"/>
            <w:noWrap w:val="0"/>
            <w:vAlign w:val="center"/>
          </w:tcPr>
          <w:p w14:paraId="6DF7F73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sz w:val="21"/>
                <w:szCs w:val="21"/>
                <w:lang w:val="en-US" w:eastAsia="zh-CN"/>
              </w:rPr>
              <w:t>12</w:t>
            </w:r>
          </w:p>
        </w:tc>
        <w:tc>
          <w:tcPr>
            <w:tcW w:w="662" w:type="pct"/>
            <w:gridSpan w:val="2"/>
            <w:noWrap w:val="0"/>
            <w:vAlign w:val="center"/>
          </w:tcPr>
          <w:p w14:paraId="7FDD7D4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rPr>
            </w:pPr>
            <w:r>
              <w:rPr>
                <w:rFonts w:hint="default" w:ascii="Times New Roman" w:hAnsi="Times New Roman" w:cs="Times New Roman"/>
                <w:color w:val="auto"/>
                <w:sz w:val="21"/>
                <w:szCs w:val="21"/>
                <w:lang w:val="en-US" w:eastAsia="zh-CN"/>
              </w:rPr>
              <w:t>12</w:t>
            </w:r>
          </w:p>
        </w:tc>
        <w:tc>
          <w:tcPr>
            <w:tcW w:w="553" w:type="pct"/>
            <w:noWrap w:val="0"/>
            <w:vAlign w:val="center"/>
          </w:tcPr>
          <w:p w14:paraId="2B688B2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吨/年</w:t>
            </w:r>
          </w:p>
        </w:tc>
        <w:tc>
          <w:tcPr>
            <w:tcW w:w="597" w:type="pct"/>
            <w:noWrap w:val="0"/>
            <w:vAlign w:val="center"/>
          </w:tcPr>
          <w:p w14:paraId="4CF7A9DE">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694" w:type="pct"/>
            <w:gridSpan w:val="2"/>
            <w:noWrap w:val="0"/>
            <w:vAlign w:val="center"/>
          </w:tcPr>
          <w:p w14:paraId="4FFAF6F1">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615" w:type="pct"/>
            <w:gridSpan w:val="2"/>
            <w:noWrap w:val="0"/>
            <w:vAlign w:val="center"/>
          </w:tcPr>
          <w:p w14:paraId="3BFD241F">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2B3E86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0" w:hRule="atLeast"/>
          <w:jc w:val="center"/>
        </w:trPr>
        <w:tc>
          <w:tcPr>
            <w:tcW w:w="213" w:type="pct"/>
            <w:noWrap w:val="0"/>
            <w:vAlign w:val="center"/>
          </w:tcPr>
          <w:p w14:paraId="60B4BD6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w:t>
            </w:r>
          </w:p>
        </w:tc>
        <w:tc>
          <w:tcPr>
            <w:tcW w:w="288" w:type="pct"/>
            <w:vMerge w:val="continue"/>
            <w:noWrap w:val="0"/>
            <w:vAlign w:val="center"/>
          </w:tcPr>
          <w:p w14:paraId="02AB3C7B">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827" w:type="pct"/>
            <w:gridSpan w:val="2"/>
            <w:noWrap w:val="0"/>
            <w:vAlign w:val="center"/>
          </w:tcPr>
          <w:p w14:paraId="1F817683">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丙烷</w:t>
            </w:r>
          </w:p>
        </w:tc>
        <w:tc>
          <w:tcPr>
            <w:tcW w:w="546" w:type="pct"/>
            <w:gridSpan w:val="2"/>
            <w:noWrap w:val="0"/>
            <w:vAlign w:val="center"/>
          </w:tcPr>
          <w:p w14:paraId="690D417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sz w:val="21"/>
                <w:szCs w:val="21"/>
                <w:lang w:val="en-US" w:eastAsia="zh-CN"/>
              </w:rPr>
              <w:t>42</w:t>
            </w:r>
          </w:p>
        </w:tc>
        <w:tc>
          <w:tcPr>
            <w:tcW w:w="662" w:type="pct"/>
            <w:gridSpan w:val="2"/>
            <w:noWrap w:val="0"/>
            <w:vAlign w:val="center"/>
          </w:tcPr>
          <w:p w14:paraId="248BD2A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sz w:val="21"/>
                <w:szCs w:val="21"/>
                <w:lang w:val="en-US" w:eastAsia="zh-CN"/>
              </w:rPr>
              <w:t>42</w:t>
            </w:r>
          </w:p>
        </w:tc>
        <w:tc>
          <w:tcPr>
            <w:tcW w:w="553" w:type="pct"/>
            <w:noWrap w:val="0"/>
            <w:vAlign w:val="center"/>
          </w:tcPr>
          <w:p w14:paraId="52D9F28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吨/年</w:t>
            </w:r>
          </w:p>
        </w:tc>
        <w:tc>
          <w:tcPr>
            <w:tcW w:w="597" w:type="pct"/>
            <w:noWrap w:val="0"/>
            <w:vAlign w:val="center"/>
          </w:tcPr>
          <w:p w14:paraId="77D45190">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694" w:type="pct"/>
            <w:gridSpan w:val="2"/>
            <w:noWrap w:val="0"/>
            <w:vAlign w:val="center"/>
          </w:tcPr>
          <w:p w14:paraId="59BE9D60">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615" w:type="pct"/>
            <w:gridSpan w:val="2"/>
            <w:noWrap w:val="0"/>
            <w:vAlign w:val="center"/>
          </w:tcPr>
          <w:p w14:paraId="5B98F8A2">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0E23258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0" w:hRule="atLeast"/>
          <w:jc w:val="center"/>
        </w:trPr>
        <w:tc>
          <w:tcPr>
            <w:tcW w:w="213" w:type="pct"/>
            <w:noWrap w:val="0"/>
            <w:vAlign w:val="center"/>
          </w:tcPr>
          <w:p w14:paraId="28F1A3C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w:t>
            </w:r>
          </w:p>
        </w:tc>
        <w:tc>
          <w:tcPr>
            <w:tcW w:w="288" w:type="pct"/>
            <w:vMerge w:val="continue"/>
            <w:noWrap w:val="0"/>
            <w:vAlign w:val="center"/>
          </w:tcPr>
          <w:p w14:paraId="6DF70967">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827" w:type="pct"/>
            <w:gridSpan w:val="2"/>
            <w:noWrap w:val="0"/>
            <w:vAlign w:val="center"/>
          </w:tcPr>
          <w:p w14:paraId="438A0F45">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甲醇</w:t>
            </w:r>
          </w:p>
        </w:tc>
        <w:tc>
          <w:tcPr>
            <w:tcW w:w="546" w:type="pct"/>
            <w:gridSpan w:val="2"/>
            <w:noWrap w:val="0"/>
            <w:vAlign w:val="center"/>
          </w:tcPr>
          <w:p w14:paraId="7ADE4517">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i w:val="0"/>
                <w:iCs w:val="0"/>
                <w:color w:val="auto"/>
                <w:kern w:val="0"/>
                <w:sz w:val="21"/>
                <w:szCs w:val="21"/>
                <w:u w:val="none"/>
                <w:lang w:val="en-US" w:eastAsia="zh-CN" w:bidi="ar"/>
              </w:rPr>
            </w:pPr>
            <w:r>
              <w:rPr>
                <w:rFonts w:hint="default" w:ascii="Times New Roman" w:hAnsi="Times New Roman" w:cs="Times New Roman"/>
                <w:color w:val="auto"/>
                <w:sz w:val="21"/>
                <w:szCs w:val="21"/>
                <w:lang w:val="en-US" w:eastAsia="zh-CN"/>
              </w:rPr>
              <w:t>100</w:t>
            </w:r>
          </w:p>
        </w:tc>
        <w:tc>
          <w:tcPr>
            <w:tcW w:w="662" w:type="pct"/>
            <w:gridSpan w:val="2"/>
            <w:noWrap w:val="0"/>
            <w:vAlign w:val="center"/>
          </w:tcPr>
          <w:p w14:paraId="2DEA3914">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i w:val="0"/>
                <w:iCs w:val="0"/>
                <w:color w:val="auto"/>
                <w:kern w:val="0"/>
                <w:sz w:val="21"/>
                <w:szCs w:val="21"/>
                <w:u w:val="none"/>
                <w:lang w:val="en-US" w:eastAsia="zh-CN" w:bidi="ar"/>
              </w:rPr>
            </w:pPr>
            <w:r>
              <w:rPr>
                <w:rFonts w:hint="default" w:ascii="Times New Roman" w:hAnsi="Times New Roman" w:cs="Times New Roman"/>
                <w:color w:val="auto"/>
                <w:sz w:val="21"/>
                <w:szCs w:val="21"/>
                <w:lang w:val="en-US" w:eastAsia="zh-CN"/>
              </w:rPr>
              <w:t>100</w:t>
            </w:r>
          </w:p>
        </w:tc>
        <w:tc>
          <w:tcPr>
            <w:tcW w:w="553" w:type="pct"/>
            <w:noWrap w:val="0"/>
            <w:vAlign w:val="center"/>
          </w:tcPr>
          <w:p w14:paraId="3ADD656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吨/年</w:t>
            </w:r>
          </w:p>
        </w:tc>
        <w:tc>
          <w:tcPr>
            <w:tcW w:w="597" w:type="pct"/>
            <w:noWrap w:val="0"/>
            <w:vAlign w:val="center"/>
          </w:tcPr>
          <w:p w14:paraId="0C81BB57">
            <w:pPr>
              <w:keepNext w:val="0"/>
              <w:keepLines w:val="0"/>
              <w:suppressLineNumbers w:val="0"/>
              <w:tabs>
                <w:tab w:val="left" w:pos="1890"/>
              </w:tabs>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694" w:type="pct"/>
            <w:gridSpan w:val="2"/>
            <w:noWrap w:val="0"/>
            <w:vAlign w:val="center"/>
          </w:tcPr>
          <w:p w14:paraId="25AB11D3">
            <w:pPr>
              <w:keepNext w:val="0"/>
              <w:keepLines w:val="0"/>
              <w:suppressLineNumbers w:val="0"/>
              <w:tabs>
                <w:tab w:val="left" w:pos="1890"/>
              </w:tabs>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615" w:type="pct"/>
            <w:gridSpan w:val="2"/>
            <w:noWrap w:val="0"/>
            <w:vAlign w:val="center"/>
          </w:tcPr>
          <w:p w14:paraId="2A9F4723">
            <w:pPr>
              <w:keepNext w:val="0"/>
              <w:keepLines w:val="0"/>
              <w:suppressLineNumbers w:val="0"/>
              <w:tabs>
                <w:tab w:val="left" w:pos="1890"/>
              </w:tabs>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634B30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0" w:hRule="atLeast"/>
          <w:jc w:val="center"/>
        </w:trPr>
        <w:tc>
          <w:tcPr>
            <w:tcW w:w="213" w:type="pct"/>
            <w:noWrap w:val="0"/>
            <w:vAlign w:val="center"/>
          </w:tcPr>
          <w:p w14:paraId="53DBB19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w:t>
            </w:r>
          </w:p>
        </w:tc>
        <w:tc>
          <w:tcPr>
            <w:tcW w:w="288" w:type="pct"/>
            <w:vMerge w:val="continue"/>
            <w:noWrap w:val="0"/>
            <w:vAlign w:val="center"/>
          </w:tcPr>
          <w:p w14:paraId="12905DB1">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827" w:type="pct"/>
            <w:gridSpan w:val="2"/>
            <w:noWrap w:val="0"/>
            <w:vAlign w:val="center"/>
          </w:tcPr>
          <w:p w14:paraId="590AFDCF">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rPr>
            </w:pPr>
            <w:r>
              <w:rPr>
                <w:rFonts w:hint="eastAsia" w:ascii="Times New Roman" w:hAnsi="Times New Roman" w:cs="Times New Roman"/>
                <w:color w:val="auto"/>
                <w:sz w:val="21"/>
                <w:szCs w:val="21"/>
                <w:lang w:val="en-US" w:eastAsia="zh-CN"/>
              </w:rPr>
              <w:t>润滑油</w:t>
            </w:r>
          </w:p>
        </w:tc>
        <w:tc>
          <w:tcPr>
            <w:tcW w:w="546" w:type="pct"/>
            <w:gridSpan w:val="2"/>
            <w:noWrap w:val="0"/>
            <w:vAlign w:val="center"/>
          </w:tcPr>
          <w:p w14:paraId="77A8FD7A">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i w:val="0"/>
                <w:iCs w:val="0"/>
                <w:color w:val="auto"/>
                <w:kern w:val="0"/>
                <w:sz w:val="21"/>
                <w:szCs w:val="21"/>
                <w:u w:val="none"/>
                <w:lang w:val="en-US" w:eastAsia="zh-CN" w:bidi="ar"/>
              </w:rPr>
            </w:pPr>
            <w:r>
              <w:rPr>
                <w:rFonts w:hint="eastAsia" w:ascii="Times New Roman" w:hAnsi="Times New Roman" w:cs="Times New Roman"/>
                <w:color w:val="auto"/>
                <w:sz w:val="21"/>
                <w:szCs w:val="21"/>
                <w:lang w:val="en-US" w:eastAsia="zh-CN"/>
              </w:rPr>
              <w:t>0.4</w:t>
            </w:r>
          </w:p>
        </w:tc>
        <w:tc>
          <w:tcPr>
            <w:tcW w:w="662" w:type="pct"/>
            <w:gridSpan w:val="2"/>
            <w:noWrap w:val="0"/>
            <w:vAlign w:val="center"/>
          </w:tcPr>
          <w:p w14:paraId="5FC3DC19">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i w:val="0"/>
                <w:iCs w:val="0"/>
                <w:color w:val="auto"/>
                <w:kern w:val="0"/>
                <w:sz w:val="21"/>
                <w:szCs w:val="21"/>
                <w:u w:val="none"/>
                <w:lang w:val="en-US" w:eastAsia="zh-CN" w:bidi="ar"/>
              </w:rPr>
            </w:pPr>
            <w:r>
              <w:rPr>
                <w:rFonts w:hint="eastAsia" w:ascii="Times New Roman" w:hAnsi="Times New Roman" w:cs="Times New Roman"/>
                <w:color w:val="auto"/>
                <w:sz w:val="21"/>
                <w:szCs w:val="21"/>
                <w:lang w:val="en-US" w:eastAsia="zh-CN"/>
              </w:rPr>
              <w:t>0.4</w:t>
            </w:r>
          </w:p>
        </w:tc>
        <w:tc>
          <w:tcPr>
            <w:tcW w:w="553" w:type="pct"/>
            <w:noWrap w:val="0"/>
            <w:vAlign w:val="center"/>
          </w:tcPr>
          <w:p w14:paraId="2DA7340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吨/年</w:t>
            </w:r>
          </w:p>
        </w:tc>
        <w:tc>
          <w:tcPr>
            <w:tcW w:w="597" w:type="pct"/>
            <w:noWrap w:val="0"/>
            <w:vAlign w:val="center"/>
          </w:tcPr>
          <w:p w14:paraId="712DC9A7">
            <w:pPr>
              <w:keepNext w:val="0"/>
              <w:keepLines w:val="0"/>
              <w:suppressLineNumbers w:val="0"/>
              <w:tabs>
                <w:tab w:val="left" w:pos="1890"/>
              </w:tabs>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694" w:type="pct"/>
            <w:gridSpan w:val="2"/>
            <w:noWrap w:val="0"/>
            <w:vAlign w:val="center"/>
          </w:tcPr>
          <w:p w14:paraId="099050CC">
            <w:pPr>
              <w:keepNext w:val="0"/>
              <w:keepLines w:val="0"/>
              <w:suppressLineNumbers w:val="0"/>
              <w:tabs>
                <w:tab w:val="left" w:pos="1890"/>
              </w:tabs>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615" w:type="pct"/>
            <w:gridSpan w:val="2"/>
            <w:noWrap w:val="0"/>
            <w:vAlign w:val="center"/>
          </w:tcPr>
          <w:p w14:paraId="26F99388">
            <w:pPr>
              <w:keepNext w:val="0"/>
              <w:keepLines w:val="0"/>
              <w:suppressLineNumbers w:val="0"/>
              <w:tabs>
                <w:tab w:val="left" w:pos="1890"/>
              </w:tabs>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1CA4C3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3" w:hRule="atLeast"/>
          <w:jc w:val="center"/>
        </w:trPr>
        <w:tc>
          <w:tcPr>
            <w:tcW w:w="5000" w:type="pct"/>
            <w:gridSpan w:val="14"/>
            <w:noWrap w:val="0"/>
            <w:vAlign w:val="center"/>
          </w:tcPr>
          <w:p w14:paraId="5E65E6C0">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燃料</w:t>
            </w:r>
          </w:p>
        </w:tc>
      </w:tr>
      <w:tr w14:paraId="56351A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0" w:hRule="atLeast"/>
          <w:jc w:val="center"/>
        </w:trPr>
        <w:tc>
          <w:tcPr>
            <w:tcW w:w="213" w:type="pct"/>
            <w:noWrap w:val="0"/>
            <w:vAlign w:val="center"/>
          </w:tcPr>
          <w:p w14:paraId="46DC2762">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序号</w:t>
            </w:r>
          </w:p>
        </w:tc>
        <w:tc>
          <w:tcPr>
            <w:tcW w:w="288" w:type="pct"/>
            <w:noWrap w:val="0"/>
            <w:vAlign w:val="center"/>
          </w:tcPr>
          <w:p w14:paraId="16CFEB5F">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燃料名称</w:t>
            </w:r>
          </w:p>
        </w:tc>
        <w:tc>
          <w:tcPr>
            <w:tcW w:w="516" w:type="pct"/>
            <w:noWrap w:val="0"/>
            <w:vAlign w:val="center"/>
          </w:tcPr>
          <w:p w14:paraId="5F0D6476">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设计年使用量</w:t>
            </w:r>
          </w:p>
        </w:tc>
        <w:tc>
          <w:tcPr>
            <w:tcW w:w="550" w:type="pct"/>
            <w:gridSpan w:val="2"/>
            <w:noWrap w:val="0"/>
            <w:vAlign w:val="center"/>
          </w:tcPr>
          <w:p w14:paraId="2AA2D6B8">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年最大使用量</w:t>
            </w:r>
          </w:p>
        </w:tc>
        <w:tc>
          <w:tcPr>
            <w:tcW w:w="306" w:type="pct"/>
            <w:noWrap w:val="0"/>
            <w:vAlign w:val="center"/>
          </w:tcPr>
          <w:p w14:paraId="1DC1C6B1">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计量单位</w:t>
            </w:r>
          </w:p>
        </w:tc>
        <w:tc>
          <w:tcPr>
            <w:tcW w:w="350" w:type="pct"/>
            <w:noWrap w:val="0"/>
            <w:vAlign w:val="center"/>
          </w:tcPr>
          <w:p w14:paraId="50DEB625">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灰分（%）</w:t>
            </w:r>
          </w:p>
        </w:tc>
        <w:tc>
          <w:tcPr>
            <w:tcW w:w="312" w:type="pct"/>
            <w:noWrap w:val="0"/>
            <w:vAlign w:val="center"/>
          </w:tcPr>
          <w:p w14:paraId="1423B0A7">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硫分（%）</w:t>
            </w:r>
          </w:p>
        </w:tc>
        <w:tc>
          <w:tcPr>
            <w:tcW w:w="553" w:type="pct"/>
            <w:noWrap w:val="0"/>
            <w:vAlign w:val="center"/>
          </w:tcPr>
          <w:p w14:paraId="663574E5">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挥发分（%）</w:t>
            </w:r>
          </w:p>
        </w:tc>
        <w:tc>
          <w:tcPr>
            <w:tcW w:w="597" w:type="pct"/>
            <w:noWrap w:val="0"/>
            <w:vAlign w:val="center"/>
          </w:tcPr>
          <w:p w14:paraId="3AF66DAB">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低位热值（MJ/m</w:t>
            </w:r>
            <w:r>
              <w:rPr>
                <w:rFonts w:hint="default" w:ascii="Times New Roman" w:hAnsi="Times New Roman" w:eastAsia="宋体" w:cs="Times New Roman"/>
                <w:b/>
                <w:color w:val="auto"/>
                <w:sz w:val="21"/>
                <w:szCs w:val="21"/>
                <w:vertAlign w:val="superscript"/>
              </w:rPr>
              <w:t>3</w:t>
            </w:r>
            <w:r>
              <w:rPr>
                <w:rFonts w:hint="default" w:ascii="Times New Roman" w:hAnsi="Times New Roman" w:eastAsia="宋体" w:cs="Times New Roman"/>
                <w:b/>
                <w:color w:val="auto"/>
                <w:sz w:val="21"/>
                <w:szCs w:val="21"/>
              </w:rPr>
              <w:t>）</w:t>
            </w:r>
          </w:p>
        </w:tc>
        <w:tc>
          <w:tcPr>
            <w:tcW w:w="470" w:type="pct"/>
            <w:noWrap w:val="0"/>
            <w:vAlign w:val="center"/>
          </w:tcPr>
          <w:p w14:paraId="1CF39A27">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有毒有害</w:t>
            </w:r>
          </w:p>
          <w:p w14:paraId="00AD0807">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物质</w:t>
            </w:r>
          </w:p>
        </w:tc>
        <w:tc>
          <w:tcPr>
            <w:tcW w:w="432" w:type="pct"/>
            <w:gridSpan w:val="2"/>
            <w:noWrap w:val="0"/>
            <w:vAlign w:val="center"/>
          </w:tcPr>
          <w:p w14:paraId="235BB291">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有毒有害成分占比</w:t>
            </w:r>
          </w:p>
        </w:tc>
        <w:tc>
          <w:tcPr>
            <w:tcW w:w="407" w:type="pct"/>
            <w:noWrap w:val="0"/>
            <w:vAlign w:val="center"/>
          </w:tcPr>
          <w:p w14:paraId="273E36EA">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其他信息</w:t>
            </w:r>
          </w:p>
        </w:tc>
      </w:tr>
      <w:tr w14:paraId="7B97F3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0" w:hRule="atLeast"/>
          <w:jc w:val="center"/>
        </w:trPr>
        <w:tc>
          <w:tcPr>
            <w:tcW w:w="213" w:type="pct"/>
            <w:noWrap w:val="0"/>
            <w:vAlign w:val="center"/>
          </w:tcPr>
          <w:p w14:paraId="1ABFFE32">
            <w:pPr>
              <w:keepNext w:val="0"/>
              <w:keepLines w:val="0"/>
              <w:suppressLineNumbers w:val="0"/>
              <w:tabs>
                <w:tab w:val="left" w:pos="1890"/>
              </w:tabs>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288" w:type="pct"/>
            <w:noWrap w:val="0"/>
            <w:vAlign w:val="center"/>
          </w:tcPr>
          <w:p w14:paraId="1BD4715B">
            <w:pPr>
              <w:keepNext w:val="0"/>
              <w:keepLines w:val="0"/>
              <w:suppressLineNumbers w:val="0"/>
              <w:tabs>
                <w:tab w:val="left" w:pos="1890"/>
              </w:tabs>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天然气</w:t>
            </w:r>
          </w:p>
        </w:tc>
        <w:tc>
          <w:tcPr>
            <w:tcW w:w="516" w:type="pct"/>
            <w:noWrap w:val="0"/>
            <w:vAlign w:val="center"/>
          </w:tcPr>
          <w:p w14:paraId="7B2603CC">
            <w:pPr>
              <w:keepNext w:val="0"/>
              <w:keepLines w:val="0"/>
              <w:suppressLineNumbers w:val="0"/>
              <w:tabs>
                <w:tab w:val="left" w:pos="1890"/>
              </w:tabs>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86400</w:t>
            </w:r>
          </w:p>
        </w:tc>
        <w:tc>
          <w:tcPr>
            <w:tcW w:w="550" w:type="pct"/>
            <w:gridSpan w:val="2"/>
            <w:noWrap w:val="0"/>
            <w:vAlign w:val="center"/>
          </w:tcPr>
          <w:p w14:paraId="39813682">
            <w:pPr>
              <w:keepNext w:val="0"/>
              <w:keepLines w:val="0"/>
              <w:suppressLineNumbers w:val="0"/>
              <w:tabs>
                <w:tab w:val="left" w:pos="1890"/>
              </w:tabs>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86400</w:t>
            </w:r>
          </w:p>
        </w:tc>
        <w:tc>
          <w:tcPr>
            <w:tcW w:w="306" w:type="pct"/>
            <w:noWrap w:val="0"/>
            <w:vAlign w:val="center"/>
          </w:tcPr>
          <w:p w14:paraId="7917DBB3">
            <w:pPr>
              <w:keepNext w:val="0"/>
              <w:keepLines w:val="0"/>
              <w:suppressLineNumbers w:val="0"/>
              <w:tabs>
                <w:tab w:val="left" w:pos="1890"/>
              </w:tabs>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/a</w:t>
            </w:r>
          </w:p>
        </w:tc>
        <w:tc>
          <w:tcPr>
            <w:tcW w:w="350" w:type="pct"/>
            <w:noWrap w:val="0"/>
            <w:vAlign w:val="center"/>
          </w:tcPr>
          <w:p w14:paraId="345B2AC0">
            <w:pPr>
              <w:keepNext w:val="0"/>
              <w:keepLines w:val="0"/>
              <w:suppressLineNumbers w:val="0"/>
              <w:tabs>
                <w:tab w:val="left" w:pos="1890"/>
              </w:tabs>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12" w:type="pct"/>
            <w:noWrap w:val="0"/>
            <w:vAlign w:val="center"/>
          </w:tcPr>
          <w:p w14:paraId="067356B6">
            <w:pPr>
              <w:keepNext w:val="0"/>
              <w:keepLines w:val="0"/>
              <w:suppressLineNumbers w:val="0"/>
              <w:tabs>
                <w:tab w:val="left" w:pos="1890"/>
              </w:tabs>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0.0014</w:t>
            </w:r>
          </w:p>
        </w:tc>
        <w:tc>
          <w:tcPr>
            <w:tcW w:w="553" w:type="pct"/>
            <w:noWrap w:val="0"/>
            <w:vAlign w:val="center"/>
          </w:tcPr>
          <w:p w14:paraId="0F4B046B">
            <w:pPr>
              <w:keepNext w:val="0"/>
              <w:keepLines w:val="0"/>
              <w:suppressLineNumbers w:val="0"/>
              <w:tabs>
                <w:tab w:val="left" w:pos="1890"/>
              </w:tabs>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597" w:type="pct"/>
            <w:noWrap w:val="0"/>
            <w:vAlign w:val="center"/>
          </w:tcPr>
          <w:p w14:paraId="7A0A0EE3">
            <w:pPr>
              <w:keepNext w:val="0"/>
              <w:keepLines w:val="0"/>
              <w:suppressLineNumbers w:val="0"/>
              <w:tabs>
                <w:tab w:val="left" w:pos="1890"/>
              </w:tabs>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70" w:type="pct"/>
            <w:noWrap w:val="0"/>
            <w:vAlign w:val="center"/>
          </w:tcPr>
          <w:p w14:paraId="2AF46C93">
            <w:pPr>
              <w:keepNext w:val="0"/>
              <w:keepLines w:val="0"/>
              <w:suppressLineNumbers w:val="0"/>
              <w:tabs>
                <w:tab w:val="left" w:pos="1890"/>
              </w:tabs>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32" w:type="pct"/>
            <w:gridSpan w:val="2"/>
            <w:noWrap w:val="0"/>
            <w:vAlign w:val="center"/>
          </w:tcPr>
          <w:p w14:paraId="13CB52B2">
            <w:pPr>
              <w:keepNext w:val="0"/>
              <w:keepLines w:val="0"/>
              <w:suppressLineNumbers w:val="0"/>
              <w:tabs>
                <w:tab w:val="left" w:pos="1890"/>
              </w:tabs>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07" w:type="pct"/>
            <w:noWrap w:val="0"/>
            <w:vAlign w:val="center"/>
          </w:tcPr>
          <w:p w14:paraId="48FBF75B">
            <w:pPr>
              <w:keepNext w:val="0"/>
              <w:keepLines w:val="0"/>
              <w:suppressLineNumbers w:val="0"/>
              <w:tabs>
                <w:tab w:val="left" w:pos="1890"/>
              </w:tabs>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bl>
    <w:p w14:paraId="7ABE2084">
      <w:pPr>
        <w:tabs>
          <w:tab w:val="left" w:pos="1890"/>
        </w:tabs>
        <w:spacing w:line="360" w:lineRule="exact"/>
        <w:jc w:val="center"/>
        <w:rPr>
          <w:rFonts w:hint="default" w:ascii="Times New Roman" w:hAnsi="Times New Roman" w:eastAsia="宋体" w:cs="Times New Roman"/>
          <w:b/>
          <w:bCs/>
          <w:color w:val="FF0000"/>
        </w:rPr>
      </w:pPr>
    </w:p>
    <w:p w14:paraId="3B86C0F6">
      <w:pPr>
        <w:tabs>
          <w:tab w:val="left" w:pos="1890"/>
        </w:tabs>
        <w:spacing w:line="360" w:lineRule="exact"/>
        <w:jc w:val="center"/>
        <w:rPr>
          <w:rFonts w:hint="default" w:ascii="Times New Roman" w:hAnsi="Times New Roman" w:eastAsia="宋体" w:cs="Times New Roman"/>
          <w:b/>
          <w:bCs/>
          <w:color w:val="FF0000"/>
        </w:rPr>
      </w:pPr>
    </w:p>
    <w:p w14:paraId="53AD198F">
      <w:pPr>
        <w:tabs>
          <w:tab w:val="left" w:pos="1890"/>
        </w:tabs>
        <w:spacing w:line="360" w:lineRule="exact"/>
        <w:jc w:val="center"/>
        <w:rPr>
          <w:rFonts w:hint="default" w:ascii="Times New Roman" w:hAnsi="Times New Roman" w:eastAsia="宋体" w:cs="Times New Roman"/>
          <w:b/>
          <w:bCs/>
          <w:color w:val="FF0000"/>
        </w:rPr>
      </w:pPr>
    </w:p>
    <w:p w14:paraId="335960D1">
      <w:pPr>
        <w:tabs>
          <w:tab w:val="left" w:pos="1890"/>
        </w:tabs>
        <w:spacing w:line="360" w:lineRule="exact"/>
        <w:jc w:val="center"/>
        <w:rPr>
          <w:rFonts w:hint="default" w:ascii="Times New Roman" w:hAnsi="Times New Roman" w:eastAsia="宋体" w:cs="Times New Roman"/>
          <w:b/>
          <w:bCs/>
          <w:color w:val="FF0000"/>
        </w:rPr>
      </w:pPr>
    </w:p>
    <w:p w14:paraId="742EF851">
      <w:pPr>
        <w:tabs>
          <w:tab w:val="left" w:pos="1890"/>
        </w:tabs>
        <w:spacing w:line="360" w:lineRule="exact"/>
        <w:jc w:val="center"/>
        <w:rPr>
          <w:rFonts w:hint="default" w:ascii="Times New Roman" w:hAnsi="Times New Roman" w:eastAsia="宋体" w:cs="Times New Roman"/>
          <w:b/>
          <w:bCs/>
          <w:color w:val="FF0000"/>
        </w:rPr>
      </w:pPr>
    </w:p>
    <w:p w14:paraId="7AA0FB13">
      <w:pPr>
        <w:tabs>
          <w:tab w:val="left" w:pos="1890"/>
        </w:tabs>
        <w:spacing w:line="360" w:lineRule="exact"/>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表4  建设项目主要生产设施一览表</w:t>
      </w:r>
    </w:p>
    <w:tbl>
      <w:tblPr>
        <w:tblStyle w:val="5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autofit"/>
        <w:tblCellMar>
          <w:top w:w="0" w:type="dxa"/>
          <w:left w:w="108" w:type="dxa"/>
          <w:bottom w:w="0" w:type="dxa"/>
          <w:right w:w="108" w:type="dxa"/>
        </w:tblCellMar>
      </w:tblPr>
      <w:tblGrid>
        <w:gridCol w:w="563"/>
        <w:gridCol w:w="1143"/>
        <w:gridCol w:w="1206"/>
        <w:gridCol w:w="1166"/>
        <w:gridCol w:w="2463"/>
        <w:gridCol w:w="1749"/>
        <w:gridCol w:w="811"/>
        <w:gridCol w:w="688"/>
        <w:gridCol w:w="882"/>
        <w:gridCol w:w="973"/>
        <w:gridCol w:w="1189"/>
        <w:gridCol w:w="1376"/>
      </w:tblGrid>
      <w:tr w14:paraId="7702085D">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PrEx>
        <w:trPr>
          <w:trHeight w:val="83" w:hRule="atLeast"/>
          <w:tblHeader/>
          <w:jc w:val="center"/>
        </w:trPr>
        <w:tc>
          <w:tcPr>
            <w:tcW w:w="198" w:type="pct"/>
            <w:vMerge w:val="restart"/>
            <w:noWrap w:val="0"/>
            <w:vAlign w:val="center"/>
          </w:tcPr>
          <w:p w14:paraId="229AC9A2">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序号</w:t>
            </w:r>
          </w:p>
        </w:tc>
        <w:tc>
          <w:tcPr>
            <w:tcW w:w="402" w:type="pct"/>
            <w:vMerge w:val="restart"/>
            <w:noWrap w:val="0"/>
            <w:vAlign w:val="center"/>
          </w:tcPr>
          <w:p w14:paraId="6B20854A">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生产线</w:t>
            </w:r>
          </w:p>
          <w:p w14:paraId="51C7EDDD">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名称</w:t>
            </w:r>
          </w:p>
        </w:tc>
        <w:tc>
          <w:tcPr>
            <w:tcW w:w="424" w:type="pct"/>
            <w:vMerge w:val="restart"/>
            <w:noWrap w:val="0"/>
            <w:vAlign w:val="center"/>
          </w:tcPr>
          <w:p w14:paraId="48AFA637">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主要生产单元名称（总平图中标识）</w:t>
            </w:r>
          </w:p>
        </w:tc>
        <w:tc>
          <w:tcPr>
            <w:tcW w:w="410" w:type="pct"/>
            <w:vMerge w:val="restart"/>
            <w:noWrap w:val="0"/>
            <w:vAlign w:val="center"/>
          </w:tcPr>
          <w:p w14:paraId="2D601056">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主要工艺名称（工艺流程图中标识）</w:t>
            </w:r>
          </w:p>
        </w:tc>
        <w:tc>
          <w:tcPr>
            <w:tcW w:w="866" w:type="pct"/>
            <w:vMerge w:val="restart"/>
            <w:noWrap w:val="0"/>
            <w:vAlign w:val="center"/>
          </w:tcPr>
          <w:p w14:paraId="433DA52C">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生产设施</w:t>
            </w:r>
          </w:p>
          <w:p w14:paraId="02FDE0F9">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名称</w:t>
            </w:r>
          </w:p>
        </w:tc>
        <w:tc>
          <w:tcPr>
            <w:tcW w:w="615" w:type="pct"/>
            <w:vMerge w:val="restart"/>
            <w:noWrap w:val="0"/>
            <w:vAlign w:val="center"/>
          </w:tcPr>
          <w:p w14:paraId="6BAE5FAC">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生产设施编号</w:t>
            </w:r>
          </w:p>
        </w:tc>
        <w:tc>
          <w:tcPr>
            <w:tcW w:w="1179" w:type="pct"/>
            <w:gridSpan w:val="4"/>
            <w:noWrap w:val="0"/>
            <w:vAlign w:val="center"/>
          </w:tcPr>
          <w:p w14:paraId="7965E45D">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设施参数</w:t>
            </w:r>
          </w:p>
        </w:tc>
        <w:tc>
          <w:tcPr>
            <w:tcW w:w="418" w:type="pct"/>
            <w:vMerge w:val="restart"/>
            <w:noWrap w:val="0"/>
            <w:vAlign w:val="center"/>
          </w:tcPr>
          <w:p w14:paraId="6FF6583C">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其他设施信息</w:t>
            </w:r>
          </w:p>
        </w:tc>
        <w:tc>
          <w:tcPr>
            <w:tcW w:w="484" w:type="pct"/>
            <w:vMerge w:val="restart"/>
            <w:noWrap w:val="0"/>
            <w:vAlign w:val="center"/>
          </w:tcPr>
          <w:p w14:paraId="5C0963B7">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备注</w:t>
            </w:r>
          </w:p>
        </w:tc>
      </w:tr>
      <w:tr w14:paraId="7148404B">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511" w:hRule="atLeast"/>
          <w:tblHeader/>
          <w:jc w:val="center"/>
        </w:trPr>
        <w:tc>
          <w:tcPr>
            <w:tcW w:w="198" w:type="pct"/>
            <w:vMerge w:val="continue"/>
            <w:noWrap w:val="0"/>
            <w:vAlign w:val="center"/>
          </w:tcPr>
          <w:p w14:paraId="248DC743">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b/>
                <w:color w:val="auto"/>
              </w:rPr>
            </w:pPr>
          </w:p>
        </w:tc>
        <w:tc>
          <w:tcPr>
            <w:tcW w:w="402" w:type="pct"/>
            <w:vMerge w:val="continue"/>
            <w:noWrap w:val="0"/>
            <w:vAlign w:val="center"/>
          </w:tcPr>
          <w:p w14:paraId="1319B845">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b/>
                <w:color w:val="auto"/>
              </w:rPr>
            </w:pPr>
          </w:p>
        </w:tc>
        <w:tc>
          <w:tcPr>
            <w:tcW w:w="424" w:type="pct"/>
            <w:vMerge w:val="continue"/>
            <w:noWrap w:val="0"/>
            <w:vAlign w:val="center"/>
          </w:tcPr>
          <w:p w14:paraId="75FE825B">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b/>
                <w:color w:val="auto"/>
              </w:rPr>
            </w:pPr>
          </w:p>
        </w:tc>
        <w:tc>
          <w:tcPr>
            <w:tcW w:w="410" w:type="pct"/>
            <w:vMerge w:val="continue"/>
            <w:noWrap w:val="0"/>
            <w:vAlign w:val="center"/>
          </w:tcPr>
          <w:p w14:paraId="7FE72AC9">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b/>
                <w:color w:val="auto"/>
              </w:rPr>
            </w:pPr>
          </w:p>
        </w:tc>
        <w:tc>
          <w:tcPr>
            <w:tcW w:w="866" w:type="pct"/>
            <w:vMerge w:val="continue"/>
            <w:noWrap w:val="0"/>
            <w:vAlign w:val="center"/>
          </w:tcPr>
          <w:p w14:paraId="65D83BC7">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b/>
                <w:color w:val="auto"/>
              </w:rPr>
            </w:pPr>
          </w:p>
        </w:tc>
        <w:tc>
          <w:tcPr>
            <w:tcW w:w="615" w:type="pct"/>
            <w:vMerge w:val="continue"/>
            <w:noWrap w:val="0"/>
            <w:vAlign w:val="center"/>
          </w:tcPr>
          <w:p w14:paraId="5C38107B">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b/>
                <w:color w:val="auto"/>
              </w:rPr>
            </w:pPr>
          </w:p>
        </w:tc>
        <w:tc>
          <w:tcPr>
            <w:tcW w:w="285" w:type="pct"/>
            <w:noWrap w:val="0"/>
            <w:vAlign w:val="center"/>
          </w:tcPr>
          <w:p w14:paraId="1161D8CA">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参数名称</w:t>
            </w:r>
          </w:p>
        </w:tc>
        <w:tc>
          <w:tcPr>
            <w:tcW w:w="242" w:type="pct"/>
            <w:noWrap w:val="0"/>
            <w:vAlign w:val="center"/>
          </w:tcPr>
          <w:p w14:paraId="36C00E67">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 xml:space="preserve">计量单位 </w:t>
            </w:r>
          </w:p>
        </w:tc>
        <w:tc>
          <w:tcPr>
            <w:tcW w:w="310" w:type="pct"/>
            <w:noWrap w:val="0"/>
            <w:vAlign w:val="center"/>
          </w:tcPr>
          <w:p w14:paraId="08A89862">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设计值</w:t>
            </w:r>
          </w:p>
        </w:tc>
        <w:tc>
          <w:tcPr>
            <w:tcW w:w="342" w:type="pct"/>
            <w:noWrap w:val="0"/>
            <w:vAlign w:val="center"/>
          </w:tcPr>
          <w:p w14:paraId="2D2D1349">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其他设施参数信息</w:t>
            </w:r>
          </w:p>
        </w:tc>
        <w:tc>
          <w:tcPr>
            <w:tcW w:w="418" w:type="pct"/>
            <w:vMerge w:val="continue"/>
            <w:noWrap w:val="0"/>
            <w:vAlign w:val="center"/>
          </w:tcPr>
          <w:p w14:paraId="09329243">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b/>
                <w:color w:val="auto"/>
              </w:rPr>
            </w:pPr>
          </w:p>
        </w:tc>
        <w:tc>
          <w:tcPr>
            <w:tcW w:w="484" w:type="pct"/>
            <w:vMerge w:val="continue"/>
            <w:noWrap w:val="0"/>
            <w:vAlign w:val="center"/>
          </w:tcPr>
          <w:p w14:paraId="7A3CBF0B">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b/>
                <w:color w:val="auto"/>
              </w:rPr>
            </w:pPr>
          </w:p>
        </w:tc>
      </w:tr>
      <w:tr w14:paraId="1E626F3B">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70" w:hRule="atLeast"/>
          <w:jc w:val="center"/>
        </w:trPr>
        <w:tc>
          <w:tcPr>
            <w:tcW w:w="198" w:type="pct"/>
            <w:vMerge w:val="restart"/>
            <w:noWrap w:val="0"/>
            <w:vAlign w:val="center"/>
          </w:tcPr>
          <w:p w14:paraId="63322E8E">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1</w:t>
            </w:r>
          </w:p>
        </w:tc>
        <w:tc>
          <w:tcPr>
            <w:tcW w:w="402" w:type="pct"/>
            <w:vMerge w:val="restart"/>
            <w:noWrap w:val="0"/>
            <w:vAlign w:val="center"/>
          </w:tcPr>
          <w:p w14:paraId="32D57FC6">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SCX001</w:t>
            </w:r>
            <w:r>
              <w:rPr>
                <w:rFonts w:hint="eastAsia" w:ascii="Times New Roman" w:hAnsi="Times New Roman" w:eastAsia="宋体" w:cs="Times New Roman"/>
                <w:color w:val="auto"/>
                <w:lang w:val="en-US" w:eastAsia="zh-CN"/>
              </w:rPr>
              <w:t>-004</w:t>
            </w:r>
          </w:p>
        </w:tc>
        <w:tc>
          <w:tcPr>
            <w:tcW w:w="424" w:type="pct"/>
            <w:vMerge w:val="restart"/>
            <w:noWrap w:val="0"/>
            <w:vAlign w:val="center"/>
          </w:tcPr>
          <w:p w14:paraId="34E01213">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厂房</w:t>
            </w:r>
            <w:r>
              <w:rPr>
                <w:rFonts w:hint="eastAsia" w:ascii="Times New Roman" w:hAnsi="Times New Roman" w:eastAsia="宋体" w:cs="Times New Roman"/>
                <w:color w:val="auto"/>
                <w:lang w:val="en-US" w:eastAsia="zh-CN"/>
              </w:rPr>
              <w:t>内</w:t>
            </w:r>
          </w:p>
        </w:tc>
        <w:tc>
          <w:tcPr>
            <w:tcW w:w="410" w:type="pct"/>
            <w:noWrap w:val="0"/>
            <w:vAlign w:val="center"/>
          </w:tcPr>
          <w:p w14:paraId="5047B3E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sz w:val="21"/>
                <w:szCs w:val="21"/>
                <w:lang w:val="en-US" w:eastAsia="zh-CN"/>
              </w:rPr>
              <w:t>渗碳、淬火</w:t>
            </w:r>
          </w:p>
        </w:tc>
        <w:tc>
          <w:tcPr>
            <w:tcW w:w="866" w:type="pct"/>
            <w:noWrap w:val="0"/>
            <w:vAlign w:val="center"/>
          </w:tcPr>
          <w:p w14:paraId="3007912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rPr>
            </w:pPr>
            <w:r>
              <w:rPr>
                <w:rFonts w:hint="eastAsia"/>
                <w:color w:val="auto"/>
                <w:sz w:val="21"/>
                <w:szCs w:val="21"/>
                <w:lang w:val="en-US" w:eastAsia="zh-CN"/>
              </w:rPr>
              <w:t>密封箱式可控气氛多用炉（电加热）</w:t>
            </w:r>
          </w:p>
        </w:tc>
        <w:tc>
          <w:tcPr>
            <w:tcW w:w="615" w:type="pct"/>
            <w:noWrap w:val="0"/>
            <w:vAlign w:val="center"/>
          </w:tcPr>
          <w:p w14:paraId="0E181B87">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MF001</w:t>
            </w:r>
          </w:p>
        </w:tc>
        <w:tc>
          <w:tcPr>
            <w:tcW w:w="285" w:type="pct"/>
            <w:noWrap w:val="0"/>
            <w:vAlign w:val="center"/>
          </w:tcPr>
          <w:p w14:paraId="1DEC2F6F">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242" w:type="pct"/>
            <w:noWrap w:val="0"/>
            <w:vAlign w:val="center"/>
          </w:tcPr>
          <w:p w14:paraId="74FC5EFF">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310" w:type="pct"/>
            <w:noWrap w:val="0"/>
            <w:vAlign w:val="center"/>
          </w:tcPr>
          <w:p w14:paraId="7AA8ABD3">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342" w:type="pct"/>
            <w:noWrap w:val="0"/>
            <w:vAlign w:val="center"/>
          </w:tcPr>
          <w:p w14:paraId="75466015">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418" w:type="pct"/>
            <w:noWrap w:val="0"/>
            <w:vAlign w:val="center"/>
          </w:tcPr>
          <w:p w14:paraId="5D826FFA">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484" w:type="pct"/>
            <w:vMerge w:val="restart"/>
            <w:noWrap w:val="0"/>
            <w:vAlign w:val="center"/>
          </w:tcPr>
          <w:p w14:paraId="627A184E">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r>
      <w:tr w14:paraId="3EB8DE0E">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163" w:hRule="atLeast"/>
          <w:jc w:val="center"/>
        </w:trPr>
        <w:tc>
          <w:tcPr>
            <w:tcW w:w="198" w:type="pct"/>
            <w:vMerge w:val="continue"/>
            <w:noWrap w:val="0"/>
            <w:vAlign w:val="center"/>
          </w:tcPr>
          <w:p w14:paraId="13D47EAF">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p>
        </w:tc>
        <w:tc>
          <w:tcPr>
            <w:tcW w:w="402" w:type="pct"/>
            <w:vMerge w:val="continue"/>
            <w:noWrap w:val="0"/>
            <w:vAlign w:val="center"/>
          </w:tcPr>
          <w:p w14:paraId="2D88C6B7">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p>
        </w:tc>
        <w:tc>
          <w:tcPr>
            <w:tcW w:w="424" w:type="pct"/>
            <w:vMerge w:val="continue"/>
            <w:noWrap w:val="0"/>
            <w:vAlign w:val="center"/>
          </w:tcPr>
          <w:p w14:paraId="24E74DDA">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p>
        </w:tc>
        <w:tc>
          <w:tcPr>
            <w:tcW w:w="410" w:type="pct"/>
            <w:noWrap w:val="0"/>
            <w:vAlign w:val="center"/>
          </w:tcPr>
          <w:p w14:paraId="2A0A135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sz w:val="21"/>
                <w:szCs w:val="21"/>
                <w:lang w:val="en-US" w:eastAsia="zh-CN"/>
              </w:rPr>
              <w:t>淬火</w:t>
            </w:r>
          </w:p>
        </w:tc>
        <w:tc>
          <w:tcPr>
            <w:tcW w:w="866" w:type="pct"/>
            <w:noWrap w:val="0"/>
            <w:vAlign w:val="center"/>
          </w:tcPr>
          <w:p w14:paraId="777ECFA5">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1"/>
                <w:lang w:val="en-US" w:eastAsia="zh-CN" w:bidi="ar-SA"/>
              </w:rPr>
            </w:pPr>
            <w:r>
              <w:rPr>
                <w:rFonts w:hint="eastAsia"/>
                <w:color w:val="auto"/>
                <w:sz w:val="21"/>
                <w:szCs w:val="21"/>
                <w:lang w:val="en-US" w:eastAsia="zh-CN"/>
              </w:rPr>
              <w:t>燃气淬火炉</w:t>
            </w:r>
          </w:p>
        </w:tc>
        <w:tc>
          <w:tcPr>
            <w:tcW w:w="615" w:type="pct"/>
            <w:noWrap w:val="0"/>
            <w:vAlign w:val="center"/>
          </w:tcPr>
          <w:p w14:paraId="48B3D8D5">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MF00</w:t>
            </w:r>
            <w:r>
              <w:rPr>
                <w:rFonts w:hint="eastAsia" w:ascii="Times New Roman" w:hAnsi="Times New Roman" w:eastAsia="宋体" w:cs="Times New Roman"/>
                <w:color w:val="auto"/>
                <w:lang w:val="en-US" w:eastAsia="zh-CN"/>
              </w:rPr>
              <w:t>2</w:t>
            </w:r>
          </w:p>
        </w:tc>
        <w:tc>
          <w:tcPr>
            <w:tcW w:w="285" w:type="pct"/>
            <w:noWrap w:val="0"/>
            <w:vAlign w:val="center"/>
          </w:tcPr>
          <w:p w14:paraId="2CD7D55C">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242" w:type="pct"/>
            <w:noWrap w:val="0"/>
            <w:vAlign w:val="center"/>
          </w:tcPr>
          <w:p w14:paraId="0335038B">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310" w:type="pct"/>
            <w:noWrap w:val="0"/>
            <w:vAlign w:val="center"/>
          </w:tcPr>
          <w:p w14:paraId="5AF06033">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342" w:type="pct"/>
            <w:noWrap w:val="0"/>
            <w:vAlign w:val="center"/>
          </w:tcPr>
          <w:p w14:paraId="75C7AF9D">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418" w:type="pct"/>
            <w:noWrap w:val="0"/>
            <w:vAlign w:val="center"/>
          </w:tcPr>
          <w:p w14:paraId="54D7CBEB">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484" w:type="pct"/>
            <w:vMerge w:val="continue"/>
            <w:noWrap w:val="0"/>
            <w:vAlign w:val="center"/>
          </w:tcPr>
          <w:p w14:paraId="573077D9">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p>
        </w:tc>
      </w:tr>
      <w:tr w14:paraId="1DE1EC67">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163" w:hRule="atLeast"/>
          <w:jc w:val="center"/>
        </w:trPr>
        <w:tc>
          <w:tcPr>
            <w:tcW w:w="198" w:type="pct"/>
            <w:vMerge w:val="continue"/>
            <w:noWrap w:val="0"/>
            <w:vAlign w:val="center"/>
          </w:tcPr>
          <w:p w14:paraId="73705D68">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p>
        </w:tc>
        <w:tc>
          <w:tcPr>
            <w:tcW w:w="402" w:type="pct"/>
            <w:vMerge w:val="continue"/>
            <w:noWrap w:val="0"/>
            <w:vAlign w:val="center"/>
          </w:tcPr>
          <w:p w14:paraId="4C0DC750">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p>
        </w:tc>
        <w:tc>
          <w:tcPr>
            <w:tcW w:w="424" w:type="pct"/>
            <w:vMerge w:val="continue"/>
            <w:noWrap w:val="0"/>
            <w:vAlign w:val="center"/>
          </w:tcPr>
          <w:p w14:paraId="4A5C18EF">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p>
        </w:tc>
        <w:tc>
          <w:tcPr>
            <w:tcW w:w="410" w:type="pct"/>
            <w:vMerge w:val="restart"/>
            <w:noWrap w:val="0"/>
            <w:vAlign w:val="center"/>
          </w:tcPr>
          <w:p w14:paraId="608B353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rPr>
            </w:pPr>
            <w:r>
              <w:rPr>
                <w:rFonts w:hint="eastAsia" w:ascii="Times New Roman" w:hAnsi="Times New Roman" w:eastAsia="Times New Roman" w:cs="Times New Roman"/>
                <w:color w:val="auto"/>
                <w:sz w:val="21"/>
                <w:szCs w:val="21"/>
                <w:lang w:val="en-US" w:eastAsia="zh-CN"/>
              </w:rPr>
              <w:t>回火</w:t>
            </w:r>
          </w:p>
        </w:tc>
        <w:tc>
          <w:tcPr>
            <w:tcW w:w="866" w:type="pct"/>
            <w:noWrap w:val="0"/>
            <w:vAlign w:val="center"/>
          </w:tcPr>
          <w:p w14:paraId="2C13FDD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1"/>
                <w:lang w:val="en-US" w:eastAsia="zh-CN" w:bidi="ar-SA"/>
              </w:rPr>
            </w:pPr>
            <w:r>
              <w:rPr>
                <w:rFonts w:hint="eastAsia"/>
                <w:color w:val="auto"/>
                <w:sz w:val="21"/>
                <w:szCs w:val="21"/>
                <w:lang w:val="en-US" w:eastAsia="zh-CN"/>
              </w:rPr>
              <w:t>电加热回火炉</w:t>
            </w:r>
          </w:p>
        </w:tc>
        <w:tc>
          <w:tcPr>
            <w:tcW w:w="615" w:type="pct"/>
            <w:noWrap w:val="0"/>
            <w:vAlign w:val="center"/>
          </w:tcPr>
          <w:p w14:paraId="69250E00">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MF0</w:t>
            </w:r>
            <w:r>
              <w:rPr>
                <w:rFonts w:hint="eastAsia" w:ascii="Times New Roman" w:hAnsi="Times New Roman" w:eastAsia="宋体" w:cs="Times New Roman"/>
                <w:color w:val="auto"/>
                <w:lang w:val="en-US" w:eastAsia="zh-CN"/>
              </w:rPr>
              <w:t>03</w:t>
            </w:r>
          </w:p>
        </w:tc>
        <w:tc>
          <w:tcPr>
            <w:tcW w:w="285" w:type="pct"/>
            <w:noWrap w:val="0"/>
            <w:vAlign w:val="center"/>
          </w:tcPr>
          <w:p w14:paraId="79C56713">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242" w:type="pct"/>
            <w:noWrap w:val="0"/>
            <w:vAlign w:val="center"/>
          </w:tcPr>
          <w:p w14:paraId="5A8CE002">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310" w:type="pct"/>
            <w:noWrap w:val="0"/>
            <w:vAlign w:val="center"/>
          </w:tcPr>
          <w:p w14:paraId="1373AD57">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342" w:type="pct"/>
            <w:noWrap w:val="0"/>
            <w:vAlign w:val="center"/>
          </w:tcPr>
          <w:p w14:paraId="18CBC928">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418" w:type="pct"/>
            <w:noWrap w:val="0"/>
            <w:vAlign w:val="center"/>
          </w:tcPr>
          <w:p w14:paraId="079985D2">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484" w:type="pct"/>
            <w:vMerge w:val="continue"/>
            <w:noWrap w:val="0"/>
            <w:vAlign w:val="center"/>
          </w:tcPr>
          <w:p w14:paraId="035F98BB">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p>
        </w:tc>
      </w:tr>
      <w:tr w14:paraId="0B8EDE02">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163" w:hRule="atLeast"/>
          <w:jc w:val="center"/>
        </w:trPr>
        <w:tc>
          <w:tcPr>
            <w:tcW w:w="198" w:type="pct"/>
            <w:vMerge w:val="continue"/>
            <w:noWrap w:val="0"/>
            <w:vAlign w:val="center"/>
          </w:tcPr>
          <w:p w14:paraId="0F1154AE">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p>
        </w:tc>
        <w:tc>
          <w:tcPr>
            <w:tcW w:w="402" w:type="pct"/>
            <w:vMerge w:val="continue"/>
            <w:noWrap w:val="0"/>
            <w:vAlign w:val="center"/>
          </w:tcPr>
          <w:p w14:paraId="76E5EB5B">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p>
        </w:tc>
        <w:tc>
          <w:tcPr>
            <w:tcW w:w="424" w:type="pct"/>
            <w:vMerge w:val="continue"/>
            <w:noWrap w:val="0"/>
            <w:vAlign w:val="center"/>
          </w:tcPr>
          <w:p w14:paraId="583DE9CE">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p>
        </w:tc>
        <w:tc>
          <w:tcPr>
            <w:tcW w:w="410" w:type="pct"/>
            <w:vMerge w:val="continue"/>
            <w:noWrap w:val="0"/>
            <w:vAlign w:val="center"/>
          </w:tcPr>
          <w:p w14:paraId="522EB6C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rPr>
            </w:pPr>
          </w:p>
        </w:tc>
        <w:tc>
          <w:tcPr>
            <w:tcW w:w="866" w:type="pct"/>
            <w:noWrap w:val="0"/>
            <w:vAlign w:val="center"/>
          </w:tcPr>
          <w:p w14:paraId="057359C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1"/>
                <w:lang w:val="en-US" w:eastAsia="zh-CN" w:bidi="ar-SA"/>
              </w:rPr>
            </w:pPr>
            <w:r>
              <w:rPr>
                <w:rFonts w:hint="eastAsia"/>
                <w:color w:val="auto"/>
                <w:sz w:val="21"/>
                <w:szCs w:val="21"/>
                <w:lang w:val="en-US" w:eastAsia="zh-CN"/>
              </w:rPr>
              <w:t>燃气回火炉</w:t>
            </w:r>
          </w:p>
        </w:tc>
        <w:tc>
          <w:tcPr>
            <w:tcW w:w="615" w:type="pct"/>
            <w:noWrap w:val="0"/>
            <w:vAlign w:val="center"/>
          </w:tcPr>
          <w:p w14:paraId="70393081">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MF0</w:t>
            </w:r>
            <w:r>
              <w:rPr>
                <w:rFonts w:hint="eastAsia" w:ascii="Times New Roman" w:hAnsi="Times New Roman" w:eastAsia="宋体" w:cs="Times New Roman"/>
                <w:color w:val="auto"/>
                <w:lang w:val="en-US" w:eastAsia="zh-CN"/>
              </w:rPr>
              <w:t>04</w:t>
            </w:r>
          </w:p>
        </w:tc>
        <w:tc>
          <w:tcPr>
            <w:tcW w:w="285" w:type="pct"/>
            <w:noWrap w:val="0"/>
            <w:vAlign w:val="center"/>
          </w:tcPr>
          <w:p w14:paraId="580DA28E">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242" w:type="pct"/>
            <w:noWrap w:val="0"/>
            <w:vAlign w:val="center"/>
          </w:tcPr>
          <w:p w14:paraId="349AA36B">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310" w:type="pct"/>
            <w:noWrap w:val="0"/>
            <w:vAlign w:val="center"/>
          </w:tcPr>
          <w:p w14:paraId="504B9297">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342" w:type="pct"/>
            <w:noWrap w:val="0"/>
            <w:vAlign w:val="center"/>
          </w:tcPr>
          <w:p w14:paraId="757F7227">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418" w:type="pct"/>
            <w:noWrap w:val="0"/>
            <w:vAlign w:val="center"/>
          </w:tcPr>
          <w:p w14:paraId="1AC4A53F">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484" w:type="pct"/>
            <w:vMerge w:val="continue"/>
            <w:noWrap w:val="0"/>
            <w:vAlign w:val="center"/>
          </w:tcPr>
          <w:p w14:paraId="4B4AACBC">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p>
        </w:tc>
      </w:tr>
      <w:tr w14:paraId="140728AA">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118" w:hRule="atLeast"/>
          <w:jc w:val="center"/>
        </w:trPr>
        <w:tc>
          <w:tcPr>
            <w:tcW w:w="198" w:type="pct"/>
            <w:vMerge w:val="continue"/>
            <w:noWrap w:val="0"/>
            <w:vAlign w:val="center"/>
          </w:tcPr>
          <w:p w14:paraId="6A56C5C3">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p>
        </w:tc>
        <w:tc>
          <w:tcPr>
            <w:tcW w:w="402" w:type="pct"/>
            <w:vMerge w:val="continue"/>
            <w:noWrap w:val="0"/>
            <w:vAlign w:val="center"/>
          </w:tcPr>
          <w:p w14:paraId="659040FD">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p>
        </w:tc>
        <w:tc>
          <w:tcPr>
            <w:tcW w:w="424" w:type="pct"/>
            <w:vMerge w:val="continue"/>
            <w:noWrap w:val="0"/>
            <w:vAlign w:val="center"/>
          </w:tcPr>
          <w:p w14:paraId="69A046AD">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p>
        </w:tc>
        <w:tc>
          <w:tcPr>
            <w:tcW w:w="410" w:type="pct"/>
            <w:noWrap w:val="0"/>
            <w:vAlign w:val="center"/>
          </w:tcPr>
          <w:p w14:paraId="1DD964F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val="en-US"/>
              </w:rPr>
            </w:pPr>
            <w:r>
              <w:rPr>
                <w:rFonts w:hint="eastAsia" w:ascii="Times New Roman" w:hAnsi="Times New Roman" w:cs="Times New Roman"/>
                <w:color w:val="auto"/>
                <w:sz w:val="21"/>
                <w:szCs w:val="21"/>
                <w:lang w:val="en-US" w:eastAsia="zh-CN"/>
              </w:rPr>
              <w:t>正火</w:t>
            </w:r>
          </w:p>
        </w:tc>
        <w:tc>
          <w:tcPr>
            <w:tcW w:w="866" w:type="pct"/>
            <w:noWrap w:val="0"/>
            <w:vAlign w:val="center"/>
          </w:tcPr>
          <w:p w14:paraId="28018353">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1"/>
                <w:lang w:val="en-US" w:eastAsia="zh-CN" w:bidi="ar-SA"/>
              </w:rPr>
            </w:pPr>
            <w:r>
              <w:rPr>
                <w:rFonts w:hint="eastAsia"/>
                <w:color w:val="auto"/>
                <w:sz w:val="21"/>
                <w:szCs w:val="21"/>
                <w:lang w:val="en-US" w:eastAsia="zh-CN"/>
              </w:rPr>
              <w:t>燃气正火炉</w:t>
            </w:r>
          </w:p>
        </w:tc>
        <w:tc>
          <w:tcPr>
            <w:tcW w:w="615" w:type="pct"/>
            <w:noWrap w:val="0"/>
            <w:vAlign w:val="center"/>
          </w:tcPr>
          <w:p w14:paraId="619D5DD8">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lang w:val="en-US"/>
              </w:rPr>
            </w:pPr>
            <w:r>
              <w:rPr>
                <w:rFonts w:hint="default" w:ascii="Times New Roman" w:hAnsi="Times New Roman" w:eastAsia="宋体" w:cs="Times New Roman"/>
                <w:color w:val="auto"/>
              </w:rPr>
              <w:t>MF0</w:t>
            </w:r>
            <w:r>
              <w:rPr>
                <w:rFonts w:hint="eastAsia" w:ascii="Times New Roman" w:hAnsi="Times New Roman" w:eastAsia="宋体" w:cs="Times New Roman"/>
                <w:color w:val="auto"/>
                <w:lang w:val="en-US" w:eastAsia="zh-CN"/>
              </w:rPr>
              <w:t>05</w:t>
            </w:r>
          </w:p>
        </w:tc>
        <w:tc>
          <w:tcPr>
            <w:tcW w:w="285" w:type="pct"/>
            <w:noWrap w:val="0"/>
            <w:vAlign w:val="center"/>
          </w:tcPr>
          <w:p w14:paraId="29B92F9E">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242" w:type="pct"/>
            <w:noWrap w:val="0"/>
            <w:vAlign w:val="center"/>
          </w:tcPr>
          <w:p w14:paraId="3D7A951D">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310" w:type="pct"/>
            <w:noWrap w:val="0"/>
            <w:vAlign w:val="center"/>
          </w:tcPr>
          <w:p w14:paraId="7267BF85">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342" w:type="pct"/>
            <w:noWrap w:val="0"/>
            <w:vAlign w:val="center"/>
          </w:tcPr>
          <w:p w14:paraId="63E31209">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418" w:type="pct"/>
            <w:noWrap w:val="0"/>
            <w:vAlign w:val="center"/>
          </w:tcPr>
          <w:p w14:paraId="259B3D18">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484" w:type="pct"/>
            <w:vMerge w:val="continue"/>
            <w:noWrap w:val="0"/>
            <w:vAlign w:val="center"/>
          </w:tcPr>
          <w:p w14:paraId="511D7B1B">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p>
        </w:tc>
      </w:tr>
      <w:tr w14:paraId="00EC6D05">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90" w:hRule="atLeast"/>
          <w:jc w:val="center"/>
        </w:trPr>
        <w:tc>
          <w:tcPr>
            <w:tcW w:w="198" w:type="pct"/>
            <w:vMerge w:val="continue"/>
            <w:noWrap w:val="0"/>
            <w:vAlign w:val="center"/>
          </w:tcPr>
          <w:p w14:paraId="40AA4117">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p>
        </w:tc>
        <w:tc>
          <w:tcPr>
            <w:tcW w:w="402" w:type="pct"/>
            <w:vMerge w:val="continue"/>
            <w:noWrap w:val="0"/>
            <w:vAlign w:val="center"/>
          </w:tcPr>
          <w:p w14:paraId="3F0DC2F5">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p>
        </w:tc>
        <w:tc>
          <w:tcPr>
            <w:tcW w:w="424" w:type="pct"/>
            <w:vMerge w:val="continue"/>
            <w:noWrap w:val="0"/>
            <w:vAlign w:val="center"/>
          </w:tcPr>
          <w:p w14:paraId="3A809525">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p>
        </w:tc>
        <w:tc>
          <w:tcPr>
            <w:tcW w:w="410" w:type="pct"/>
            <w:noWrap w:val="0"/>
            <w:vAlign w:val="center"/>
          </w:tcPr>
          <w:p w14:paraId="38196F7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val="en-US"/>
              </w:rPr>
            </w:pPr>
            <w:r>
              <w:rPr>
                <w:rFonts w:hint="eastAsia" w:ascii="Times New Roman" w:hAnsi="Times New Roman" w:eastAsia="Times New Roman" w:cs="Times New Roman"/>
                <w:color w:val="auto"/>
                <w:sz w:val="21"/>
                <w:szCs w:val="21"/>
                <w:lang w:val="en-US" w:eastAsia="zh-CN"/>
              </w:rPr>
              <w:t>退火</w:t>
            </w:r>
          </w:p>
        </w:tc>
        <w:tc>
          <w:tcPr>
            <w:tcW w:w="866" w:type="pct"/>
            <w:noWrap w:val="0"/>
            <w:vAlign w:val="center"/>
          </w:tcPr>
          <w:p w14:paraId="22712D0B">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olor w:val="auto"/>
                <w:sz w:val="21"/>
                <w:szCs w:val="21"/>
                <w:lang w:val="en-US" w:eastAsia="zh-CN"/>
              </w:rPr>
              <w:t>燃气退火炉</w:t>
            </w:r>
          </w:p>
        </w:tc>
        <w:tc>
          <w:tcPr>
            <w:tcW w:w="615" w:type="pct"/>
            <w:noWrap w:val="0"/>
            <w:vAlign w:val="center"/>
          </w:tcPr>
          <w:p w14:paraId="2EA3482F">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lang w:val="en-US"/>
              </w:rPr>
            </w:pPr>
            <w:r>
              <w:rPr>
                <w:rFonts w:hint="default" w:ascii="Times New Roman" w:hAnsi="Times New Roman" w:eastAsia="宋体" w:cs="Times New Roman"/>
                <w:color w:val="auto"/>
              </w:rPr>
              <w:t>MF0</w:t>
            </w:r>
            <w:r>
              <w:rPr>
                <w:rFonts w:hint="eastAsia" w:ascii="Times New Roman" w:hAnsi="Times New Roman" w:eastAsia="宋体" w:cs="Times New Roman"/>
                <w:color w:val="auto"/>
                <w:lang w:val="en-US" w:eastAsia="zh-CN"/>
              </w:rPr>
              <w:t>06</w:t>
            </w:r>
          </w:p>
        </w:tc>
        <w:tc>
          <w:tcPr>
            <w:tcW w:w="285" w:type="pct"/>
            <w:noWrap w:val="0"/>
            <w:vAlign w:val="center"/>
          </w:tcPr>
          <w:p w14:paraId="534ADC0D">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242" w:type="pct"/>
            <w:noWrap w:val="0"/>
            <w:vAlign w:val="center"/>
          </w:tcPr>
          <w:p w14:paraId="7777BC7A">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310" w:type="pct"/>
            <w:noWrap w:val="0"/>
            <w:vAlign w:val="center"/>
          </w:tcPr>
          <w:p w14:paraId="028A88FE">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342" w:type="pct"/>
            <w:noWrap w:val="0"/>
            <w:vAlign w:val="center"/>
          </w:tcPr>
          <w:p w14:paraId="70CCB78D">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418" w:type="pct"/>
            <w:noWrap w:val="0"/>
            <w:vAlign w:val="center"/>
          </w:tcPr>
          <w:p w14:paraId="537361BF">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484" w:type="pct"/>
            <w:vMerge w:val="continue"/>
            <w:noWrap w:val="0"/>
            <w:vAlign w:val="center"/>
          </w:tcPr>
          <w:p w14:paraId="1C363C00">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p>
        </w:tc>
      </w:tr>
      <w:tr w14:paraId="1BE8556F">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163" w:hRule="atLeast"/>
          <w:jc w:val="center"/>
        </w:trPr>
        <w:tc>
          <w:tcPr>
            <w:tcW w:w="198" w:type="pct"/>
            <w:vMerge w:val="restart"/>
            <w:noWrap w:val="0"/>
            <w:vAlign w:val="center"/>
          </w:tcPr>
          <w:p w14:paraId="63BCFDBB">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p>
        </w:tc>
        <w:tc>
          <w:tcPr>
            <w:tcW w:w="402" w:type="pct"/>
            <w:vMerge w:val="restart"/>
            <w:noWrap w:val="0"/>
            <w:vAlign w:val="center"/>
          </w:tcPr>
          <w:p w14:paraId="737D62C2">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公用工程</w:t>
            </w:r>
          </w:p>
        </w:tc>
        <w:tc>
          <w:tcPr>
            <w:tcW w:w="424" w:type="pct"/>
            <w:vMerge w:val="restart"/>
            <w:noWrap w:val="0"/>
            <w:vAlign w:val="center"/>
          </w:tcPr>
          <w:p w14:paraId="2F2B2249">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410" w:type="pct"/>
            <w:noWrap w:val="0"/>
            <w:vAlign w:val="center"/>
          </w:tcPr>
          <w:p w14:paraId="3EB06C3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val="en-US" w:eastAsia="zh-CN"/>
              </w:rPr>
            </w:pPr>
            <w:r>
              <w:rPr>
                <w:rFonts w:hint="eastAsia" w:ascii="Times New Roman" w:hAnsi="Times New Roman" w:eastAsia="Times New Roman" w:cs="Times New Roman"/>
                <w:color w:val="auto"/>
                <w:sz w:val="21"/>
                <w:szCs w:val="21"/>
                <w:lang w:val="en-US" w:eastAsia="zh-CN"/>
              </w:rPr>
              <w:t>检验</w:t>
            </w:r>
          </w:p>
        </w:tc>
        <w:tc>
          <w:tcPr>
            <w:tcW w:w="866" w:type="pct"/>
            <w:noWrap w:val="0"/>
            <w:vAlign w:val="center"/>
          </w:tcPr>
          <w:p w14:paraId="3D36843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rPr>
            </w:pPr>
            <w:r>
              <w:rPr>
                <w:rFonts w:hint="eastAsia"/>
                <w:color w:val="auto"/>
                <w:sz w:val="21"/>
                <w:szCs w:val="21"/>
              </w:rPr>
              <w:t>洛氏硬度计</w:t>
            </w:r>
          </w:p>
        </w:tc>
        <w:tc>
          <w:tcPr>
            <w:tcW w:w="615" w:type="pct"/>
            <w:noWrap w:val="0"/>
            <w:vAlign w:val="center"/>
          </w:tcPr>
          <w:p w14:paraId="4E27D081">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lang w:val="en-US"/>
              </w:rPr>
            </w:pPr>
            <w:r>
              <w:rPr>
                <w:rFonts w:hint="default" w:ascii="Times New Roman" w:hAnsi="Times New Roman" w:eastAsia="宋体" w:cs="Times New Roman"/>
                <w:color w:val="auto"/>
              </w:rPr>
              <w:t>MF0</w:t>
            </w:r>
            <w:r>
              <w:rPr>
                <w:rFonts w:hint="eastAsia" w:ascii="Times New Roman" w:hAnsi="Times New Roman" w:eastAsia="宋体" w:cs="Times New Roman"/>
                <w:color w:val="auto"/>
                <w:lang w:val="en-US" w:eastAsia="zh-CN"/>
              </w:rPr>
              <w:t>07</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MF</w:t>
            </w:r>
            <w:r>
              <w:rPr>
                <w:rFonts w:hint="eastAsia" w:ascii="Times New Roman" w:hAnsi="Times New Roman" w:eastAsia="宋体" w:cs="Times New Roman"/>
                <w:color w:val="auto"/>
                <w:lang w:val="en-US" w:eastAsia="zh-CN"/>
              </w:rPr>
              <w:t>010</w:t>
            </w:r>
          </w:p>
        </w:tc>
        <w:tc>
          <w:tcPr>
            <w:tcW w:w="285" w:type="pct"/>
            <w:noWrap w:val="0"/>
            <w:vAlign w:val="center"/>
          </w:tcPr>
          <w:p w14:paraId="1F085729">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242" w:type="pct"/>
            <w:noWrap w:val="0"/>
            <w:vAlign w:val="center"/>
          </w:tcPr>
          <w:p w14:paraId="121BC966">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310" w:type="pct"/>
            <w:noWrap w:val="0"/>
            <w:vAlign w:val="center"/>
          </w:tcPr>
          <w:p w14:paraId="3308A57D">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342" w:type="pct"/>
            <w:noWrap w:val="0"/>
            <w:vAlign w:val="center"/>
          </w:tcPr>
          <w:p w14:paraId="4D613423">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418" w:type="pct"/>
            <w:noWrap w:val="0"/>
            <w:vAlign w:val="center"/>
          </w:tcPr>
          <w:p w14:paraId="0FD712CE">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484" w:type="pct"/>
            <w:vMerge w:val="restart"/>
            <w:noWrap w:val="0"/>
            <w:vAlign w:val="center"/>
          </w:tcPr>
          <w:p w14:paraId="4B4028A7">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公用辅助</w:t>
            </w:r>
          </w:p>
        </w:tc>
      </w:tr>
      <w:tr w14:paraId="2AB10691">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163" w:hRule="atLeast"/>
          <w:jc w:val="center"/>
        </w:trPr>
        <w:tc>
          <w:tcPr>
            <w:tcW w:w="198" w:type="pct"/>
            <w:vMerge w:val="continue"/>
            <w:noWrap w:val="0"/>
            <w:vAlign w:val="center"/>
          </w:tcPr>
          <w:p w14:paraId="25C02524">
            <w:pPr>
              <w:keepNext w:val="0"/>
              <w:keepLines w:val="0"/>
              <w:suppressLineNumbers w:val="0"/>
              <w:tabs>
                <w:tab w:val="left" w:pos="1890"/>
              </w:tabs>
              <w:spacing w:before="0" w:beforeAutospacing="0" w:after="0" w:afterAutospacing="0" w:line="280" w:lineRule="exact"/>
              <w:ind w:left="0" w:right="0"/>
              <w:jc w:val="center"/>
              <w:rPr>
                <w:rFonts w:hint="eastAsia" w:ascii="Times New Roman" w:hAnsi="Times New Roman" w:eastAsia="宋体" w:cs="Times New Roman"/>
                <w:color w:val="auto"/>
                <w:lang w:val="en-US" w:eastAsia="zh-CN"/>
              </w:rPr>
            </w:pPr>
          </w:p>
        </w:tc>
        <w:tc>
          <w:tcPr>
            <w:tcW w:w="402" w:type="pct"/>
            <w:vMerge w:val="continue"/>
            <w:noWrap w:val="0"/>
            <w:vAlign w:val="center"/>
          </w:tcPr>
          <w:p w14:paraId="30C7F3A0">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lang w:val="en-US" w:eastAsia="zh-CN"/>
              </w:rPr>
            </w:pPr>
          </w:p>
        </w:tc>
        <w:tc>
          <w:tcPr>
            <w:tcW w:w="424" w:type="pct"/>
            <w:vMerge w:val="continue"/>
            <w:noWrap w:val="0"/>
            <w:vAlign w:val="center"/>
          </w:tcPr>
          <w:p w14:paraId="6122A74B">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lang w:val="en-US" w:eastAsia="zh-CN"/>
              </w:rPr>
            </w:pPr>
          </w:p>
        </w:tc>
        <w:tc>
          <w:tcPr>
            <w:tcW w:w="410" w:type="pct"/>
            <w:noWrap w:val="0"/>
            <w:vAlign w:val="center"/>
          </w:tcPr>
          <w:p w14:paraId="04A2C51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val="en-US" w:eastAsia="zh-CN"/>
              </w:rPr>
            </w:pPr>
            <w:r>
              <w:rPr>
                <w:rFonts w:hint="eastAsia" w:ascii="Times New Roman" w:hAnsi="Times New Roman" w:eastAsia="Times New Roman" w:cs="Times New Roman"/>
                <w:color w:val="auto"/>
                <w:sz w:val="21"/>
                <w:szCs w:val="21"/>
                <w:lang w:val="en-US" w:eastAsia="zh-CN"/>
              </w:rPr>
              <w:t>水冷</w:t>
            </w:r>
          </w:p>
        </w:tc>
        <w:tc>
          <w:tcPr>
            <w:tcW w:w="866" w:type="pct"/>
            <w:noWrap w:val="0"/>
            <w:vAlign w:val="center"/>
          </w:tcPr>
          <w:p w14:paraId="56F401DC">
            <w:pPr>
              <w:keepNext w:val="0"/>
              <w:keepLines w:val="0"/>
              <w:suppressLineNumbers w:val="0"/>
              <w:adjustRightInd w:val="0"/>
              <w:snapToGrid w:val="0"/>
              <w:spacing w:before="0" w:beforeAutospacing="0" w:after="0" w:afterAutospacing="0"/>
              <w:ind w:left="0" w:leftChars="0" w:right="0" w:rightChars="0"/>
              <w:jc w:val="center"/>
              <w:rPr>
                <w:rFonts w:hint="eastAsia"/>
                <w:color w:val="auto"/>
                <w:sz w:val="21"/>
                <w:szCs w:val="21"/>
              </w:rPr>
            </w:pPr>
            <w:r>
              <w:rPr>
                <w:rFonts w:hint="eastAsia"/>
                <w:color w:val="auto"/>
                <w:sz w:val="21"/>
                <w:szCs w:val="21"/>
                <w:lang w:val="en-US" w:eastAsia="zh-CN"/>
              </w:rPr>
              <w:t>冷却水池</w:t>
            </w:r>
          </w:p>
        </w:tc>
        <w:tc>
          <w:tcPr>
            <w:tcW w:w="615" w:type="pct"/>
            <w:noWrap w:val="0"/>
            <w:vAlign w:val="center"/>
          </w:tcPr>
          <w:p w14:paraId="71B2A1B2">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MF0</w:t>
            </w:r>
            <w:r>
              <w:rPr>
                <w:rFonts w:hint="eastAsia" w:ascii="Times New Roman" w:hAnsi="Times New Roman" w:eastAsia="宋体" w:cs="Times New Roman"/>
                <w:color w:val="auto"/>
                <w:lang w:val="en-US" w:eastAsia="zh-CN"/>
              </w:rPr>
              <w:t>11</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MF</w:t>
            </w:r>
            <w:r>
              <w:rPr>
                <w:rFonts w:hint="eastAsia" w:ascii="Times New Roman" w:hAnsi="Times New Roman" w:eastAsia="宋体" w:cs="Times New Roman"/>
                <w:color w:val="auto"/>
                <w:lang w:val="en-US" w:eastAsia="zh-CN"/>
              </w:rPr>
              <w:t>012</w:t>
            </w:r>
          </w:p>
        </w:tc>
        <w:tc>
          <w:tcPr>
            <w:tcW w:w="285" w:type="pct"/>
            <w:noWrap w:val="0"/>
            <w:vAlign w:val="center"/>
          </w:tcPr>
          <w:p w14:paraId="743DA13E">
            <w:pPr>
              <w:keepNext w:val="0"/>
              <w:keepLines w:val="0"/>
              <w:suppressLineNumbers w:val="0"/>
              <w:tabs>
                <w:tab w:val="left" w:pos="1890"/>
              </w:tabs>
              <w:spacing w:before="0" w:beforeAutospacing="0" w:after="0" w:afterAutospacing="0" w:line="280" w:lineRule="exact"/>
              <w:ind w:left="0" w:leftChars="0" w:right="0" w:right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242" w:type="pct"/>
            <w:noWrap w:val="0"/>
            <w:vAlign w:val="center"/>
          </w:tcPr>
          <w:p w14:paraId="5B3FF02D">
            <w:pPr>
              <w:keepNext w:val="0"/>
              <w:keepLines w:val="0"/>
              <w:suppressLineNumbers w:val="0"/>
              <w:tabs>
                <w:tab w:val="left" w:pos="1890"/>
              </w:tabs>
              <w:spacing w:before="0" w:beforeAutospacing="0" w:after="0" w:afterAutospacing="0" w:line="280" w:lineRule="exact"/>
              <w:ind w:left="0" w:leftChars="0" w:right="0" w:right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310" w:type="pct"/>
            <w:noWrap w:val="0"/>
            <w:vAlign w:val="center"/>
          </w:tcPr>
          <w:p w14:paraId="4A3A2936">
            <w:pPr>
              <w:keepNext w:val="0"/>
              <w:keepLines w:val="0"/>
              <w:suppressLineNumbers w:val="0"/>
              <w:tabs>
                <w:tab w:val="left" w:pos="1890"/>
              </w:tabs>
              <w:spacing w:before="0" w:beforeAutospacing="0" w:after="0" w:afterAutospacing="0" w:line="280" w:lineRule="exact"/>
              <w:ind w:left="0" w:leftChars="0" w:right="0" w:right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342" w:type="pct"/>
            <w:noWrap w:val="0"/>
            <w:vAlign w:val="center"/>
          </w:tcPr>
          <w:p w14:paraId="6D981F9A">
            <w:pPr>
              <w:keepNext w:val="0"/>
              <w:keepLines w:val="0"/>
              <w:suppressLineNumbers w:val="0"/>
              <w:tabs>
                <w:tab w:val="left" w:pos="1890"/>
              </w:tabs>
              <w:spacing w:before="0" w:beforeAutospacing="0" w:after="0" w:afterAutospacing="0" w:line="280" w:lineRule="exact"/>
              <w:ind w:left="0" w:leftChars="0" w:right="0" w:right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418" w:type="pct"/>
            <w:noWrap w:val="0"/>
            <w:vAlign w:val="center"/>
          </w:tcPr>
          <w:p w14:paraId="26A83AAA">
            <w:pPr>
              <w:keepNext w:val="0"/>
              <w:keepLines w:val="0"/>
              <w:suppressLineNumbers w:val="0"/>
              <w:tabs>
                <w:tab w:val="left" w:pos="1890"/>
              </w:tabs>
              <w:spacing w:before="0" w:beforeAutospacing="0" w:after="0" w:afterAutospacing="0" w:line="280" w:lineRule="exact"/>
              <w:ind w:left="0" w:leftChars="0" w:right="0" w:right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484" w:type="pct"/>
            <w:vMerge w:val="continue"/>
            <w:noWrap w:val="0"/>
            <w:vAlign w:val="center"/>
          </w:tcPr>
          <w:p w14:paraId="7DD1103C">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lang w:val="en-US" w:eastAsia="zh-CN"/>
              </w:rPr>
            </w:pPr>
          </w:p>
        </w:tc>
      </w:tr>
      <w:tr w14:paraId="6A87E818">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163" w:hRule="atLeast"/>
          <w:jc w:val="center"/>
        </w:trPr>
        <w:tc>
          <w:tcPr>
            <w:tcW w:w="198" w:type="pct"/>
            <w:vMerge w:val="continue"/>
            <w:noWrap w:val="0"/>
            <w:vAlign w:val="center"/>
          </w:tcPr>
          <w:p w14:paraId="3E7756AA">
            <w:pPr>
              <w:keepNext w:val="0"/>
              <w:keepLines w:val="0"/>
              <w:suppressLineNumbers w:val="0"/>
              <w:tabs>
                <w:tab w:val="left" w:pos="1890"/>
              </w:tabs>
              <w:spacing w:before="0" w:beforeAutospacing="0" w:after="0" w:afterAutospacing="0" w:line="280" w:lineRule="exact"/>
              <w:ind w:left="0" w:right="0"/>
              <w:jc w:val="center"/>
              <w:rPr>
                <w:rFonts w:hint="eastAsia" w:ascii="Times New Roman" w:hAnsi="Times New Roman" w:eastAsia="宋体" w:cs="Times New Roman"/>
                <w:color w:val="auto"/>
                <w:lang w:val="en-US" w:eastAsia="zh-CN"/>
              </w:rPr>
            </w:pPr>
          </w:p>
        </w:tc>
        <w:tc>
          <w:tcPr>
            <w:tcW w:w="402" w:type="pct"/>
            <w:vMerge w:val="continue"/>
            <w:noWrap w:val="0"/>
            <w:vAlign w:val="center"/>
          </w:tcPr>
          <w:p w14:paraId="03A329CD">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lang w:val="en-US" w:eastAsia="zh-CN"/>
              </w:rPr>
            </w:pPr>
          </w:p>
        </w:tc>
        <w:tc>
          <w:tcPr>
            <w:tcW w:w="424" w:type="pct"/>
            <w:vMerge w:val="continue"/>
            <w:noWrap w:val="0"/>
            <w:vAlign w:val="center"/>
          </w:tcPr>
          <w:p w14:paraId="3A1624B8">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lang w:val="en-US" w:eastAsia="zh-CN"/>
              </w:rPr>
            </w:pPr>
          </w:p>
        </w:tc>
        <w:tc>
          <w:tcPr>
            <w:tcW w:w="410" w:type="pct"/>
            <w:noWrap w:val="0"/>
            <w:vAlign w:val="center"/>
          </w:tcPr>
          <w:p w14:paraId="0A66856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val="en-US" w:eastAsia="zh-CN"/>
              </w:rPr>
            </w:pPr>
            <w:r>
              <w:rPr>
                <w:rFonts w:hint="eastAsia" w:ascii="Times New Roman" w:hAnsi="Times New Roman" w:eastAsia="Times New Roman" w:cs="Times New Roman"/>
                <w:color w:val="auto"/>
                <w:sz w:val="21"/>
                <w:szCs w:val="21"/>
                <w:lang w:val="en-US" w:eastAsia="zh-CN"/>
              </w:rPr>
              <w:t>油冷</w:t>
            </w:r>
          </w:p>
        </w:tc>
        <w:tc>
          <w:tcPr>
            <w:tcW w:w="866" w:type="pct"/>
            <w:noWrap w:val="0"/>
            <w:vAlign w:val="center"/>
          </w:tcPr>
          <w:p w14:paraId="5B3C7518">
            <w:pPr>
              <w:keepNext w:val="0"/>
              <w:keepLines w:val="0"/>
              <w:suppressLineNumbers w:val="0"/>
              <w:adjustRightInd w:val="0"/>
              <w:snapToGrid w:val="0"/>
              <w:spacing w:before="0" w:beforeAutospacing="0" w:after="0" w:afterAutospacing="0"/>
              <w:ind w:left="0" w:leftChars="0" w:right="0" w:rightChars="0"/>
              <w:jc w:val="center"/>
              <w:rPr>
                <w:rFonts w:hint="eastAsia"/>
                <w:color w:val="auto"/>
                <w:sz w:val="21"/>
                <w:szCs w:val="21"/>
              </w:rPr>
            </w:pPr>
            <w:r>
              <w:rPr>
                <w:rFonts w:hint="eastAsia"/>
                <w:color w:val="auto"/>
                <w:sz w:val="21"/>
                <w:szCs w:val="21"/>
                <w:lang w:val="en-US" w:eastAsia="zh-CN"/>
              </w:rPr>
              <w:t>冷却油池</w:t>
            </w:r>
          </w:p>
        </w:tc>
        <w:tc>
          <w:tcPr>
            <w:tcW w:w="615" w:type="pct"/>
            <w:noWrap w:val="0"/>
            <w:vAlign w:val="center"/>
          </w:tcPr>
          <w:p w14:paraId="4C75B514">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MF0</w:t>
            </w:r>
            <w:r>
              <w:rPr>
                <w:rFonts w:hint="eastAsia" w:ascii="Times New Roman" w:hAnsi="Times New Roman" w:eastAsia="宋体" w:cs="Times New Roman"/>
                <w:color w:val="auto"/>
                <w:lang w:val="en-US" w:eastAsia="zh-CN"/>
              </w:rPr>
              <w:t>13</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MF</w:t>
            </w:r>
            <w:r>
              <w:rPr>
                <w:rFonts w:hint="eastAsia" w:ascii="Times New Roman" w:hAnsi="Times New Roman" w:eastAsia="宋体" w:cs="Times New Roman"/>
                <w:color w:val="auto"/>
                <w:lang w:val="en-US" w:eastAsia="zh-CN"/>
              </w:rPr>
              <w:t>014</w:t>
            </w:r>
          </w:p>
        </w:tc>
        <w:tc>
          <w:tcPr>
            <w:tcW w:w="285" w:type="pct"/>
            <w:noWrap w:val="0"/>
            <w:vAlign w:val="center"/>
          </w:tcPr>
          <w:p w14:paraId="0A5ABD77">
            <w:pPr>
              <w:keepNext w:val="0"/>
              <w:keepLines w:val="0"/>
              <w:suppressLineNumbers w:val="0"/>
              <w:tabs>
                <w:tab w:val="left" w:pos="1890"/>
              </w:tabs>
              <w:spacing w:before="0" w:beforeAutospacing="0" w:after="0" w:afterAutospacing="0" w:line="280" w:lineRule="exact"/>
              <w:ind w:left="0" w:leftChars="0" w:right="0" w:right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242" w:type="pct"/>
            <w:noWrap w:val="0"/>
            <w:vAlign w:val="center"/>
          </w:tcPr>
          <w:p w14:paraId="5F7979D3">
            <w:pPr>
              <w:keepNext w:val="0"/>
              <w:keepLines w:val="0"/>
              <w:suppressLineNumbers w:val="0"/>
              <w:tabs>
                <w:tab w:val="left" w:pos="1890"/>
              </w:tabs>
              <w:spacing w:before="0" w:beforeAutospacing="0" w:after="0" w:afterAutospacing="0" w:line="280" w:lineRule="exact"/>
              <w:ind w:left="0" w:leftChars="0" w:right="0" w:right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310" w:type="pct"/>
            <w:noWrap w:val="0"/>
            <w:vAlign w:val="center"/>
          </w:tcPr>
          <w:p w14:paraId="682C1072">
            <w:pPr>
              <w:keepNext w:val="0"/>
              <w:keepLines w:val="0"/>
              <w:suppressLineNumbers w:val="0"/>
              <w:tabs>
                <w:tab w:val="left" w:pos="1890"/>
              </w:tabs>
              <w:spacing w:before="0" w:beforeAutospacing="0" w:after="0" w:afterAutospacing="0" w:line="280" w:lineRule="exact"/>
              <w:ind w:left="0" w:leftChars="0" w:right="0" w:right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342" w:type="pct"/>
            <w:noWrap w:val="0"/>
            <w:vAlign w:val="center"/>
          </w:tcPr>
          <w:p w14:paraId="28607724">
            <w:pPr>
              <w:keepNext w:val="0"/>
              <w:keepLines w:val="0"/>
              <w:suppressLineNumbers w:val="0"/>
              <w:tabs>
                <w:tab w:val="left" w:pos="1890"/>
              </w:tabs>
              <w:spacing w:before="0" w:beforeAutospacing="0" w:after="0" w:afterAutospacing="0" w:line="280" w:lineRule="exact"/>
              <w:ind w:left="0" w:leftChars="0" w:right="0" w:right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418" w:type="pct"/>
            <w:noWrap w:val="0"/>
            <w:vAlign w:val="center"/>
          </w:tcPr>
          <w:p w14:paraId="71A726B1">
            <w:pPr>
              <w:keepNext w:val="0"/>
              <w:keepLines w:val="0"/>
              <w:suppressLineNumbers w:val="0"/>
              <w:tabs>
                <w:tab w:val="left" w:pos="1890"/>
              </w:tabs>
              <w:spacing w:before="0" w:beforeAutospacing="0" w:after="0" w:afterAutospacing="0" w:line="280" w:lineRule="exact"/>
              <w:ind w:left="0" w:leftChars="0" w:right="0" w:right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484" w:type="pct"/>
            <w:vMerge w:val="continue"/>
            <w:noWrap w:val="0"/>
            <w:vAlign w:val="center"/>
          </w:tcPr>
          <w:p w14:paraId="1D68E5AB">
            <w:pPr>
              <w:keepNext w:val="0"/>
              <w:keepLines w:val="0"/>
              <w:suppressLineNumbers w:val="0"/>
              <w:tabs>
                <w:tab w:val="left" w:pos="1890"/>
              </w:tabs>
              <w:spacing w:before="0" w:beforeAutospacing="0" w:after="0" w:afterAutospacing="0" w:line="280" w:lineRule="exact"/>
              <w:ind w:left="0" w:right="0"/>
              <w:jc w:val="center"/>
              <w:rPr>
                <w:rFonts w:hint="default" w:ascii="Times New Roman" w:hAnsi="Times New Roman" w:eastAsia="宋体" w:cs="Times New Roman"/>
                <w:color w:val="auto"/>
                <w:lang w:val="en-US" w:eastAsia="zh-CN"/>
              </w:rPr>
            </w:pPr>
          </w:p>
        </w:tc>
      </w:tr>
    </w:tbl>
    <w:p w14:paraId="7823F43E">
      <w:pPr>
        <w:tabs>
          <w:tab w:val="left" w:pos="1890"/>
        </w:tabs>
        <w:spacing w:line="360" w:lineRule="exact"/>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表5 建设项目废气产排污节点、污染物及污染治理设施信息表</w:t>
      </w:r>
    </w:p>
    <w:tbl>
      <w:tblPr>
        <w:tblStyle w:val="5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
        <w:gridCol w:w="563"/>
        <w:gridCol w:w="647"/>
        <w:gridCol w:w="1089"/>
        <w:gridCol w:w="713"/>
        <w:gridCol w:w="1000"/>
        <w:gridCol w:w="330"/>
        <w:gridCol w:w="630"/>
        <w:gridCol w:w="1388"/>
        <w:gridCol w:w="642"/>
        <w:gridCol w:w="399"/>
        <w:gridCol w:w="733"/>
        <w:gridCol w:w="603"/>
        <w:gridCol w:w="688"/>
        <w:gridCol w:w="556"/>
        <w:gridCol w:w="591"/>
        <w:gridCol w:w="728"/>
        <w:gridCol w:w="1002"/>
        <w:gridCol w:w="576"/>
        <w:gridCol w:w="670"/>
        <w:gridCol w:w="331"/>
      </w:tblGrid>
      <w:tr w14:paraId="1EC79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16" w:type="pct"/>
            <w:vMerge w:val="restart"/>
            <w:noWrap w:val="0"/>
            <w:vAlign w:val="center"/>
          </w:tcPr>
          <w:p w14:paraId="4CB8A752">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序号</w:t>
            </w:r>
          </w:p>
        </w:tc>
        <w:tc>
          <w:tcPr>
            <w:tcW w:w="198" w:type="pct"/>
            <w:vMerge w:val="restart"/>
            <w:noWrap w:val="0"/>
            <w:vAlign w:val="center"/>
          </w:tcPr>
          <w:p w14:paraId="5651386D">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主要生产单元名称</w:t>
            </w:r>
          </w:p>
        </w:tc>
        <w:tc>
          <w:tcPr>
            <w:tcW w:w="227" w:type="pct"/>
            <w:vMerge w:val="restart"/>
            <w:noWrap w:val="0"/>
            <w:vAlign w:val="center"/>
          </w:tcPr>
          <w:p w14:paraId="5CE77DCA">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生产设施编号</w:t>
            </w:r>
          </w:p>
        </w:tc>
        <w:tc>
          <w:tcPr>
            <w:tcW w:w="383" w:type="pct"/>
            <w:vMerge w:val="restart"/>
            <w:noWrap w:val="0"/>
            <w:vAlign w:val="center"/>
          </w:tcPr>
          <w:p w14:paraId="67757C69">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生产设施名称</w:t>
            </w:r>
          </w:p>
        </w:tc>
        <w:tc>
          <w:tcPr>
            <w:tcW w:w="250" w:type="pct"/>
            <w:vMerge w:val="restart"/>
            <w:noWrap w:val="0"/>
            <w:vAlign w:val="center"/>
          </w:tcPr>
          <w:p w14:paraId="0EF3DAFF">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对应产污环节名称</w:t>
            </w:r>
          </w:p>
        </w:tc>
        <w:tc>
          <w:tcPr>
            <w:tcW w:w="351" w:type="pct"/>
            <w:vMerge w:val="restart"/>
            <w:noWrap w:val="0"/>
            <w:vAlign w:val="center"/>
          </w:tcPr>
          <w:p w14:paraId="77730209">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污染物种类</w:t>
            </w:r>
          </w:p>
        </w:tc>
        <w:tc>
          <w:tcPr>
            <w:tcW w:w="116" w:type="pct"/>
            <w:vMerge w:val="restart"/>
            <w:noWrap w:val="0"/>
            <w:vAlign w:val="center"/>
          </w:tcPr>
          <w:p w14:paraId="1ABB8A87">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排放</w:t>
            </w:r>
          </w:p>
          <w:p w14:paraId="4B4F1CA8">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形式</w:t>
            </w:r>
          </w:p>
        </w:tc>
        <w:tc>
          <w:tcPr>
            <w:tcW w:w="2191" w:type="pct"/>
            <w:gridSpan w:val="9"/>
            <w:noWrap w:val="0"/>
            <w:vAlign w:val="center"/>
          </w:tcPr>
          <w:p w14:paraId="0EBD5499">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设施参数</w:t>
            </w:r>
          </w:p>
        </w:tc>
        <w:tc>
          <w:tcPr>
            <w:tcW w:w="256" w:type="pct"/>
            <w:vMerge w:val="restart"/>
            <w:noWrap w:val="0"/>
            <w:vAlign w:val="center"/>
          </w:tcPr>
          <w:p w14:paraId="51E4AD0B">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有组织排放口编号</w:t>
            </w:r>
          </w:p>
        </w:tc>
        <w:tc>
          <w:tcPr>
            <w:tcW w:w="352" w:type="pct"/>
            <w:vMerge w:val="restart"/>
            <w:noWrap w:val="0"/>
            <w:vAlign w:val="center"/>
          </w:tcPr>
          <w:p w14:paraId="4D6EF422">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有组织排放口名称</w:t>
            </w:r>
          </w:p>
        </w:tc>
        <w:tc>
          <w:tcPr>
            <w:tcW w:w="202" w:type="pct"/>
            <w:vMerge w:val="restart"/>
            <w:noWrap w:val="0"/>
            <w:vAlign w:val="center"/>
          </w:tcPr>
          <w:p w14:paraId="5715E9DB">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排放口设置是否符合要求</w:t>
            </w:r>
          </w:p>
        </w:tc>
        <w:tc>
          <w:tcPr>
            <w:tcW w:w="235" w:type="pct"/>
            <w:vMerge w:val="restart"/>
            <w:noWrap w:val="0"/>
            <w:vAlign w:val="center"/>
          </w:tcPr>
          <w:p w14:paraId="4836CF18">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排放口类型</w:t>
            </w:r>
          </w:p>
        </w:tc>
        <w:tc>
          <w:tcPr>
            <w:tcW w:w="116" w:type="pct"/>
            <w:vMerge w:val="restart"/>
            <w:noWrap w:val="0"/>
            <w:vAlign w:val="center"/>
          </w:tcPr>
          <w:p w14:paraId="5994D58F">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其他信息</w:t>
            </w:r>
          </w:p>
        </w:tc>
      </w:tr>
      <w:tr w14:paraId="7E85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116" w:type="pct"/>
            <w:vMerge w:val="continue"/>
            <w:noWrap w:val="0"/>
            <w:vAlign w:val="center"/>
          </w:tcPr>
          <w:p w14:paraId="43BAF928">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p>
        </w:tc>
        <w:tc>
          <w:tcPr>
            <w:tcW w:w="198" w:type="pct"/>
            <w:vMerge w:val="continue"/>
            <w:noWrap w:val="0"/>
            <w:vAlign w:val="center"/>
          </w:tcPr>
          <w:p w14:paraId="4905FFAA">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p>
        </w:tc>
        <w:tc>
          <w:tcPr>
            <w:tcW w:w="227" w:type="pct"/>
            <w:vMerge w:val="continue"/>
            <w:noWrap w:val="0"/>
            <w:vAlign w:val="center"/>
          </w:tcPr>
          <w:p w14:paraId="6966A836">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p>
        </w:tc>
        <w:tc>
          <w:tcPr>
            <w:tcW w:w="383" w:type="pct"/>
            <w:vMerge w:val="continue"/>
            <w:noWrap w:val="0"/>
            <w:vAlign w:val="center"/>
          </w:tcPr>
          <w:p w14:paraId="4313B9B6">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p>
        </w:tc>
        <w:tc>
          <w:tcPr>
            <w:tcW w:w="250" w:type="pct"/>
            <w:vMerge w:val="continue"/>
            <w:noWrap w:val="0"/>
            <w:vAlign w:val="center"/>
          </w:tcPr>
          <w:p w14:paraId="1B267EB0">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p>
        </w:tc>
        <w:tc>
          <w:tcPr>
            <w:tcW w:w="351" w:type="pct"/>
            <w:vMerge w:val="continue"/>
            <w:noWrap w:val="0"/>
            <w:vAlign w:val="center"/>
          </w:tcPr>
          <w:p w14:paraId="75A56622">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p>
        </w:tc>
        <w:tc>
          <w:tcPr>
            <w:tcW w:w="116" w:type="pct"/>
            <w:vMerge w:val="continue"/>
            <w:noWrap w:val="0"/>
            <w:vAlign w:val="center"/>
          </w:tcPr>
          <w:p w14:paraId="1537AE7D">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p>
        </w:tc>
        <w:tc>
          <w:tcPr>
            <w:tcW w:w="221" w:type="pct"/>
            <w:noWrap w:val="0"/>
            <w:vAlign w:val="center"/>
          </w:tcPr>
          <w:p w14:paraId="63CEFC3B">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污染治理设施编号</w:t>
            </w:r>
          </w:p>
        </w:tc>
        <w:tc>
          <w:tcPr>
            <w:tcW w:w="488" w:type="pct"/>
            <w:noWrap w:val="0"/>
            <w:vAlign w:val="center"/>
          </w:tcPr>
          <w:p w14:paraId="131B45EA">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污染治理设施名称</w:t>
            </w:r>
          </w:p>
        </w:tc>
        <w:tc>
          <w:tcPr>
            <w:tcW w:w="225" w:type="pct"/>
            <w:noWrap w:val="0"/>
            <w:vAlign w:val="center"/>
          </w:tcPr>
          <w:p w14:paraId="43F5CC10">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污染治理设施工艺</w:t>
            </w:r>
          </w:p>
        </w:tc>
        <w:tc>
          <w:tcPr>
            <w:tcW w:w="140" w:type="pct"/>
            <w:noWrap w:val="0"/>
            <w:vAlign w:val="center"/>
          </w:tcPr>
          <w:p w14:paraId="06EC9002">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参数名称</w:t>
            </w:r>
          </w:p>
        </w:tc>
        <w:tc>
          <w:tcPr>
            <w:tcW w:w="257" w:type="pct"/>
            <w:noWrap w:val="0"/>
            <w:vAlign w:val="center"/>
          </w:tcPr>
          <w:p w14:paraId="42CD4C03">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设计值</w:t>
            </w:r>
          </w:p>
        </w:tc>
        <w:tc>
          <w:tcPr>
            <w:tcW w:w="212" w:type="pct"/>
            <w:noWrap w:val="0"/>
            <w:vAlign w:val="center"/>
          </w:tcPr>
          <w:p w14:paraId="6E56E7B0">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计量单位</w:t>
            </w:r>
          </w:p>
        </w:tc>
        <w:tc>
          <w:tcPr>
            <w:tcW w:w="242" w:type="pct"/>
            <w:noWrap w:val="0"/>
            <w:vAlign w:val="center"/>
          </w:tcPr>
          <w:p w14:paraId="0CDFE17E">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其他污染治理设施参数信息</w:t>
            </w:r>
          </w:p>
        </w:tc>
        <w:tc>
          <w:tcPr>
            <w:tcW w:w="195" w:type="pct"/>
            <w:noWrap w:val="0"/>
            <w:vAlign w:val="center"/>
          </w:tcPr>
          <w:p w14:paraId="59C85116">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是否为可行技术</w:t>
            </w:r>
          </w:p>
        </w:tc>
        <w:tc>
          <w:tcPr>
            <w:tcW w:w="207" w:type="pct"/>
            <w:noWrap w:val="0"/>
            <w:vAlign w:val="center"/>
          </w:tcPr>
          <w:p w14:paraId="4BDE7D35">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污染治理设施其他信息</w:t>
            </w:r>
          </w:p>
        </w:tc>
        <w:tc>
          <w:tcPr>
            <w:tcW w:w="256" w:type="pct"/>
            <w:vMerge w:val="continue"/>
            <w:noWrap w:val="0"/>
            <w:vAlign w:val="center"/>
          </w:tcPr>
          <w:p w14:paraId="38A55658">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p>
        </w:tc>
        <w:tc>
          <w:tcPr>
            <w:tcW w:w="352" w:type="pct"/>
            <w:vMerge w:val="continue"/>
            <w:noWrap w:val="0"/>
            <w:vAlign w:val="center"/>
          </w:tcPr>
          <w:p w14:paraId="49922644">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p>
        </w:tc>
        <w:tc>
          <w:tcPr>
            <w:tcW w:w="202" w:type="pct"/>
            <w:vMerge w:val="continue"/>
            <w:noWrap w:val="0"/>
            <w:vAlign w:val="center"/>
          </w:tcPr>
          <w:p w14:paraId="0380C7EA">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p>
        </w:tc>
        <w:tc>
          <w:tcPr>
            <w:tcW w:w="235" w:type="pct"/>
            <w:vMerge w:val="continue"/>
            <w:noWrap w:val="0"/>
            <w:vAlign w:val="center"/>
          </w:tcPr>
          <w:p w14:paraId="4580AB38">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p>
        </w:tc>
        <w:tc>
          <w:tcPr>
            <w:tcW w:w="116" w:type="pct"/>
            <w:vMerge w:val="continue"/>
            <w:noWrap w:val="0"/>
            <w:vAlign w:val="center"/>
          </w:tcPr>
          <w:p w14:paraId="50397DAA">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color w:val="auto"/>
              </w:rPr>
            </w:pPr>
          </w:p>
        </w:tc>
      </w:tr>
      <w:tr w14:paraId="431F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16" w:type="pct"/>
            <w:noWrap w:val="0"/>
            <w:vAlign w:val="center"/>
          </w:tcPr>
          <w:p w14:paraId="00D5DBED">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1</w:t>
            </w:r>
          </w:p>
        </w:tc>
        <w:tc>
          <w:tcPr>
            <w:tcW w:w="198" w:type="pct"/>
            <w:vMerge w:val="restart"/>
            <w:noWrap w:val="0"/>
            <w:vAlign w:val="center"/>
          </w:tcPr>
          <w:p w14:paraId="154BAABC">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厂房</w:t>
            </w:r>
          </w:p>
        </w:tc>
        <w:tc>
          <w:tcPr>
            <w:tcW w:w="227" w:type="pct"/>
            <w:noWrap w:val="0"/>
            <w:vAlign w:val="center"/>
          </w:tcPr>
          <w:p w14:paraId="68D31369">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lang w:val="da-DK"/>
              </w:rPr>
            </w:pPr>
            <w:r>
              <w:rPr>
                <w:rFonts w:hint="default" w:ascii="Times New Roman" w:hAnsi="Times New Roman" w:eastAsia="宋体" w:cs="Times New Roman"/>
                <w:color w:val="auto"/>
              </w:rPr>
              <w:t>MF001</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MF00</w:t>
            </w:r>
            <w:r>
              <w:rPr>
                <w:rFonts w:hint="eastAsia" w:ascii="Times New Roman" w:hAnsi="Times New Roman" w:eastAsia="宋体" w:cs="Times New Roman"/>
                <w:color w:val="auto"/>
                <w:lang w:val="en-US" w:eastAsia="zh-CN"/>
              </w:rPr>
              <w:t>4</w:t>
            </w:r>
          </w:p>
        </w:tc>
        <w:tc>
          <w:tcPr>
            <w:tcW w:w="383" w:type="pct"/>
            <w:noWrap w:val="0"/>
            <w:vAlign w:val="center"/>
          </w:tcPr>
          <w:p w14:paraId="4AC01B3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lang w:val="en-US"/>
              </w:rPr>
            </w:pPr>
            <w:r>
              <w:rPr>
                <w:rFonts w:hint="eastAsia"/>
                <w:color w:val="auto"/>
                <w:sz w:val="21"/>
                <w:szCs w:val="21"/>
                <w:lang w:val="en-US" w:eastAsia="zh-CN"/>
              </w:rPr>
              <w:t>密封箱式可控气氛多用炉、燃气淬火炉、电加热回火炉、燃气回火炉</w:t>
            </w:r>
          </w:p>
        </w:tc>
        <w:tc>
          <w:tcPr>
            <w:tcW w:w="250" w:type="pct"/>
            <w:noWrap w:val="0"/>
            <w:vAlign w:val="center"/>
          </w:tcPr>
          <w:p w14:paraId="0CEBD8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lang w:val="en-US"/>
              </w:rPr>
            </w:pPr>
            <w:r>
              <w:rPr>
                <w:rFonts w:hint="eastAsia" w:ascii="Times New Roman" w:hAnsi="Times New Roman" w:cs="Times New Roman"/>
                <w:color w:val="auto"/>
                <w:sz w:val="21"/>
                <w:szCs w:val="21"/>
                <w:lang w:val="en-US" w:eastAsia="zh-CN"/>
              </w:rPr>
              <w:t>箱式渗碳、淬火回火</w:t>
            </w:r>
          </w:p>
        </w:tc>
        <w:tc>
          <w:tcPr>
            <w:tcW w:w="351" w:type="pct"/>
            <w:noWrap w:val="0"/>
            <w:vAlign w:val="center"/>
          </w:tcPr>
          <w:p w14:paraId="1E4D684D">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lang w:val="en-US"/>
              </w:rPr>
            </w:pPr>
            <w:r>
              <w:rPr>
                <w:rFonts w:hint="default" w:ascii="Times New Roman" w:hAnsi="Times New Roman" w:eastAsia="宋体" w:cs="Times New Roman"/>
                <w:b w:val="0"/>
                <w:bCs/>
                <w:color w:val="auto"/>
                <w:sz w:val="21"/>
                <w:szCs w:val="21"/>
                <w:lang w:val="en-US" w:eastAsia="zh-CN"/>
              </w:rPr>
              <w:t>颗粒物</w:t>
            </w:r>
            <w:r>
              <w:rPr>
                <w:rFonts w:hint="eastAsia" w:ascii="Times New Roman" w:hAnsi="Times New Roman" w:eastAsia="宋体" w:cs="Times New Roman"/>
                <w:b w:val="0"/>
                <w:bCs/>
                <w:color w:val="auto"/>
                <w:sz w:val="21"/>
                <w:szCs w:val="21"/>
                <w:lang w:val="en-US" w:eastAsia="zh-CN"/>
              </w:rPr>
              <w:t>、非甲烷总烃</w:t>
            </w:r>
          </w:p>
        </w:tc>
        <w:tc>
          <w:tcPr>
            <w:tcW w:w="116" w:type="pct"/>
            <w:noWrap w:val="0"/>
            <w:vAlign w:val="center"/>
          </w:tcPr>
          <w:p w14:paraId="055818A2">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有组织排放</w:t>
            </w:r>
          </w:p>
        </w:tc>
        <w:tc>
          <w:tcPr>
            <w:tcW w:w="221" w:type="pct"/>
            <w:noWrap w:val="0"/>
            <w:vAlign w:val="center"/>
          </w:tcPr>
          <w:p w14:paraId="19AF4E48">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TA001</w:t>
            </w:r>
          </w:p>
        </w:tc>
        <w:tc>
          <w:tcPr>
            <w:tcW w:w="488" w:type="pct"/>
            <w:noWrap w:val="0"/>
            <w:vAlign w:val="center"/>
          </w:tcPr>
          <w:p w14:paraId="00244D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FF0000"/>
                <w:lang w:val="en-US"/>
              </w:rPr>
            </w:pPr>
            <w:r>
              <w:rPr>
                <w:rFonts w:hint="eastAsia"/>
                <w:color w:val="auto"/>
                <w:lang w:val="en-US" w:eastAsia="zh-CN"/>
              </w:rPr>
              <w:t>废气间接冷却装置+静电吸附油雾净化装置+三级干式过滤器+二级活性炭吸附装置</w:t>
            </w:r>
          </w:p>
        </w:tc>
        <w:tc>
          <w:tcPr>
            <w:tcW w:w="225" w:type="pct"/>
            <w:noWrap w:val="0"/>
            <w:vAlign w:val="center"/>
          </w:tcPr>
          <w:p w14:paraId="39F469FA">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吸附</w:t>
            </w:r>
          </w:p>
        </w:tc>
        <w:tc>
          <w:tcPr>
            <w:tcW w:w="140" w:type="pct"/>
            <w:noWrap w:val="0"/>
            <w:vAlign w:val="center"/>
          </w:tcPr>
          <w:p w14:paraId="32372601">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风量</w:t>
            </w:r>
          </w:p>
        </w:tc>
        <w:tc>
          <w:tcPr>
            <w:tcW w:w="257" w:type="pct"/>
            <w:noWrap w:val="0"/>
            <w:vAlign w:val="center"/>
          </w:tcPr>
          <w:p w14:paraId="0CD5D788">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18</w:t>
            </w:r>
            <w:r>
              <w:rPr>
                <w:rFonts w:hint="default" w:ascii="Times New Roman" w:hAnsi="Times New Roman" w:eastAsia="宋体" w:cs="Times New Roman"/>
                <w:color w:val="auto"/>
              </w:rPr>
              <w:t>000</w:t>
            </w:r>
          </w:p>
        </w:tc>
        <w:tc>
          <w:tcPr>
            <w:tcW w:w="212" w:type="pct"/>
            <w:noWrap w:val="0"/>
            <w:vAlign w:val="center"/>
          </w:tcPr>
          <w:p w14:paraId="47EDA581">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/h</w:t>
            </w:r>
          </w:p>
        </w:tc>
        <w:tc>
          <w:tcPr>
            <w:tcW w:w="242" w:type="pct"/>
            <w:noWrap w:val="0"/>
            <w:vAlign w:val="center"/>
          </w:tcPr>
          <w:p w14:paraId="7F8BE274">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195" w:type="pct"/>
            <w:noWrap w:val="0"/>
            <w:vAlign w:val="center"/>
          </w:tcPr>
          <w:p w14:paraId="0EA1C59C">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207" w:type="pct"/>
            <w:noWrap w:val="0"/>
            <w:vAlign w:val="center"/>
          </w:tcPr>
          <w:p w14:paraId="39731E57">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256" w:type="pct"/>
            <w:noWrap w:val="0"/>
            <w:vAlign w:val="center"/>
          </w:tcPr>
          <w:p w14:paraId="55361A67">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DA001</w:t>
            </w:r>
          </w:p>
        </w:tc>
        <w:tc>
          <w:tcPr>
            <w:tcW w:w="352" w:type="pct"/>
            <w:noWrap w:val="0"/>
            <w:vAlign w:val="center"/>
          </w:tcPr>
          <w:p w14:paraId="1774D576">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eastAsia" w:ascii="Times New Roman" w:hAnsi="Times New Roman" w:cs="Times New Roman"/>
                <w:color w:val="auto"/>
                <w:sz w:val="21"/>
                <w:szCs w:val="21"/>
                <w:lang w:val="en-US" w:eastAsia="zh-CN"/>
              </w:rPr>
              <w:t>箱式渗碳、淬火回火</w:t>
            </w:r>
            <w:r>
              <w:rPr>
                <w:rFonts w:hint="default" w:ascii="Times New Roman" w:hAnsi="Times New Roman" w:eastAsia="宋体" w:cs="Times New Roman"/>
                <w:color w:val="auto"/>
              </w:rPr>
              <w:t>废气排放口</w:t>
            </w:r>
          </w:p>
        </w:tc>
        <w:tc>
          <w:tcPr>
            <w:tcW w:w="202" w:type="pct"/>
            <w:noWrap w:val="0"/>
            <w:vAlign w:val="center"/>
          </w:tcPr>
          <w:p w14:paraId="399B6CBB">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235" w:type="pct"/>
            <w:noWrap w:val="0"/>
            <w:vAlign w:val="center"/>
          </w:tcPr>
          <w:p w14:paraId="50B6BB6F">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一般排放口</w:t>
            </w:r>
          </w:p>
        </w:tc>
        <w:tc>
          <w:tcPr>
            <w:tcW w:w="116" w:type="pct"/>
            <w:noWrap w:val="0"/>
            <w:vAlign w:val="center"/>
          </w:tcPr>
          <w:p w14:paraId="726C4540">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w:t>
            </w:r>
          </w:p>
        </w:tc>
      </w:tr>
      <w:tr w14:paraId="0846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6" w:type="pct"/>
            <w:noWrap w:val="0"/>
            <w:vAlign w:val="center"/>
          </w:tcPr>
          <w:p w14:paraId="1A2F52C3">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w:t>
            </w:r>
          </w:p>
        </w:tc>
        <w:tc>
          <w:tcPr>
            <w:tcW w:w="198" w:type="pct"/>
            <w:vMerge w:val="continue"/>
            <w:noWrap w:val="0"/>
            <w:vAlign w:val="center"/>
          </w:tcPr>
          <w:p w14:paraId="69611ADD">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p>
        </w:tc>
        <w:tc>
          <w:tcPr>
            <w:tcW w:w="227" w:type="pct"/>
            <w:noWrap w:val="0"/>
            <w:vAlign w:val="center"/>
          </w:tcPr>
          <w:p w14:paraId="0203862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lang w:val="en-US"/>
              </w:rPr>
            </w:pPr>
            <w:r>
              <w:rPr>
                <w:rFonts w:hint="default" w:ascii="Times New Roman" w:hAnsi="Times New Roman" w:eastAsia="宋体" w:cs="Times New Roman"/>
                <w:color w:val="auto"/>
              </w:rPr>
              <w:t>MF00</w:t>
            </w:r>
            <w:r>
              <w:rPr>
                <w:rFonts w:hint="eastAsia" w:ascii="Times New Roman" w:hAnsi="Times New Roman" w:eastAsia="宋体" w:cs="Times New Roman"/>
                <w:color w:val="auto"/>
                <w:lang w:val="en-US" w:eastAsia="zh-CN"/>
              </w:rPr>
              <w:t>2、</w:t>
            </w:r>
            <w:r>
              <w:rPr>
                <w:rFonts w:hint="default" w:ascii="Times New Roman" w:hAnsi="Times New Roman" w:eastAsia="宋体" w:cs="Times New Roman"/>
                <w:color w:val="auto"/>
              </w:rPr>
              <w:t>MF00</w:t>
            </w:r>
            <w:r>
              <w:rPr>
                <w:rFonts w:hint="eastAsia" w:ascii="Times New Roman" w:hAnsi="Times New Roman" w:eastAsia="宋体" w:cs="Times New Roman"/>
                <w:color w:val="auto"/>
                <w:lang w:val="en-US" w:eastAsia="zh-CN"/>
              </w:rPr>
              <w:t>4</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MF0</w:t>
            </w:r>
            <w:r>
              <w:rPr>
                <w:rFonts w:hint="eastAsia" w:ascii="Times New Roman" w:hAnsi="Times New Roman" w:eastAsia="宋体" w:cs="Times New Roman"/>
                <w:color w:val="auto"/>
                <w:lang w:val="en-US" w:eastAsia="zh-CN"/>
              </w:rPr>
              <w:t>06</w:t>
            </w:r>
          </w:p>
        </w:tc>
        <w:tc>
          <w:tcPr>
            <w:tcW w:w="383" w:type="pct"/>
            <w:noWrap w:val="0"/>
            <w:vAlign w:val="center"/>
          </w:tcPr>
          <w:p w14:paraId="6BD345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rPr>
            </w:pPr>
            <w:r>
              <w:rPr>
                <w:rFonts w:hint="eastAsia" w:ascii="Times New Roman" w:hAnsi="Times New Roman" w:cs="Times New Roman"/>
                <w:color w:val="auto"/>
                <w:sz w:val="21"/>
                <w:szCs w:val="21"/>
                <w:lang w:val="en-US" w:eastAsia="zh-CN"/>
              </w:rPr>
              <w:t>燃气淬火炉、燃气回火炉、燃气正火炉、燃气退火炉</w:t>
            </w:r>
          </w:p>
        </w:tc>
        <w:tc>
          <w:tcPr>
            <w:tcW w:w="250" w:type="pct"/>
            <w:noWrap w:val="0"/>
            <w:vAlign w:val="center"/>
          </w:tcPr>
          <w:p w14:paraId="37A56C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rPr>
            </w:pPr>
            <w:r>
              <w:rPr>
                <w:rFonts w:hint="eastAsia" w:ascii="Times New Roman" w:hAnsi="Times New Roman" w:cs="Times New Roman"/>
                <w:color w:val="auto"/>
                <w:sz w:val="21"/>
                <w:szCs w:val="21"/>
                <w:lang w:val="en-US" w:eastAsia="zh-CN"/>
              </w:rPr>
              <w:t>天然气燃烧</w:t>
            </w:r>
          </w:p>
        </w:tc>
        <w:tc>
          <w:tcPr>
            <w:tcW w:w="351" w:type="pct"/>
            <w:noWrap w:val="0"/>
            <w:vAlign w:val="center"/>
          </w:tcPr>
          <w:p w14:paraId="73CA15D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b w:val="0"/>
                <w:bCs/>
                <w:color w:val="auto"/>
                <w:sz w:val="21"/>
                <w:szCs w:val="21"/>
                <w:lang w:val="en-US" w:eastAsia="zh-CN"/>
              </w:rPr>
              <w:t>颗粒物、</w:t>
            </w:r>
            <w:r>
              <w:rPr>
                <w:rFonts w:hint="default" w:ascii="Times New Roman" w:hAnsi="Times New Roman" w:eastAsia="宋体" w:cs="Times New Roman"/>
                <w:bCs/>
                <w:color w:val="auto"/>
                <w:sz w:val="21"/>
                <w:szCs w:val="21"/>
                <w:lang w:val="en-US" w:eastAsia="zh-CN"/>
              </w:rPr>
              <w:t>二氧化硫、氮氧化物</w:t>
            </w:r>
          </w:p>
        </w:tc>
        <w:tc>
          <w:tcPr>
            <w:tcW w:w="116" w:type="pct"/>
            <w:noWrap w:val="0"/>
            <w:vAlign w:val="center"/>
          </w:tcPr>
          <w:p w14:paraId="4165517F">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有组织排放</w:t>
            </w:r>
          </w:p>
        </w:tc>
        <w:tc>
          <w:tcPr>
            <w:tcW w:w="221" w:type="pct"/>
            <w:noWrap w:val="0"/>
            <w:vAlign w:val="center"/>
          </w:tcPr>
          <w:p w14:paraId="15C7AAF3">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rPr>
              <w:t>TA00</w:t>
            </w:r>
            <w:r>
              <w:rPr>
                <w:rFonts w:hint="eastAsia" w:ascii="Times New Roman" w:hAnsi="Times New Roman" w:eastAsia="宋体" w:cs="Times New Roman"/>
                <w:color w:val="auto"/>
                <w:lang w:val="en-US" w:eastAsia="zh-CN"/>
              </w:rPr>
              <w:t>2</w:t>
            </w:r>
          </w:p>
        </w:tc>
        <w:tc>
          <w:tcPr>
            <w:tcW w:w="488" w:type="pct"/>
            <w:noWrap w:val="0"/>
            <w:vAlign w:val="center"/>
          </w:tcPr>
          <w:p w14:paraId="701C68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FF0000"/>
                <w:lang w:val="en-US" w:eastAsia="zh-CN"/>
              </w:rPr>
            </w:pPr>
            <w:r>
              <w:rPr>
                <w:rFonts w:hint="default" w:ascii="Times New Roman" w:hAnsi="Times New Roman" w:eastAsia="Times New Roman" w:cs="Times New Roman"/>
                <w:color w:val="auto"/>
                <w:sz w:val="21"/>
                <w:szCs w:val="21"/>
                <w:lang w:val="en-US" w:eastAsia="zh-CN"/>
              </w:rPr>
              <w:t>FGR低氮燃烧器</w:t>
            </w:r>
          </w:p>
        </w:tc>
        <w:tc>
          <w:tcPr>
            <w:tcW w:w="225" w:type="pct"/>
            <w:noWrap w:val="0"/>
            <w:vAlign w:val="center"/>
          </w:tcPr>
          <w:p w14:paraId="1B1A0E46">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bCs/>
                <w:color w:val="auto"/>
                <w:sz w:val="21"/>
                <w:szCs w:val="21"/>
                <w:lang w:val="en-US" w:eastAsia="zh-CN"/>
              </w:rPr>
              <w:t>低氮燃烧</w:t>
            </w:r>
          </w:p>
        </w:tc>
        <w:tc>
          <w:tcPr>
            <w:tcW w:w="140" w:type="pct"/>
            <w:noWrap w:val="0"/>
            <w:vAlign w:val="center"/>
          </w:tcPr>
          <w:p w14:paraId="1815FE03">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风量</w:t>
            </w:r>
          </w:p>
        </w:tc>
        <w:tc>
          <w:tcPr>
            <w:tcW w:w="257" w:type="pct"/>
            <w:noWrap w:val="0"/>
            <w:vAlign w:val="center"/>
          </w:tcPr>
          <w:p w14:paraId="5EE89D94">
            <w:pPr>
              <w:pStyle w:val="217"/>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42" w:leftChars="-20" w:right="-42" w:rightChars="-20"/>
              <w:textAlignment w:val="auto"/>
              <w:rPr>
                <w:rFonts w:hint="default" w:ascii="Times New Roman" w:hAnsi="Times New Roman" w:eastAsia="宋体" w:cs="Times New Roman"/>
                <w:color w:val="auto"/>
              </w:rPr>
            </w:pPr>
            <w:r>
              <w:rPr>
                <w:rFonts w:hint="eastAsia" w:ascii="Times New Roman" w:hAnsi="Times New Roman" w:cs="Times New Roman"/>
                <w:b w:val="0"/>
                <w:bCs/>
                <w:color w:val="auto"/>
                <w:sz w:val="21"/>
                <w:szCs w:val="21"/>
                <w:lang w:val="en-US" w:eastAsia="zh-CN"/>
              </w:rPr>
              <w:t>489.6</w:t>
            </w:r>
          </w:p>
        </w:tc>
        <w:tc>
          <w:tcPr>
            <w:tcW w:w="212" w:type="pct"/>
            <w:noWrap w:val="0"/>
            <w:vAlign w:val="center"/>
          </w:tcPr>
          <w:p w14:paraId="32831073">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/h</w:t>
            </w:r>
          </w:p>
        </w:tc>
        <w:tc>
          <w:tcPr>
            <w:tcW w:w="242" w:type="pct"/>
            <w:noWrap w:val="0"/>
            <w:vAlign w:val="center"/>
          </w:tcPr>
          <w:p w14:paraId="722F9DD9">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195" w:type="pct"/>
            <w:noWrap w:val="0"/>
            <w:vAlign w:val="center"/>
          </w:tcPr>
          <w:p w14:paraId="33081799">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207" w:type="pct"/>
            <w:noWrap w:val="0"/>
            <w:vAlign w:val="center"/>
          </w:tcPr>
          <w:p w14:paraId="4102B2D6">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256" w:type="pct"/>
            <w:noWrap w:val="0"/>
            <w:vAlign w:val="center"/>
          </w:tcPr>
          <w:p w14:paraId="7D751AAD">
            <w:pPr>
              <w:pStyle w:val="217"/>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42" w:leftChars="-20" w:right="-42" w:rightChars="-20"/>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sz w:val="21"/>
                <w:szCs w:val="21"/>
              </w:rPr>
              <w:t>DA0</w:t>
            </w:r>
            <w:r>
              <w:rPr>
                <w:rFonts w:hint="default" w:ascii="Times New Roman" w:hAnsi="Times New Roman" w:eastAsia="宋体" w:cs="Times New Roman"/>
                <w:color w:val="auto"/>
                <w:sz w:val="21"/>
                <w:szCs w:val="21"/>
                <w:lang w:val="en-US" w:eastAsia="zh-CN"/>
              </w:rPr>
              <w:t>0</w:t>
            </w:r>
            <w:r>
              <w:rPr>
                <w:rFonts w:hint="eastAsia" w:ascii="Times New Roman" w:hAnsi="Times New Roman" w:eastAsia="宋体" w:cs="Times New Roman"/>
                <w:color w:val="auto"/>
                <w:sz w:val="21"/>
                <w:szCs w:val="21"/>
                <w:lang w:val="en-US" w:eastAsia="zh-CN"/>
              </w:rPr>
              <w:t>2</w:t>
            </w:r>
          </w:p>
        </w:tc>
        <w:tc>
          <w:tcPr>
            <w:tcW w:w="352" w:type="pct"/>
            <w:noWrap w:val="0"/>
            <w:vAlign w:val="center"/>
          </w:tcPr>
          <w:p w14:paraId="744C9381">
            <w:pPr>
              <w:pStyle w:val="217"/>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42" w:leftChars="-20" w:right="-42" w:rightChars="-20"/>
              <w:textAlignment w:val="auto"/>
              <w:rPr>
                <w:rFonts w:hint="default" w:ascii="Times New Roman" w:hAnsi="Times New Roman" w:eastAsia="宋体" w:cs="Times New Roman"/>
                <w:color w:val="auto"/>
              </w:rPr>
            </w:pPr>
            <w:r>
              <w:rPr>
                <w:rFonts w:hint="default" w:ascii="Times New Roman" w:hAnsi="Times New Roman" w:eastAsia="宋体" w:cs="Times New Roman"/>
                <w:b w:val="0"/>
                <w:bCs/>
                <w:color w:val="auto"/>
                <w:sz w:val="21"/>
                <w:szCs w:val="21"/>
                <w:lang w:val="en-US" w:eastAsia="zh-CN"/>
              </w:rPr>
              <w:t>天然气燃烧废气</w:t>
            </w:r>
            <w:r>
              <w:rPr>
                <w:rFonts w:hint="default" w:ascii="Times New Roman" w:hAnsi="Times New Roman" w:eastAsia="宋体" w:cs="Times New Roman"/>
                <w:color w:val="auto"/>
                <w:sz w:val="21"/>
                <w:szCs w:val="21"/>
              </w:rPr>
              <w:t>排放口</w:t>
            </w:r>
          </w:p>
        </w:tc>
        <w:tc>
          <w:tcPr>
            <w:tcW w:w="202" w:type="pct"/>
            <w:noWrap w:val="0"/>
            <w:vAlign w:val="center"/>
          </w:tcPr>
          <w:p w14:paraId="7BFAE26D">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235" w:type="pct"/>
            <w:noWrap w:val="0"/>
            <w:vAlign w:val="center"/>
          </w:tcPr>
          <w:p w14:paraId="708E6FA8">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一般排放口</w:t>
            </w:r>
          </w:p>
        </w:tc>
        <w:tc>
          <w:tcPr>
            <w:tcW w:w="116" w:type="pct"/>
            <w:noWrap w:val="0"/>
            <w:vAlign w:val="center"/>
          </w:tcPr>
          <w:p w14:paraId="0BBC6E04">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w:t>
            </w:r>
          </w:p>
        </w:tc>
      </w:tr>
    </w:tbl>
    <w:p w14:paraId="3CCF978B">
      <w:pPr>
        <w:tabs>
          <w:tab w:val="left" w:pos="1890"/>
        </w:tabs>
        <w:spacing w:line="360" w:lineRule="exact"/>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表6   建设项目大气污染物有组织排放基本情况表</w:t>
      </w:r>
    </w:p>
    <w:tbl>
      <w:tblPr>
        <w:tblStyle w:val="53"/>
        <w:tblW w:w="4996"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12"/>
        <w:gridCol w:w="811"/>
        <w:gridCol w:w="996"/>
        <w:gridCol w:w="1085"/>
        <w:gridCol w:w="759"/>
        <w:gridCol w:w="920"/>
        <w:gridCol w:w="730"/>
        <w:gridCol w:w="710"/>
        <w:gridCol w:w="740"/>
        <w:gridCol w:w="800"/>
        <w:gridCol w:w="2778"/>
        <w:gridCol w:w="571"/>
        <w:gridCol w:w="649"/>
        <w:gridCol w:w="611"/>
        <w:gridCol w:w="551"/>
        <w:gridCol w:w="773"/>
        <w:gridCol w:w="314"/>
      </w:tblGrid>
      <w:tr w14:paraId="3B4968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0" w:hRule="atLeast"/>
          <w:jc w:val="center"/>
        </w:trPr>
        <w:tc>
          <w:tcPr>
            <w:tcW w:w="144" w:type="pct"/>
            <w:vMerge w:val="restart"/>
            <w:noWrap w:val="0"/>
            <w:vAlign w:val="center"/>
          </w:tcPr>
          <w:p w14:paraId="729537C1">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序号</w:t>
            </w:r>
          </w:p>
        </w:tc>
        <w:tc>
          <w:tcPr>
            <w:tcW w:w="285" w:type="pct"/>
            <w:vMerge w:val="restart"/>
            <w:noWrap w:val="0"/>
            <w:vAlign w:val="center"/>
          </w:tcPr>
          <w:p w14:paraId="3B44AC7A">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排放口</w:t>
            </w:r>
          </w:p>
          <w:p w14:paraId="317FA88B">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编号</w:t>
            </w:r>
          </w:p>
        </w:tc>
        <w:tc>
          <w:tcPr>
            <w:tcW w:w="350" w:type="pct"/>
            <w:vMerge w:val="restart"/>
            <w:noWrap w:val="0"/>
            <w:vAlign w:val="center"/>
          </w:tcPr>
          <w:p w14:paraId="1B7A30AE">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排放口</w:t>
            </w:r>
          </w:p>
          <w:p w14:paraId="418933AF">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名称</w:t>
            </w:r>
          </w:p>
        </w:tc>
        <w:tc>
          <w:tcPr>
            <w:tcW w:w="381" w:type="pct"/>
            <w:vMerge w:val="restart"/>
            <w:noWrap w:val="0"/>
            <w:vAlign w:val="center"/>
          </w:tcPr>
          <w:p w14:paraId="553A565B">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污染物</w:t>
            </w:r>
          </w:p>
          <w:p w14:paraId="67A20F14">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种类</w:t>
            </w:r>
          </w:p>
        </w:tc>
        <w:tc>
          <w:tcPr>
            <w:tcW w:w="590" w:type="pct"/>
            <w:gridSpan w:val="2"/>
            <w:noWrap w:val="0"/>
            <w:vAlign w:val="center"/>
          </w:tcPr>
          <w:p w14:paraId="11868864">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排放口地理坐标</w:t>
            </w:r>
          </w:p>
        </w:tc>
        <w:tc>
          <w:tcPr>
            <w:tcW w:w="1048" w:type="pct"/>
            <w:gridSpan w:val="4"/>
            <w:noWrap w:val="0"/>
            <w:vAlign w:val="center"/>
          </w:tcPr>
          <w:p w14:paraId="18DF721D">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排气筒参数</w:t>
            </w:r>
          </w:p>
        </w:tc>
        <w:tc>
          <w:tcPr>
            <w:tcW w:w="1406" w:type="pct"/>
            <w:gridSpan w:val="3"/>
            <w:noWrap w:val="0"/>
            <w:vAlign w:val="center"/>
          </w:tcPr>
          <w:p w14:paraId="33F63E85">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国家或地方污染物排放标准</w:t>
            </w:r>
          </w:p>
        </w:tc>
        <w:tc>
          <w:tcPr>
            <w:tcW w:w="214" w:type="pct"/>
            <w:vMerge w:val="restart"/>
            <w:noWrap w:val="0"/>
            <w:vAlign w:val="center"/>
          </w:tcPr>
          <w:p w14:paraId="786DBCE0">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年许可排放量（t/a）</w:t>
            </w:r>
          </w:p>
        </w:tc>
        <w:tc>
          <w:tcPr>
            <w:tcW w:w="193" w:type="pct"/>
            <w:vMerge w:val="restart"/>
            <w:noWrap w:val="0"/>
            <w:vAlign w:val="center"/>
          </w:tcPr>
          <w:p w14:paraId="7946A473">
            <w:pPr>
              <w:keepNext w:val="0"/>
              <w:keepLines w:val="0"/>
              <w:suppressLineNumbers w:val="0"/>
              <w:tabs>
                <w:tab w:val="left" w:pos="1890"/>
              </w:tabs>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申请特殊排放浓度限值</w:t>
            </w:r>
          </w:p>
        </w:tc>
        <w:tc>
          <w:tcPr>
            <w:tcW w:w="271" w:type="pct"/>
            <w:vMerge w:val="restart"/>
            <w:noWrap w:val="0"/>
            <w:vAlign w:val="center"/>
          </w:tcPr>
          <w:p w14:paraId="7D6DDEC0">
            <w:pPr>
              <w:keepNext w:val="0"/>
              <w:keepLines w:val="0"/>
              <w:suppressLineNumbers w:val="0"/>
              <w:tabs>
                <w:tab w:val="left" w:pos="1890"/>
              </w:tabs>
              <w:spacing w:before="0" w:beforeAutospacing="0" w:after="0" w:afterAutospacing="0"/>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申请特殊排放许可排放量限值</w:t>
            </w:r>
          </w:p>
        </w:tc>
        <w:tc>
          <w:tcPr>
            <w:tcW w:w="110" w:type="pct"/>
            <w:vMerge w:val="restart"/>
            <w:noWrap w:val="0"/>
            <w:vAlign w:val="center"/>
          </w:tcPr>
          <w:p w14:paraId="5263985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备注</w:t>
            </w:r>
          </w:p>
        </w:tc>
      </w:tr>
      <w:tr w14:paraId="7F9967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144" w:type="pct"/>
            <w:vMerge w:val="continue"/>
            <w:noWrap w:val="0"/>
            <w:vAlign w:val="center"/>
          </w:tcPr>
          <w:p w14:paraId="297BCB16">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285" w:type="pct"/>
            <w:vMerge w:val="continue"/>
            <w:noWrap w:val="0"/>
            <w:vAlign w:val="center"/>
          </w:tcPr>
          <w:p w14:paraId="62A41A31">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350" w:type="pct"/>
            <w:vMerge w:val="continue"/>
            <w:noWrap w:val="0"/>
            <w:vAlign w:val="center"/>
          </w:tcPr>
          <w:p w14:paraId="6B859F49">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381" w:type="pct"/>
            <w:vMerge w:val="continue"/>
            <w:noWrap w:val="0"/>
            <w:vAlign w:val="center"/>
          </w:tcPr>
          <w:p w14:paraId="53261A9D">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267" w:type="pct"/>
            <w:noWrap w:val="0"/>
            <w:vAlign w:val="center"/>
          </w:tcPr>
          <w:p w14:paraId="21FB58B0">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lang w:val="en-US" w:eastAsia="zh-CN"/>
              </w:rPr>
            </w:pPr>
            <w:r>
              <w:rPr>
                <w:rFonts w:hint="default" w:ascii="Times New Roman" w:hAnsi="Times New Roman" w:eastAsia="宋体" w:cs="Times New Roman"/>
                <w:b/>
                <w:color w:val="auto"/>
                <w:sz w:val="21"/>
                <w:szCs w:val="21"/>
              </w:rPr>
              <w:t>经度</w:t>
            </w:r>
          </w:p>
        </w:tc>
        <w:tc>
          <w:tcPr>
            <w:tcW w:w="323" w:type="pct"/>
            <w:noWrap w:val="0"/>
            <w:vAlign w:val="center"/>
          </w:tcPr>
          <w:p w14:paraId="01DD92AD">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纬度</w:t>
            </w:r>
          </w:p>
        </w:tc>
        <w:tc>
          <w:tcPr>
            <w:tcW w:w="256" w:type="pct"/>
            <w:noWrap w:val="0"/>
            <w:vAlign w:val="center"/>
          </w:tcPr>
          <w:p w14:paraId="13C50B01">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高度（m）</w:t>
            </w:r>
          </w:p>
        </w:tc>
        <w:tc>
          <w:tcPr>
            <w:tcW w:w="249" w:type="pct"/>
            <w:noWrap w:val="0"/>
            <w:vAlign w:val="center"/>
          </w:tcPr>
          <w:p w14:paraId="4384CB96">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出口</w:t>
            </w:r>
          </w:p>
          <w:p w14:paraId="05F08F6B">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内径</w:t>
            </w:r>
          </w:p>
          <w:p w14:paraId="6D4371CA">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（m）</w:t>
            </w:r>
          </w:p>
        </w:tc>
        <w:tc>
          <w:tcPr>
            <w:tcW w:w="260" w:type="pct"/>
            <w:noWrap w:val="0"/>
            <w:vAlign w:val="center"/>
          </w:tcPr>
          <w:p w14:paraId="78820F26">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排气</w:t>
            </w:r>
          </w:p>
          <w:p w14:paraId="304B314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温度</w:t>
            </w:r>
          </w:p>
          <w:p w14:paraId="545CEC3F">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w:t>
            </w:r>
          </w:p>
        </w:tc>
        <w:tc>
          <w:tcPr>
            <w:tcW w:w="281" w:type="pct"/>
            <w:noWrap w:val="0"/>
            <w:vAlign w:val="center"/>
          </w:tcPr>
          <w:p w14:paraId="0E158E6F">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排气量(m</w:t>
            </w:r>
            <w:r>
              <w:rPr>
                <w:rFonts w:hint="default" w:ascii="Times New Roman" w:hAnsi="Times New Roman" w:eastAsia="宋体" w:cs="Times New Roman"/>
                <w:b/>
                <w:color w:val="auto"/>
                <w:sz w:val="21"/>
                <w:szCs w:val="21"/>
                <w:vertAlign w:val="superscript"/>
              </w:rPr>
              <w:t>3</w:t>
            </w:r>
            <w:r>
              <w:rPr>
                <w:rFonts w:hint="default" w:ascii="Times New Roman" w:hAnsi="Times New Roman" w:eastAsia="宋体" w:cs="Times New Roman"/>
                <w:b/>
                <w:color w:val="auto"/>
                <w:sz w:val="21"/>
                <w:szCs w:val="21"/>
              </w:rPr>
              <w:t>/h)</w:t>
            </w:r>
          </w:p>
        </w:tc>
        <w:tc>
          <w:tcPr>
            <w:tcW w:w="977" w:type="pct"/>
            <w:noWrap w:val="0"/>
            <w:vAlign w:val="center"/>
          </w:tcPr>
          <w:p w14:paraId="51C965BE">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标准名称</w:t>
            </w:r>
          </w:p>
        </w:tc>
        <w:tc>
          <w:tcPr>
            <w:tcW w:w="200" w:type="pct"/>
            <w:noWrap w:val="0"/>
            <w:vAlign w:val="center"/>
          </w:tcPr>
          <w:p w14:paraId="47D880F7">
            <w:pPr>
              <w:keepNext w:val="0"/>
              <w:keepLines w:val="0"/>
              <w:pageBreakBefore w:val="0"/>
              <w:widowControl w:val="0"/>
              <w:suppressLineNumbers w:val="0"/>
              <w:tabs>
                <w:tab w:val="left" w:pos="1890"/>
              </w:tabs>
              <w:kinsoku/>
              <w:wordWrap/>
              <w:overflowPunct/>
              <w:topLinePunct w:val="0"/>
              <w:autoSpaceDE/>
              <w:autoSpaceDN/>
              <w:bidi w:val="0"/>
              <w:adjustRightInd/>
              <w:snapToGrid/>
              <w:spacing w:before="0" w:beforeAutospacing="0" w:after="0" w:afterAutospacing="0"/>
              <w:ind w:left="-63" w:leftChars="-30" w:right="-63" w:rightChars="-3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浓度</w:t>
            </w:r>
          </w:p>
          <w:p w14:paraId="39D1D6E1">
            <w:pPr>
              <w:keepNext w:val="0"/>
              <w:keepLines w:val="0"/>
              <w:pageBreakBefore w:val="0"/>
              <w:widowControl w:val="0"/>
              <w:suppressLineNumbers w:val="0"/>
              <w:tabs>
                <w:tab w:val="left" w:pos="1890"/>
              </w:tabs>
              <w:kinsoku/>
              <w:wordWrap/>
              <w:overflowPunct/>
              <w:topLinePunct w:val="0"/>
              <w:autoSpaceDE/>
              <w:autoSpaceDN/>
              <w:bidi w:val="0"/>
              <w:adjustRightInd/>
              <w:snapToGrid/>
              <w:spacing w:before="0" w:beforeAutospacing="0" w:after="0" w:afterAutospacing="0"/>
              <w:ind w:left="-63" w:leftChars="-30" w:right="-63" w:rightChars="-3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限值(mg/m</w:t>
            </w:r>
            <w:r>
              <w:rPr>
                <w:rFonts w:hint="default" w:ascii="Times New Roman" w:hAnsi="Times New Roman" w:eastAsia="宋体" w:cs="Times New Roman"/>
                <w:b/>
                <w:color w:val="auto"/>
                <w:sz w:val="21"/>
                <w:szCs w:val="21"/>
                <w:vertAlign w:val="superscript"/>
              </w:rPr>
              <w:t>3</w:t>
            </w:r>
            <w:r>
              <w:rPr>
                <w:rFonts w:hint="default" w:ascii="Times New Roman" w:hAnsi="Times New Roman" w:eastAsia="宋体" w:cs="Times New Roman"/>
                <w:b/>
                <w:color w:val="auto"/>
                <w:sz w:val="21"/>
                <w:szCs w:val="21"/>
              </w:rPr>
              <w:t>)</w:t>
            </w:r>
          </w:p>
        </w:tc>
        <w:tc>
          <w:tcPr>
            <w:tcW w:w="228" w:type="pct"/>
            <w:tcBorders>
              <w:bottom w:val="single" w:color="auto" w:sz="4" w:space="0"/>
            </w:tcBorders>
            <w:noWrap w:val="0"/>
            <w:vAlign w:val="center"/>
          </w:tcPr>
          <w:p w14:paraId="7BAF73CC">
            <w:pPr>
              <w:keepNext w:val="0"/>
              <w:keepLines w:val="0"/>
              <w:pageBreakBefore w:val="0"/>
              <w:widowControl w:val="0"/>
              <w:suppressLineNumbers w:val="0"/>
              <w:tabs>
                <w:tab w:val="left" w:pos="1890"/>
              </w:tabs>
              <w:kinsoku/>
              <w:wordWrap/>
              <w:overflowPunct/>
              <w:topLinePunct w:val="0"/>
              <w:autoSpaceDE/>
              <w:autoSpaceDN/>
              <w:bidi w:val="0"/>
              <w:adjustRightInd/>
              <w:snapToGrid/>
              <w:spacing w:before="0" w:beforeAutospacing="0" w:after="0" w:afterAutospacing="0"/>
              <w:ind w:left="-63" w:leftChars="-30" w:right="-63" w:rightChars="-3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bCs/>
                <w:color w:val="auto"/>
                <w:kern w:val="2"/>
                <w:sz w:val="21"/>
                <w:szCs w:val="21"/>
                <w:lang w:val="en-US" w:eastAsia="zh-CN" w:bidi="ar-SA"/>
              </w:rPr>
              <w:t>严格50%</w:t>
            </w:r>
            <w:r>
              <w:rPr>
                <w:rFonts w:hint="default" w:ascii="Times New Roman" w:hAnsi="Times New Roman" w:eastAsia="宋体" w:cs="Times New Roman"/>
                <w:b/>
                <w:bCs/>
                <w:color w:val="auto"/>
                <w:sz w:val="21"/>
                <w:szCs w:val="21"/>
              </w:rPr>
              <w:t>排放速率</w:t>
            </w:r>
            <w:r>
              <w:rPr>
                <w:rFonts w:hint="default" w:ascii="Times New Roman" w:hAnsi="Times New Roman" w:eastAsia="宋体" w:cs="Times New Roman"/>
                <w:b/>
                <w:color w:val="auto"/>
                <w:sz w:val="21"/>
                <w:szCs w:val="21"/>
              </w:rPr>
              <w:t>(</w:t>
            </w:r>
            <w:r>
              <w:rPr>
                <w:rFonts w:hint="default" w:ascii="Times New Roman" w:hAnsi="Times New Roman" w:eastAsia="宋体" w:cs="Times New Roman"/>
                <w:b/>
                <w:bCs/>
                <w:color w:val="auto"/>
                <w:sz w:val="21"/>
                <w:szCs w:val="21"/>
              </w:rPr>
              <w:t>kg/h</w:t>
            </w:r>
            <w:r>
              <w:rPr>
                <w:rFonts w:hint="default" w:ascii="Times New Roman" w:hAnsi="Times New Roman" w:eastAsia="宋体" w:cs="Times New Roman"/>
                <w:b/>
                <w:color w:val="auto"/>
                <w:sz w:val="21"/>
                <w:szCs w:val="21"/>
              </w:rPr>
              <w:t>)</w:t>
            </w:r>
          </w:p>
        </w:tc>
        <w:tc>
          <w:tcPr>
            <w:tcW w:w="214" w:type="pct"/>
            <w:vMerge w:val="continue"/>
            <w:tcBorders>
              <w:bottom w:val="single" w:color="auto" w:sz="4" w:space="0"/>
            </w:tcBorders>
            <w:noWrap w:val="0"/>
            <w:vAlign w:val="center"/>
          </w:tcPr>
          <w:p w14:paraId="5FE83AD9">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193" w:type="pct"/>
            <w:vMerge w:val="continue"/>
            <w:noWrap w:val="0"/>
            <w:vAlign w:val="center"/>
          </w:tcPr>
          <w:p w14:paraId="4519FF3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271" w:type="pct"/>
            <w:vMerge w:val="continue"/>
            <w:noWrap w:val="0"/>
            <w:vAlign w:val="center"/>
          </w:tcPr>
          <w:p w14:paraId="7D2F177E">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110" w:type="pct"/>
            <w:vMerge w:val="continue"/>
            <w:noWrap w:val="0"/>
            <w:vAlign w:val="center"/>
          </w:tcPr>
          <w:p w14:paraId="4520627E">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r>
      <w:tr w14:paraId="77CBC5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144" w:type="pct"/>
            <w:vMerge w:val="restart"/>
            <w:noWrap w:val="0"/>
            <w:vAlign w:val="center"/>
          </w:tcPr>
          <w:p w14:paraId="1B9BDEC8">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285" w:type="pct"/>
            <w:vMerge w:val="restart"/>
            <w:noWrap w:val="0"/>
            <w:vAlign w:val="center"/>
          </w:tcPr>
          <w:p w14:paraId="52BE6EA6">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DA001</w:t>
            </w:r>
          </w:p>
        </w:tc>
        <w:tc>
          <w:tcPr>
            <w:tcW w:w="350" w:type="pct"/>
            <w:vMerge w:val="restart"/>
            <w:noWrap w:val="0"/>
            <w:vAlign w:val="center"/>
          </w:tcPr>
          <w:p w14:paraId="29ABE8AD">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lang w:val="en-US"/>
              </w:rPr>
            </w:pPr>
            <w:r>
              <w:rPr>
                <w:rFonts w:hint="eastAsia" w:ascii="Times New Roman" w:hAnsi="Times New Roman" w:cs="Times New Roman"/>
                <w:color w:val="auto"/>
                <w:sz w:val="21"/>
                <w:szCs w:val="21"/>
                <w:lang w:val="en-US" w:eastAsia="zh-CN"/>
              </w:rPr>
              <w:t>箱式渗碳、淬火回火废气排放口</w:t>
            </w:r>
          </w:p>
        </w:tc>
        <w:tc>
          <w:tcPr>
            <w:tcW w:w="381" w:type="pct"/>
            <w:tcBorders>
              <w:bottom w:val="single" w:color="auto" w:sz="4" w:space="0"/>
            </w:tcBorders>
            <w:noWrap w:val="0"/>
            <w:vAlign w:val="center"/>
          </w:tcPr>
          <w:p w14:paraId="14CDD483">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颗粒物</w:t>
            </w:r>
          </w:p>
        </w:tc>
        <w:tc>
          <w:tcPr>
            <w:tcW w:w="267" w:type="pct"/>
            <w:vMerge w:val="restart"/>
            <w:noWrap w:val="0"/>
            <w:vAlign w:val="center"/>
          </w:tcPr>
          <w:p w14:paraId="56C9C957">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Times New Roman" w:cs="Times New Roman"/>
                <w:color w:val="auto"/>
                <w:sz w:val="21"/>
                <w:szCs w:val="21"/>
                <w:lang w:val="en-US" w:eastAsia="zh-CN"/>
              </w:rPr>
              <w:t>117.090318617</w:t>
            </w:r>
            <w:r>
              <w:rPr>
                <w:rFonts w:hint="default" w:ascii="Times New Roman" w:hAnsi="Times New Roman" w:eastAsia="宋体" w:cs="Times New Roman"/>
                <w:color w:val="auto"/>
                <w:sz w:val="21"/>
                <w:szCs w:val="21"/>
              </w:rPr>
              <w:t>°</w:t>
            </w:r>
          </w:p>
        </w:tc>
        <w:tc>
          <w:tcPr>
            <w:tcW w:w="323" w:type="pct"/>
            <w:vMerge w:val="restart"/>
            <w:noWrap w:val="0"/>
            <w:vAlign w:val="center"/>
          </w:tcPr>
          <w:p w14:paraId="344397AB">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Times New Roman" w:cs="Times New Roman"/>
                <w:color w:val="auto"/>
                <w:sz w:val="21"/>
                <w:szCs w:val="21"/>
                <w:lang w:val="en-US" w:eastAsia="zh-CN"/>
              </w:rPr>
              <w:t>32.652171391</w:t>
            </w:r>
            <w:r>
              <w:rPr>
                <w:rFonts w:hint="default" w:ascii="Times New Roman" w:hAnsi="Times New Roman" w:eastAsia="宋体" w:cs="Times New Roman"/>
                <w:color w:val="auto"/>
                <w:sz w:val="21"/>
                <w:szCs w:val="21"/>
              </w:rPr>
              <w:t>°</w:t>
            </w:r>
          </w:p>
        </w:tc>
        <w:tc>
          <w:tcPr>
            <w:tcW w:w="256" w:type="pct"/>
            <w:vMerge w:val="restart"/>
            <w:noWrap w:val="0"/>
            <w:vAlign w:val="center"/>
          </w:tcPr>
          <w:p w14:paraId="3A37515A">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rPr>
            </w:pPr>
            <w:r>
              <w:rPr>
                <w:rFonts w:hint="eastAsia" w:ascii="Times New Roman" w:hAnsi="Times New Roman" w:cs="Times New Roman"/>
                <w:color w:val="auto"/>
                <w:sz w:val="21"/>
                <w:szCs w:val="21"/>
                <w:lang w:val="en-US" w:eastAsia="zh-CN"/>
              </w:rPr>
              <w:t>15</w:t>
            </w:r>
          </w:p>
        </w:tc>
        <w:tc>
          <w:tcPr>
            <w:tcW w:w="249" w:type="pct"/>
            <w:vMerge w:val="restart"/>
            <w:noWrap w:val="0"/>
            <w:vAlign w:val="center"/>
          </w:tcPr>
          <w:p w14:paraId="20BE8618">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rPr>
            </w:pPr>
            <w:r>
              <w:rPr>
                <w:rFonts w:hint="eastAsia" w:ascii="Times New Roman" w:hAnsi="Times New Roman" w:cs="Times New Roman"/>
                <w:color w:val="auto"/>
                <w:sz w:val="21"/>
                <w:szCs w:val="21"/>
                <w:lang w:val="en-US" w:eastAsia="zh-CN"/>
              </w:rPr>
              <w:t>0.8</w:t>
            </w:r>
          </w:p>
        </w:tc>
        <w:tc>
          <w:tcPr>
            <w:tcW w:w="260" w:type="pct"/>
            <w:vMerge w:val="restart"/>
            <w:tcBorders>
              <w:top w:val="single" w:color="auto" w:sz="4" w:space="0"/>
            </w:tcBorders>
            <w:noWrap w:val="0"/>
            <w:vAlign w:val="center"/>
          </w:tcPr>
          <w:p w14:paraId="56E9E30B">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＜40</w:t>
            </w:r>
          </w:p>
        </w:tc>
        <w:tc>
          <w:tcPr>
            <w:tcW w:w="281" w:type="pct"/>
            <w:vMerge w:val="restart"/>
            <w:tcBorders>
              <w:top w:val="single" w:color="auto" w:sz="4" w:space="0"/>
            </w:tcBorders>
            <w:noWrap w:val="0"/>
            <w:vAlign w:val="center"/>
          </w:tcPr>
          <w:p w14:paraId="62405796">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lang w:val="en-US" w:eastAsia="zh-CN"/>
              </w:rPr>
              <w:t>18</w:t>
            </w:r>
            <w:r>
              <w:rPr>
                <w:rFonts w:hint="default" w:ascii="Times New Roman" w:hAnsi="Times New Roman" w:eastAsia="宋体" w:cs="Times New Roman"/>
                <w:color w:val="auto"/>
              </w:rPr>
              <w:t>000</w:t>
            </w:r>
          </w:p>
        </w:tc>
        <w:tc>
          <w:tcPr>
            <w:tcW w:w="977" w:type="pct"/>
            <w:vMerge w:val="restart"/>
            <w:noWrap w:val="0"/>
            <w:vAlign w:val="center"/>
          </w:tcPr>
          <w:p w14:paraId="1F86636A">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bCs/>
                <w:color w:val="auto"/>
                <w:kern w:val="0"/>
                <w:sz w:val="21"/>
                <w:szCs w:val="21"/>
                <w:highlight w:val="none"/>
                <w:lang w:eastAsia="zh-CN"/>
              </w:rPr>
              <w:t>《大</w:t>
            </w:r>
            <w:r>
              <w:rPr>
                <w:rFonts w:hint="eastAsia" w:ascii="Times New Roman" w:hAnsi="Times New Roman" w:eastAsia="宋体" w:cs="Times New Roman"/>
                <w:bCs/>
                <w:color w:val="auto"/>
                <w:kern w:val="0"/>
                <w:sz w:val="21"/>
                <w:szCs w:val="21"/>
                <w:highlight w:val="none"/>
                <w:lang w:val="en-US" w:eastAsia="zh-CN"/>
              </w:rPr>
              <w:t>气污染物综合排放标准》（GB16297-1996）</w:t>
            </w:r>
          </w:p>
        </w:tc>
        <w:tc>
          <w:tcPr>
            <w:tcW w:w="200" w:type="pct"/>
            <w:tcBorders>
              <w:top w:val="single" w:color="auto" w:sz="4" w:space="0"/>
              <w:bottom w:val="single" w:color="auto" w:sz="4" w:space="0"/>
            </w:tcBorders>
            <w:noWrap w:val="0"/>
            <w:vAlign w:val="center"/>
          </w:tcPr>
          <w:p w14:paraId="30E8CB83">
            <w:pPr>
              <w:keepNext w:val="0"/>
              <w:keepLines w:val="0"/>
              <w:suppressLineNumbers w:val="0"/>
              <w:autoSpaceDN w:val="0"/>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120</w:t>
            </w:r>
          </w:p>
        </w:tc>
        <w:tc>
          <w:tcPr>
            <w:tcW w:w="228" w:type="pct"/>
            <w:tcBorders>
              <w:top w:val="single" w:color="auto" w:sz="4" w:space="0"/>
              <w:bottom w:val="single" w:color="auto" w:sz="4" w:space="0"/>
            </w:tcBorders>
            <w:noWrap w:val="0"/>
            <w:vAlign w:val="center"/>
          </w:tcPr>
          <w:p w14:paraId="7D88C0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Cs w:val="21"/>
                <w:lang w:val="en-US" w:eastAsia="zh-CN"/>
              </w:rPr>
              <w:t>1.75</w:t>
            </w:r>
          </w:p>
        </w:tc>
        <w:tc>
          <w:tcPr>
            <w:tcW w:w="214" w:type="pct"/>
            <w:vMerge w:val="restart"/>
            <w:tcBorders>
              <w:top w:val="single" w:color="auto" w:sz="4" w:space="0"/>
            </w:tcBorders>
            <w:noWrap w:val="0"/>
            <w:vAlign w:val="center"/>
          </w:tcPr>
          <w:p w14:paraId="656B06CD">
            <w:pPr>
              <w:pStyle w:val="217"/>
              <w:keepNext w:val="0"/>
              <w:keepLines w:val="0"/>
              <w:suppressLineNumbers w:val="0"/>
              <w:spacing w:before="0" w:beforeAutospacing="0" w:after="0" w:afterAutospacing="0" w:line="240" w:lineRule="auto"/>
              <w:ind w:left="-105" w:leftChars="-50" w:right="-105" w:rightChars="-5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93" w:type="pct"/>
            <w:vMerge w:val="restart"/>
            <w:noWrap w:val="0"/>
            <w:vAlign w:val="center"/>
          </w:tcPr>
          <w:p w14:paraId="3CCD6FFC">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271" w:type="pct"/>
            <w:vMerge w:val="restart"/>
            <w:noWrap w:val="0"/>
            <w:vAlign w:val="center"/>
          </w:tcPr>
          <w:p w14:paraId="275CECD2">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10" w:type="pct"/>
            <w:vMerge w:val="restart"/>
            <w:noWrap w:val="0"/>
            <w:vAlign w:val="center"/>
          </w:tcPr>
          <w:p w14:paraId="54C62790">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0115D1D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 w:type="pct"/>
            <w:vMerge w:val="continue"/>
            <w:noWrap w:val="0"/>
            <w:vAlign w:val="center"/>
          </w:tcPr>
          <w:p w14:paraId="3935657B">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sz w:val="21"/>
                <w:szCs w:val="21"/>
              </w:rPr>
            </w:pPr>
          </w:p>
        </w:tc>
        <w:tc>
          <w:tcPr>
            <w:tcW w:w="285" w:type="pct"/>
            <w:vMerge w:val="continue"/>
            <w:noWrap w:val="0"/>
            <w:vAlign w:val="center"/>
          </w:tcPr>
          <w:p w14:paraId="4A7026B8">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sz w:val="21"/>
                <w:szCs w:val="21"/>
              </w:rPr>
            </w:pPr>
          </w:p>
        </w:tc>
        <w:tc>
          <w:tcPr>
            <w:tcW w:w="350" w:type="pct"/>
            <w:vMerge w:val="continue"/>
            <w:noWrap w:val="0"/>
            <w:vAlign w:val="center"/>
          </w:tcPr>
          <w:p w14:paraId="0DC9395F">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sz w:val="21"/>
                <w:szCs w:val="21"/>
              </w:rPr>
            </w:pPr>
          </w:p>
        </w:tc>
        <w:tc>
          <w:tcPr>
            <w:tcW w:w="381" w:type="pct"/>
            <w:tcBorders>
              <w:top w:val="single" w:color="auto" w:sz="4" w:space="0"/>
            </w:tcBorders>
            <w:noWrap w:val="0"/>
            <w:vAlign w:val="center"/>
          </w:tcPr>
          <w:p w14:paraId="16C9D1C7">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Times New Roman" w:cs="Times New Roman"/>
                <w:color w:val="auto"/>
                <w:sz w:val="21"/>
                <w:szCs w:val="21"/>
                <w:lang w:val="en-US" w:eastAsia="zh-CN"/>
              </w:rPr>
              <w:t>非甲烷总烃</w:t>
            </w:r>
          </w:p>
        </w:tc>
        <w:tc>
          <w:tcPr>
            <w:tcW w:w="267" w:type="pct"/>
            <w:vMerge w:val="continue"/>
            <w:noWrap w:val="0"/>
            <w:vAlign w:val="center"/>
          </w:tcPr>
          <w:p w14:paraId="043D66E8">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323" w:type="pct"/>
            <w:vMerge w:val="continue"/>
            <w:noWrap w:val="0"/>
            <w:vAlign w:val="center"/>
          </w:tcPr>
          <w:p w14:paraId="03213F6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56" w:type="pct"/>
            <w:vMerge w:val="continue"/>
            <w:noWrap w:val="0"/>
            <w:vAlign w:val="center"/>
          </w:tcPr>
          <w:p w14:paraId="0370905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lang w:val="en-US" w:eastAsia="zh-CN"/>
              </w:rPr>
            </w:pPr>
          </w:p>
        </w:tc>
        <w:tc>
          <w:tcPr>
            <w:tcW w:w="249" w:type="pct"/>
            <w:vMerge w:val="continue"/>
            <w:noWrap w:val="0"/>
            <w:vAlign w:val="center"/>
          </w:tcPr>
          <w:p w14:paraId="2C810A8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lang w:val="en-US" w:eastAsia="zh-CN"/>
              </w:rPr>
            </w:pPr>
          </w:p>
        </w:tc>
        <w:tc>
          <w:tcPr>
            <w:tcW w:w="260" w:type="pct"/>
            <w:vMerge w:val="continue"/>
            <w:tcBorders>
              <w:bottom w:val="single" w:color="auto" w:sz="4" w:space="0"/>
            </w:tcBorders>
            <w:noWrap w:val="0"/>
            <w:vAlign w:val="center"/>
          </w:tcPr>
          <w:p w14:paraId="010F967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bidi="ar"/>
              </w:rPr>
            </w:pPr>
          </w:p>
        </w:tc>
        <w:tc>
          <w:tcPr>
            <w:tcW w:w="281" w:type="pct"/>
            <w:vMerge w:val="continue"/>
            <w:tcBorders>
              <w:bottom w:val="single" w:color="auto" w:sz="4" w:space="0"/>
            </w:tcBorders>
            <w:noWrap w:val="0"/>
            <w:vAlign w:val="center"/>
          </w:tcPr>
          <w:p w14:paraId="2926ADD4">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sz w:val="21"/>
                <w:szCs w:val="21"/>
                <w:lang w:val="en-US" w:eastAsia="zh-CN"/>
              </w:rPr>
            </w:pPr>
          </w:p>
        </w:tc>
        <w:tc>
          <w:tcPr>
            <w:tcW w:w="977" w:type="pct"/>
            <w:vMerge w:val="continue"/>
            <w:tcBorders>
              <w:bottom w:val="single" w:color="auto" w:sz="4" w:space="0"/>
            </w:tcBorders>
            <w:noWrap w:val="0"/>
            <w:vAlign w:val="center"/>
          </w:tcPr>
          <w:p w14:paraId="3C6225E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lang w:val="zh-CN"/>
              </w:rPr>
            </w:pPr>
          </w:p>
        </w:tc>
        <w:tc>
          <w:tcPr>
            <w:tcW w:w="200" w:type="pct"/>
            <w:tcBorders>
              <w:top w:val="single" w:color="auto" w:sz="4" w:space="0"/>
              <w:bottom w:val="single" w:color="auto" w:sz="4" w:space="0"/>
            </w:tcBorders>
            <w:noWrap w:val="0"/>
            <w:vAlign w:val="center"/>
          </w:tcPr>
          <w:p w14:paraId="289502A9">
            <w:pPr>
              <w:keepNext w:val="0"/>
              <w:keepLines w:val="0"/>
              <w:suppressLineNumbers w:val="0"/>
              <w:autoSpaceDN w:val="0"/>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120</w:t>
            </w:r>
          </w:p>
        </w:tc>
        <w:tc>
          <w:tcPr>
            <w:tcW w:w="228" w:type="pct"/>
            <w:tcBorders>
              <w:top w:val="single" w:color="auto" w:sz="4" w:space="0"/>
              <w:bottom w:val="single" w:color="auto" w:sz="4" w:space="0"/>
            </w:tcBorders>
            <w:noWrap w:val="0"/>
            <w:vAlign w:val="center"/>
          </w:tcPr>
          <w:p w14:paraId="412B84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cs="Times New Roman"/>
                <w:color w:val="auto"/>
                <w:szCs w:val="21"/>
                <w:lang w:val="en-US" w:eastAsia="zh-CN"/>
              </w:rPr>
              <w:t>5</w:t>
            </w:r>
          </w:p>
        </w:tc>
        <w:tc>
          <w:tcPr>
            <w:tcW w:w="214" w:type="pct"/>
            <w:vMerge w:val="continue"/>
            <w:tcBorders>
              <w:bottom w:val="single" w:color="auto" w:sz="4" w:space="0"/>
            </w:tcBorders>
            <w:noWrap w:val="0"/>
            <w:vAlign w:val="center"/>
          </w:tcPr>
          <w:p w14:paraId="349339E1">
            <w:pPr>
              <w:pStyle w:val="217"/>
              <w:keepNext w:val="0"/>
              <w:keepLines w:val="0"/>
              <w:suppressLineNumbers w:val="0"/>
              <w:spacing w:before="0" w:beforeAutospacing="0" w:after="0" w:afterAutospacing="0" w:line="240" w:lineRule="auto"/>
              <w:ind w:left="-105" w:leftChars="-50" w:right="-105" w:rightChars="-50"/>
              <w:rPr>
                <w:rFonts w:hint="default" w:ascii="Times New Roman" w:hAnsi="Times New Roman" w:eastAsia="宋体" w:cs="Times New Roman"/>
                <w:color w:val="auto"/>
                <w:sz w:val="21"/>
                <w:szCs w:val="21"/>
              </w:rPr>
            </w:pPr>
          </w:p>
        </w:tc>
        <w:tc>
          <w:tcPr>
            <w:tcW w:w="193" w:type="pct"/>
            <w:vMerge w:val="continue"/>
            <w:noWrap w:val="0"/>
            <w:vAlign w:val="center"/>
          </w:tcPr>
          <w:p w14:paraId="2FAA85BB">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p>
        </w:tc>
        <w:tc>
          <w:tcPr>
            <w:tcW w:w="271" w:type="pct"/>
            <w:vMerge w:val="continue"/>
            <w:noWrap w:val="0"/>
            <w:vAlign w:val="center"/>
          </w:tcPr>
          <w:p w14:paraId="7FD17FF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p>
        </w:tc>
        <w:tc>
          <w:tcPr>
            <w:tcW w:w="110" w:type="pct"/>
            <w:vMerge w:val="continue"/>
            <w:noWrap w:val="0"/>
            <w:vAlign w:val="center"/>
          </w:tcPr>
          <w:p w14:paraId="77E65E06">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p>
        </w:tc>
      </w:tr>
      <w:tr w14:paraId="3B3862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144" w:type="pct"/>
            <w:vMerge w:val="restart"/>
            <w:noWrap w:val="0"/>
            <w:vAlign w:val="center"/>
          </w:tcPr>
          <w:p w14:paraId="3FC89B24">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w:t>
            </w:r>
          </w:p>
        </w:tc>
        <w:tc>
          <w:tcPr>
            <w:tcW w:w="285" w:type="pct"/>
            <w:vMerge w:val="restart"/>
            <w:noWrap w:val="0"/>
            <w:vAlign w:val="center"/>
          </w:tcPr>
          <w:p w14:paraId="0EDCC7CE">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DA00</w:t>
            </w:r>
            <w:r>
              <w:rPr>
                <w:rFonts w:hint="default" w:ascii="Times New Roman" w:hAnsi="Times New Roman" w:eastAsia="宋体" w:cs="Times New Roman"/>
                <w:color w:val="auto"/>
                <w:sz w:val="21"/>
                <w:szCs w:val="21"/>
                <w:lang w:val="en-US" w:eastAsia="zh-CN"/>
              </w:rPr>
              <w:t>2</w:t>
            </w:r>
          </w:p>
        </w:tc>
        <w:tc>
          <w:tcPr>
            <w:tcW w:w="350" w:type="pct"/>
            <w:vMerge w:val="restart"/>
            <w:noWrap w:val="0"/>
            <w:vAlign w:val="center"/>
          </w:tcPr>
          <w:p w14:paraId="54FA42E5">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r>
              <w:rPr>
                <w:rFonts w:hint="eastAsia" w:ascii="Times New Roman" w:hAnsi="Times New Roman" w:cs="Times New Roman"/>
                <w:b w:val="0"/>
                <w:bCs/>
                <w:color w:val="auto"/>
                <w:sz w:val="21"/>
                <w:szCs w:val="21"/>
                <w:lang w:val="en-US" w:eastAsia="zh-CN"/>
              </w:rPr>
              <w:t>天然气燃烧废气</w:t>
            </w:r>
            <w:r>
              <w:rPr>
                <w:rFonts w:hint="eastAsia" w:ascii="Times New Roman" w:hAnsi="Times New Roman" w:cs="Times New Roman"/>
                <w:color w:val="auto"/>
                <w:sz w:val="21"/>
                <w:szCs w:val="21"/>
                <w:lang w:val="en-US" w:eastAsia="zh-CN"/>
              </w:rPr>
              <w:t>排放口</w:t>
            </w:r>
          </w:p>
        </w:tc>
        <w:tc>
          <w:tcPr>
            <w:tcW w:w="381" w:type="pct"/>
            <w:tcBorders>
              <w:bottom w:val="single" w:color="auto" w:sz="4" w:space="0"/>
            </w:tcBorders>
            <w:noWrap w:val="0"/>
            <w:vAlign w:val="center"/>
          </w:tcPr>
          <w:p w14:paraId="0AFE6028">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bCs/>
                <w:color w:val="auto"/>
                <w:sz w:val="21"/>
                <w:szCs w:val="21"/>
                <w:lang w:val="en-US" w:eastAsia="zh-CN"/>
              </w:rPr>
              <w:t>颗粒物</w:t>
            </w:r>
          </w:p>
        </w:tc>
        <w:tc>
          <w:tcPr>
            <w:tcW w:w="267" w:type="pct"/>
            <w:vMerge w:val="restart"/>
            <w:noWrap w:val="0"/>
            <w:vAlign w:val="center"/>
          </w:tcPr>
          <w:p w14:paraId="5CA81834">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pacing w:val="-10"/>
                <w:szCs w:val="21"/>
              </w:rPr>
              <w:t>117.090372261</w:t>
            </w:r>
            <w:r>
              <w:rPr>
                <w:rFonts w:hint="default" w:ascii="Times New Roman" w:hAnsi="Times New Roman" w:eastAsia="宋体" w:cs="Times New Roman"/>
                <w:color w:val="auto"/>
                <w:sz w:val="21"/>
                <w:szCs w:val="21"/>
              </w:rPr>
              <w:t>°</w:t>
            </w:r>
          </w:p>
        </w:tc>
        <w:tc>
          <w:tcPr>
            <w:tcW w:w="323" w:type="pct"/>
            <w:vMerge w:val="restart"/>
            <w:noWrap w:val="0"/>
            <w:vAlign w:val="center"/>
          </w:tcPr>
          <w:p w14:paraId="03B331ED">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pacing w:val="-10"/>
                <w:szCs w:val="21"/>
              </w:rPr>
              <w:t>32.651699322</w:t>
            </w:r>
            <w:r>
              <w:rPr>
                <w:rFonts w:hint="default" w:ascii="Times New Roman" w:hAnsi="Times New Roman" w:eastAsia="宋体" w:cs="Times New Roman"/>
                <w:color w:val="auto"/>
                <w:sz w:val="21"/>
                <w:szCs w:val="21"/>
              </w:rPr>
              <w:t>°</w:t>
            </w:r>
          </w:p>
        </w:tc>
        <w:tc>
          <w:tcPr>
            <w:tcW w:w="256" w:type="pct"/>
            <w:vMerge w:val="restart"/>
            <w:noWrap w:val="0"/>
            <w:vAlign w:val="center"/>
          </w:tcPr>
          <w:p w14:paraId="6B922CBF">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kern w:val="0"/>
                <w:sz w:val="21"/>
                <w:szCs w:val="21"/>
                <w:lang w:bidi="ar"/>
              </w:rPr>
            </w:pPr>
            <w:r>
              <w:rPr>
                <w:rFonts w:hint="eastAsia" w:ascii="Times New Roman" w:hAnsi="Times New Roman" w:cs="Times New Roman"/>
                <w:color w:val="auto"/>
                <w:sz w:val="21"/>
                <w:szCs w:val="21"/>
                <w:lang w:val="en-US" w:eastAsia="zh-CN"/>
              </w:rPr>
              <w:t>15</w:t>
            </w:r>
          </w:p>
        </w:tc>
        <w:tc>
          <w:tcPr>
            <w:tcW w:w="249" w:type="pct"/>
            <w:vMerge w:val="restart"/>
            <w:noWrap w:val="0"/>
            <w:vAlign w:val="center"/>
          </w:tcPr>
          <w:p w14:paraId="1A16EE1E">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kern w:val="0"/>
                <w:sz w:val="21"/>
                <w:szCs w:val="21"/>
                <w:lang w:bidi="ar"/>
              </w:rPr>
            </w:pPr>
            <w:r>
              <w:rPr>
                <w:rFonts w:hint="eastAsia" w:ascii="Times New Roman" w:hAnsi="Times New Roman" w:cs="Times New Roman"/>
                <w:color w:val="auto"/>
                <w:sz w:val="21"/>
                <w:szCs w:val="21"/>
                <w:lang w:val="en-US" w:eastAsia="zh-CN"/>
              </w:rPr>
              <w:t>0.3</w:t>
            </w:r>
          </w:p>
        </w:tc>
        <w:tc>
          <w:tcPr>
            <w:tcW w:w="260" w:type="pct"/>
            <w:vMerge w:val="restart"/>
            <w:tcBorders>
              <w:top w:val="single" w:color="auto" w:sz="4" w:space="0"/>
            </w:tcBorders>
            <w:noWrap w:val="0"/>
            <w:vAlign w:val="center"/>
          </w:tcPr>
          <w:p w14:paraId="3D1EA04E">
            <w:pPr>
              <w:pStyle w:val="183"/>
              <w:keepNext w:val="0"/>
              <w:keepLines w:val="0"/>
              <w:suppressLineNumbers w:val="0"/>
              <w:snapToGrid/>
              <w:spacing w:before="0" w:beforeAutospacing="0" w:after="0" w:afterAutospacing="0" w:line="240" w:lineRule="auto"/>
              <w:ind w:left="-63" w:leftChars="-30" w:right="-63" w:rightChars="-30"/>
              <w:jc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7</w:t>
            </w:r>
            <w:r>
              <w:rPr>
                <w:rFonts w:hint="default" w:ascii="Times New Roman" w:hAnsi="Times New Roman" w:eastAsia="宋体" w:cs="Times New Roman"/>
                <w:color w:val="auto"/>
                <w:sz w:val="21"/>
                <w:szCs w:val="21"/>
                <w:lang w:val="en-US" w:eastAsia="zh-CN"/>
              </w:rPr>
              <w:t>0</w:t>
            </w:r>
          </w:p>
        </w:tc>
        <w:tc>
          <w:tcPr>
            <w:tcW w:w="281" w:type="pct"/>
            <w:vMerge w:val="restart"/>
            <w:tcBorders>
              <w:top w:val="single" w:color="auto" w:sz="4" w:space="0"/>
            </w:tcBorders>
            <w:noWrap w:val="0"/>
            <w:vAlign w:val="center"/>
          </w:tcPr>
          <w:p w14:paraId="0BEF070A">
            <w:pPr>
              <w:pStyle w:val="217"/>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42" w:leftChars="-20" w:right="-42" w:rightChars="-20"/>
              <w:textAlignment w:val="auto"/>
              <w:rPr>
                <w:rFonts w:hint="default" w:ascii="Times New Roman" w:hAnsi="Times New Roman" w:eastAsia="宋体" w:cs="Times New Roman"/>
                <w:color w:val="auto"/>
                <w:kern w:val="0"/>
                <w:sz w:val="21"/>
                <w:szCs w:val="21"/>
                <w:lang w:bidi="ar"/>
              </w:rPr>
            </w:pPr>
            <w:r>
              <w:rPr>
                <w:rFonts w:hint="eastAsia" w:ascii="Times New Roman" w:hAnsi="Times New Roman" w:cs="Times New Roman"/>
                <w:b w:val="0"/>
                <w:bCs/>
                <w:color w:val="auto"/>
                <w:sz w:val="21"/>
                <w:szCs w:val="21"/>
                <w:lang w:val="en-US" w:eastAsia="zh-CN"/>
              </w:rPr>
              <w:t>489.6</w:t>
            </w:r>
          </w:p>
        </w:tc>
        <w:tc>
          <w:tcPr>
            <w:tcW w:w="977" w:type="pct"/>
            <w:vMerge w:val="restart"/>
            <w:tcBorders>
              <w:top w:val="single" w:color="auto" w:sz="4" w:space="0"/>
            </w:tcBorders>
            <w:noWrap w:val="0"/>
            <w:vAlign w:val="center"/>
          </w:tcPr>
          <w:p w14:paraId="13129C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rPr>
              <w:t>《关于印发&lt;工业炉窑大气污染综合治理方案&gt;的通知》（环大气[2019]56号）</w:t>
            </w:r>
          </w:p>
        </w:tc>
        <w:tc>
          <w:tcPr>
            <w:tcW w:w="200" w:type="pct"/>
            <w:tcBorders>
              <w:top w:val="single" w:color="auto" w:sz="4" w:space="0"/>
              <w:bottom w:val="single" w:color="auto" w:sz="4" w:space="0"/>
            </w:tcBorders>
            <w:noWrap w:val="0"/>
            <w:vAlign w:val="center"/>
          </w:tcPr>
          <w:p w14:paraId="5AF42798">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30</w:t>
            </w:r>
          </w:p>
        </w:tc>
        <w:tc>
          <w:tcPr>
            <w:tcW w:w="228" w:type="pct"/>
            <w:tcBorders>
              <w:top w:val="single" w:color="auto" w:sz="4" w:space="0"/>
              <w:bottom w:val="single" w:color="auto" w:sz="4" w:space="0"/>
            </w:tcBorders>
            <w:noWrap w:val="0"/>
            <w:vAlign w:val="center"/>
          </w:tcPr>
          <w:p w14:paraId="417FE54E">
            <w:pPr>
              <w:keepNext w:val="0"/>
              <w:keepLines w:val="0"/>
              <w:suppressLineNumbers w:val="0"/>
              <w:spacing w:before="0" w:beforeAutospacing="0" w:after="0" w:afterAutospacing="0" w:line="240" w:lineRule="auto"/>
              <w:ind w:left="-63" w:leftChars="-30" w:right="-63" w:rightChars="-30" w:firstLine="0" w:firstLineChars="0"/>
              <w:jc w:val="center"/>
              <w:rPr>
                <w:rFonts w:hint="default" w:ascii="Times New Roman" w:hAnsi="Times New Roman" w:eastAsia="宋体" w:cs="Times New Roman"/>
                <w:color w:val="auto"/>
                <w:sz w:val="21"/>
                <w:szCs w:val="21"/>
              </w:rPr>
            </w:pPr>
            <w:r>
              <w:rPr>
                <w:rFonts w:hint="eastAsia" w:ascii="Times New Roman" w:hAnsi="Times New Roman" w:cs="Times New Roman"/>
                <w:color w:val="auto"/>
                <w:sz w:val="21"/>
                <w:szCs w:val="21"/>
                <w:lang w:val="en-US" w:eastAsia="zh-CN"/>
              </w:rPr>
              <w:t>/</w:t>
            </w:r>
          </w:p>
        </w:tc>
        <w:tc>
          <w:tcPr>
            <w:tcW w:w="214" w:type="pct"/>
            <w:vMerge w:val="restart"/>
            <w:tcBorders>
              <w:top w:val="single" w:color="auto" w:sz="4" w:space="0"/>
            </w:tcBorders>
            <w:noWrap w:val="0"/>
            <w:vAlign w:val="center"/>
          </w:tcPr>
          <w:p w14:paraId="0776A34F">
            <w:pPr>
              <w:pStyle w:val="217"/>
              <w:keepNext w:val="0"/>
              <w:keepLines w:val="0"/>
              <w:suppressLineNumbers w:val="0"/>
              <w:spacing w:before="0" w:beforeAutospacing="0" w:after="0" w:afterAutospacing="0" w:line="240" w:lineRule="auto"/>
              <w:ind w:left="-105" w:leftChars="-50" w:right="-105" w:rightChars="-5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93" w:type="pct"/>
            <w:vMerge w:val="restart"/>
            <w:noWrap w:val="0"/>
            <w:vAlign w:val="center"/>
          </w:tcPr>
          <w:p w14:paraId="2AAA507D">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271" w:type="pct"/>
            <w:vMerge w:val="restart"/>
            <w:noWrap w:val="0"/>
            <w:vAlign w:val="center"/>
          </w:tcPr>
          <w:p w14:paraId="37899076">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10" w:type="pct"/>
            <w:vMerge w:val="restart"/>
            <w:noWrap w:val="0"/>
            <w:vAlign w:val="center"/>
          </w:tcPr>
          <w:p w14:paraId="23F22506">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5F62E4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57" w:hRule="atLeast"/>
          <w:jc w:val="center"/>
        </w:trPr>
        <w:tc>
          <w:tcPr>
            <w:tcW w:w="144" w:type="pct"/>
            <w:vMerge w:val="continue"/>
            <w:noWrap w:val="0"/>
            <w:vAlign w:val="center"/>
          </w:tcPr>
          <w:p w14:paraId="3AAB5266">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sz w:val="21"/>
                <w:szCs w:val="21"/>
                <w:lang w:val="en-US" w:eastAsia="zh-CN"/>
              </w:rPr>
            </w:pPr>
          </w:p>
        </w:tc>
        <w:tc>
          <w:tcPr>
            <w:tcW w:w="285" w:type="pct"/>
            <w:vMerge w:val="continue"/>
            <w:noWrap w:val="0"/>
            <w:vAlign w:val="center"/>
          </w:tcPr>
          <w:p w14:paraId="182F1662">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sz w:val="21"/>
                <w:szCs w:val="21"/>
              </w:rPr>
            </w:pPr>
          </w:p>
        </w:tc>
        <w:tc>
          <w:tcPr>
            <w:tcW w:w="350" w:type="pct"/>
            <w:vMerge w:val="continue"/>
            <w:noWrap w:val="0"/>
            <w:vAlign w:val="center"/>
          </w:tcPr>
          <w:p w14:paraId="1A4AD288">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val="0"/>
                <w:bCs/>
                <w:color w:val="auto"/>
                <w:sz w:val="21"/>
                <w:szCs w:val="21"/>
                <w:lang w:val="en-US" w:eastAsia="zh-CN"/>
              </w:rPr>
            </w:pPr>
          </w:p>
        </w:tc>
        <w:tc>
          <w:tcPr>
            <w:tcW w:w="381" w:type="pct"/>
            <w:tcBorders>
              <w:top w:val="single" w:color="auto" w:sz="4" w:space="0"/>
              <w:bottom w:val="single" w:color="auto" w:sz="4" w:space="0"/>
            </w:tcBorders>
            <w:noWrap w:val="0"/>
            <w:vAlign w:val="center"/>
          </w:tcPr>
          <w:p w14:paraId="747DA2FF">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Cs/>
                <w:color w:val="auto"/>
                <w:sz w:val="21"/>
                <w:szCs w:val="21"/>
                <w:lang w:val="en-US" w:eastAsia="zh-CN"/>
              </w:rPr>
              <w:t>二氧化硫</w:t>
            </w:r>
          </w:p>
        </w:tc>
        <w:tc>
          <w:tcPr>
            <w:tcW w:w="267" w:type="pct"/>
            <w:vMerge w:val="continue"/>
            <w:noWrap w:val="0"/>
            <w:vAlign w:val="center"/>
          </w:tcPr>
          <w:p w14:paraId="3B4BE78A">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323" w:type="pct"/>
            <w:vMerge w:val="continue"/>
            <w:noWrap w:val="0"/>
            <w:vAlign w:val="center"/>
          </w:tcPr>
          <w:p w14:paraId="47752AD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56" w:type="pct"/>
            <w:vMerge w:val="continue"/>
            <w:noWrap w:val="0"/>
            <w:vAlign w:val="center"/>
          </w:tcPr>
          <w:p w14:paraId="110C137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lang w:val="en-US" w:eastAsia="zh-CN"/>
              </w:rPr>
            </w:pPr>
          </w:p>
        </w:tc>
        <w:tc>
          <w:tcPr>
            <w:tcW w:w="249" w:type="pct"/>
            <w:vMerge w:val="continue"/>
            <w:noWrap w:val="0"/>
            <w:vAlign w:val="center"/>
          </w:tcPr>
          <w:p w14:paraId="01E8318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lang w:val="en-US" w:eastAsia="zh-CN"/>
              </w:rPr>
            </w:pPr>
          </w:p>
        </w:tc>
        <w:tc>
          <w:tcPr>
            <w:tcW w:w="260" w:type="pct"/>
            <w:vMerge w:val="continue"/>
            <w:noWrap w:val="0"/>
            <w:vAlign w:val="center"/>
          </w:tcPr>
          <w:p w14:paraId="0AECDF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eastAsia="zh-CN" w:bidi="ar"/>
              </w:rPr>
            </w:pPr>
          </w:p>
        </w:tc>
        <w:tc>
          <w:tcPr>
            <w:tcW w:w="281" w:type="pct"/>
            <w:vMerge w:val="continue"/>
            <w:noWrap w:val="0"/>
            <w:vAlign w:val="center"/>
          </w:tcPr>
          <w:p w14:paraId="36FA4045">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sz w:val="21"/>
                <w:szCs w:val="21"/>
                <w:lang w:val="en-US" w:eastAsia="zh-CN"/>
              </w:rPr>
            </w:pPr>
          </w:p>
        </w:tc>
        <w:tc>
          <w:tcPr>
            <w:tcW w:w="977" w:type="pct"/>
            <w:vMerge w:val="continue"/>
            <w:tcBorders>
              <w:bottom w:val="single" w:color="auto" w:sz="4" w:space="0"/>
            </w:tcBorders>
            <w:noWrap w:val="0"/>
            <w:vAlign w:val="center"/>
          </w:tcPr>
          <w:p w14:paraId="1725C32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p>
        </w:tc>
        <w:tc>
          <w:tcPr>
            <w:tcW w:w="200" w:type="pct"/>
            <w:tcBorders>
              <w:top w:val="single" w:color="auto" w:sz="4" w:space="0"/>
              <w:bottom w:val="single" w:color="auto" w:sz="4" w:space="0"/>
            </w:tcBorders>
            <w:noWrap w:val="0"/>
            <w:vAlign w:val="center"/>
          </w:tcPr>
          <w:p w14:paraId="174EB52C">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200</w:t>
            </w:r>
          </w:p>
        </w:tc>
        <w:tc>
          <w:tcPr>
            <w:tcW w:w="228" w:type="pct"/>
            <w:tcBorders>
              <w:top w:val="single" w:color="auto" w:sz="4" w:space="0"/>
              <w:bottom w:val="single" w:color="auto" w:sz="4" w:space="0"/>
            </w:tcBorders>
            <w:noWrap w:val="0"/>
            <w:vAlign w:val="center"/>
          </w:tcPr>
          <w:p w14:paraId="1B9D00A1">
            <w:pPr>
              <w:keepNext w:val="0"/>
              <w:keepLines w:val="0"/>
              <w:suppressLineNumbers w:val="0"/>
              <w:spacing w:before="0" w:beforeAutospacing="0" w:after="0" w:afterAutospacing="0" w:line="240" w:lineRule="auto"/>
              <w:ind w:left="-63" w:leftChars="-30" w:right="-63" w:rightChars="-30" w:firstLine="0" w:firstLineChars="0"/>
              <w:jc w:val="center"/>
              <w:rPr>
                <w:rFonts w:hint="default" w:ascii="Times New Roman" w:hAnsi="Times New Roman" w:eastAsia="宋体" w:cs="Times New Roman"/>
                <w:color w:val="auto"/>
                <w:sz w:val="21"/>
                <w:szCs w:val="21"/>
              </w:rPr>
            </w:pPr>
            <w:r>
              <w:rPr>
                <w:rFonts w:hint="eastAsia" w:ascii="Times New Roman" w:hAnsi="Times New Roman" w:cs="Times New Roman"/>
                <w:color w:val="auto"/>
                <w:sz w:val="21"/>
                <w:szCs w:val="21"/>
                <w:lang w:val="en-US" w:eastAsia="zh-CN"/>
              </w:rPr>
              <w:t>/</w:t>
            </w:r>
          </w:p>
        </w:tc>
        <w:tc>
          <w:tcPr>
            <w:tcW w:w="214" w:type="pct"/>
            <w:vMerge w:val="continue"/>
            <w:tcBorders>
              <w:bottom w:val="single" w:color="auto" w:sz="4" w:space="0"/>
            </w:tcBorders>
            <w:noWrap w:val="0"/>
            <w:vAlign w:val="center"/>
          </w:tcPr>
          <w:p w14:paraId="157ABB83">
            <w:pPr>
              <w:pStyle w:val="217"/>
              <w:keepNext w:val="0"/>
              <w:keepLines w:val="0"/>
              <w:suppressLineNumbers w:val="0"/>
              <w:spacing w:before="0" w:beforeAutospacing="0" w:after="0" w:afterAutospacing="0" w:line="240" w:lineRule="auto"/>
              <w:ind w:left="-105" w:leftChars="-50" w:right="-105" w:rightChars="-50"/>
              <w:rPr>
                <w:rFonts w:hint="default" w:ascii="Times New Roman" w:hAnsi="Times New Roman" w:eastAsia="宋体" w:cs="Times New Roman"/>
                <w:color w:val="auto"/>
                <w:sz w:val="21"/>
                <w:szCs w:val="21"/>
              </w:rPr>
            </w:pPr>
          </w:p>
        </w:tc>
        <w:tc>
          <w:tcPr>
            <w:tcW w:w="193" w:type="pct"/>
            <w:vMerge w:val="continue"/>
            <w:noWrap w:val="0"/>
            <w:vAlign w:val="center"/>
          </w:tcPr>
          <w:p w14:paraId="2BE0394F">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p>
        </w:tc>
        <w:tc>
          <w:tcPr>
            <w:tcW w:w="271" w:type="pct"/>
            <w:vMerge w:val="continue"/>
            <w:noWrap w:val="0"/>
            <w:vAlign w:val="center"/>
          </w:tcPr>
          <w:p w14:paraId="5179208E">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p>
        </w:tc>
        <w:tc>
          <w:tcPr>
            <w:tcW w:w="110" w:type="pct"/>
            <w:vMerge w:val="continue"/>
            <w:noWrap w:val="0"/>
            <w:vAlign w:val="center"/>
          </w:tcPr>
          <w:p w14:paraId="4FCD0312">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p>
        </w:tc>
      </w:tr>
      <w:tr w14:paraId="52DF30D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55" w:hRule="atLeast"/>
          <w:jc w:val="center"/>
        </w:trPr>
        <w:tc>
          <w:tcPr>
            <w:tcW w:w="144" w:type="pct"/>
            <w:vMerge w:val="continue"/>
            <w:noWrap w:val="0"/>
            <w:vAlign w:val="center"/>
          </w:tcPr>
          <w:p w14:paraId="6DDD435E">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sz w:val="21"/>
                <w:szCs w:val="21"/>
                <w:lang w:val="en-US" w:eastAsia="zh-CN"/>
              </w:rPr>
            </w:pPr>
          </w:p>
        </w:tc>
        <w:tc>
          <w:tcPr>
            <w:tcW w:w="285" w:type="pct"/>
            <w:vMerge w:val="continue"/>
            <w:noWrap w:val="0"/>
            <w:vAlign w:val="center"/>
          </w:tcPr>
          <w:p w14:paraId="44878548">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sz w:val="21"/>
                <w:szCs w:val="21"/>
              </w:rPr>
            </w:pPr>
          </w:p>
        </w:tc>
        <w:tc>
          <w:tcPr>
            <w:tcW w:w="350" w:type="pct"/>
            <w:vMerge w:val="continue"/>
            <w:noWrap w:val="0"/>
            <w:vAlign w:val="center"/>
          </w:tcPr>
          <w:p w14:paraId="01D673D8">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val="0"/>
                <w:bCs/>
                <w:color w:val="auto"/>
                <w:sz w:val="21"/>
                <w:szCs w:val="21"/>
                <w:lang w:val="en-US" w:eastAsia="zh-CN"/>
              </w:rPr>
            </w:pPr>
          </w:p>
        </w:tc>
        <w:tc>
          <w:tcPr>
            <w:tcW w:w="381" w:type="pct"/>
            <w:tcBorders>
              <w:top w:val="single" w:color="auto" w:sz="4" w:space="0"/>
            </w:tcBorders>
            <w:noWrap w:val="0"/>
            <w:vAlign w:val="center"/>
          </w:tcPr>
          <w:p w14:paraId="3C4A1439">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Cs/>
                <w:color w:val="auto"/>
                <w:sz w:val="21"/>
                <w:szCs w:val="21"/>
                <w:lang w:val="en-US" w:eastAsia="zh-CN"/>
              </w:rPr>
              <w:t>氮氧化物</w:t>
            </w:r>
          </w:p>
        </w:tc>
        <w:tc>
          <w:tcPr>
            <w:tcW w:w="267" w:type="pct"/>
            <w:vMerge w:val="continue"/>
            <w:noWrap w:val="0"/>
            <w:vAlign w:val="center"/>
          </w:tcPr>
          <w:p w14:paraId="385D432C">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sz w:val="21"/>
                <w:szCs w:val="21"/>
              </w:rPr>
            </w:pPr>
          </w:p>
        </w:tc>
        <w:tc>
          <w:tcPr>
            <w:tcW w:w="323" w:type="pct"/>
            <w:vMerge w:val="continue"/>
            <w:noWrap w:val="0"/>
            <w:vAlign w:val="center"/>
          </w:tcPr>
          <w:p w14:paraId="5B9CAC8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56" w:type="pct"/>
            <w:vMerge w:val="continue"/>
            <w:noWrap w:val="0"/>
            <w:vAlign w:val="center"/>
          </w:tcPr>
          <w:p w14:paraId="2253F4F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lang w:val="en-US" w:eastAsia="zh-CN"/>
              </w:rPr>
            </w:pPr>
          </w:p>
        </w:tc>
        <w:tc>
          <w:tcPr>
            <w:tcW w:w="249" w:type="pct"/>
            <w:vMerge w:val="continue"/>
            <w:noWrap w:val="0"/>
            <w:vAlign w:val="center"/>
          </w:tcPr>
          <w:p w14:paraId="43E4EFE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lang w:val="en-US" w:eastAsia="zh-CN"/>
              </w:rPr>
            </w:pPr>
          </w:p>
        </w:tc>
        <w:tc>
          <w:tcPr>
            <w:tcW w:w="260" w:type="pct"/>
            <w:vMerge w:val="continue"/>
            <w:tcBorders>
              <w:bottom w:val="single" w:color="auto" w:sz="4" w:space="0"/>
            </w:tcBorders>
            <w:noWrap w:val="0"/>
            <w:vAlign w:val="center"/>
          </w:tcPr>
          <w:p w14:paraId="76C8A33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eastAsia="zh-CN" w:bidi="ar"/>
              </w:rPr>
            </w:pPr>
          </w:p>
        </w:tc>
        <w:tc>
          <w:tcPr>
            <w:tcW w:w="281" w:type="pct"/>
            <w:vMerge w:val="continue"/>
            <w:tcBorders>
              <w:bottom w:val="single" w:color="auto" w:sz="4" w:space="0"/>
            </w:tcBorders>
            <w:noWrap w:val="0"/>
            <w:vAlign w:val="center"/>
          </w:tcPr>
          <w:p w14:paraId="1C41A6E8">
            <w:pPr>
              <w:keepNext w:val="0"/>
              <w:keepLines w:val="0"/>
              <w:pageBreakBefore w:val="0"/>
              <w:widowControl w:val="0"/>
              <w:suppressLineNumbers w:val="0"/>
              <w:tabs>
                <w:tab w:val="left" w:pos="1890"/>
              </w:tabs>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sz w:val="21"/>
                <w:szCs w:val="21"/>
                <w:lang w:val="en-US" w:eastAsia="zh-CN"/>
              </w:rPr>
            </w:pPr>
          </w:p>
        </w:tc>
        <w:tc>
          <w:tcPr>
            <w:tcW w:w="977" w:type="pct"/>
            <w:tcBorders>
              <w:top w:val="single" w:color="auto" w:sz="4" w:space="0"/>
            </w:tcBorders>
            <w:noWrap w:val="0"/>
            <w:vAlign w:val="center"/>
          </w:tcPr>
          <w:p w14:paraId="6801A4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bCs w:val="0"/>
                <w:color w:val="auto"/>
                <w:sz w:val="21"/>
                <w:szCs w:val="21"/>
              </w:rPr>
              <w:t>《关于印发&lt;淮南市</w:t>
            </w:r>
            <w:r>
              <w:rPr>
                <w:rFonts w:hint="default" w:ascii="Times New Roman" w:hAnsi="Times New Roman" w:eastAsia="宋体" w:cs="Times New Roman"/>
                <w:b w:val="0"/>
                <w:bCs w:val="0"/>
                <w:color w:val="auto"/>
                <w:sz w:val="21"/>
                <w:szCs w:val="21"/>
                <w:lang w:val="en-US" w:eastAsia="zh-CN"/>
              </w:rPr>
              <w:t>“十四五”大气污染防治规划&gt;的通知</w:t>
            </w:r>
            <w:r>
              <w:rPr>
                <w:rFonts w:hint="default" w:ascii="Times New Roman" w:hAnsi="Times New Roman" w:eastAsia="宋体" w:cs="Times New Roman"/>
                <w:b w:val="0"/>
                <w:bCs w:val="0"/>
                <w:color w:val="auto"/>
                <w:sz w:val="21"/>
                <w:szCs w:val="21"/>
              </w:rPr>
              <w:t>》（淮环委办</w:t>
            </w:r>
            <w:r>
              <w:rPr>
                <w:rFonts w:hint="default" w:ascii="Times New Roman" w:hAnsi="Times New Roman" w:cs="Times New Roman"/>
                <w:b w:val="0"/>
                <w:bCs w:val="0"/>
                <w:color w:val="auto"/>
                <w:sz w:val="21"/>
                <w:szCs w:val="21"/>
              </w:rPr>
              <w:t>〔2022〕</w:t>
            </w:r>
            <w:r>
              <w:rPr>
                <w:rFonts w:hint="default" w:ascii="Times New Roman" w:hAnsi="Times New Roman" w:cs="Times New Roman"/>
                <w:b w:val="0"/>
                <w:bCs w:val="0"/>
                <w:color w:val="auto"/>
                <w:sz w:val="21"/>
                <w:szCs w:val="21"/>
                <w:lang w:val="en-US" w:eastAsia="zh-CN"/>
              </w:rPr>
              <w:t>4</w:t>
            </w:r>
            <w:r>
              <w:rPr>
                <w:rFonts w:hint="default" w:ascii="Times New Roman" w:hAnsi="Times New Roman" w:cs="Times New Roman"/>
                <w:b w:val="0"/>
                <w:bCs w:val="0"/>
                <w:color w:val="auto"/>
                <w:sz w:val="21"/>
                <w:szCs w:val="21"/>
              </w:rPr>
              <w:t>9号）</w:t>
            </w:r>
          </w:p>
        </w:tc>
        <w:tc>
          <w:tcPr>
            <w:tcW w:w="200" w:type="pct"/>
            <w:tcBorders>
              <w:top w:val="single" w:color="auto" w:sz="4" w:space="0"/>
              <w:bottom w:val="single" w:color="auto" w:sz="4" w:space="0"/>
            </w:tcBorders>
            <w:noWrap w:val="0"/>
            <w:vAlign w:val="center"/>
          </w:tcPr>
          <w:p w14:paraId="67D395A3">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50</w:t>
            </w:r>
          </w:p>
        </w:tc>
        <w:tc>
          <w:tcPr>
            <w:tcW w:w="228" w:type="pct"/>
            <w:tcBorders>
              <w:top w:val="single" w:color="auto" w:sz="4" w:space="0"/>
              <w:bottom w:val="single" w:color="auto" w:sz="4" w:space="0"/>
            </w:tcBorders>
            <w:noWrap w:val="0"/>
            <w:vAlign w:val="center"/>
          </w:tcPr>
          <w:p w14:paraId="132B4157">
            <w:pPr>
              <w:keepNext w:val="0"/>
              <w:keepLines w:val="0"/>
              <w:suppressLineNumbers w:val="0"/>
              <w:spacing w:before="0" w:beforeAutospacing="0" w:after="0" w:afterAutospacing="0" w:line="240" w:lineRule="auto"/>
              <w:ind w:left="-63" w:leftChars="-30" w:right="-63" w:rightChars="-30" w:firstLine="0" w:firstLineChars="0"/>
              <w:jc w:val="center"/>
              <w:rPr>
                <w:rFonts w:hint="default" w:ascii="Times New Roman" w:hAnsi="Times New Roman" w:eastAsia="宋体" w:cs="Times New Roman"/>
                <w:color w:val="auto"/>
                <w:sz w:val="21"/>
                <w:szCs w:val="21"/>
              </w:rPr>
            </w:pPr>
            <w:r>
              <w:rPr>
                <w:rFonts w:hint="eastAsia" w:ascii="Times New Roman" w:hAnsi="Times New Roman" w:cs="Times New Roman"/>
                <w:color w:val="auto"/>
                <w:sz w:val="21"/>
                <w:szCs w:val="21"/>
                <w:lang w:val="en-US" w:eastAsia="zh-CN"/>
              </w:rPr>
              <w:t>/</w:t>
            </w:r>
          </w:p>
        </w:tc>
        <w:tc>
          <w:tcPr>
            <w:tcW w:w="214" w:type="pct"/>
            <w:vMerge w:val="continue"/>
            <w:tcBorders>
              <w:bottom w:val="single" w:color="auto" w:sz="4" w:space="0"/>
            </w:tcBorders>
            <w:noWrap w:val="0"/>
            <w:vAlign w:val="center"/>
          </w:tcPr>
          <w:p w14:paraId="16A3465F">
            <w:pPr>
              <w:pStyle w:val="217"/>
              <w:keepNext w:val="0"/>
              <w:keepLines w:val="0"/>
              <w:suppressLineNumbers w:val="0"/>
              <w:spacing w:before="0" w:beforeAutospacing="0" w:after="0" w:afterAutospacing="0" w:line="240" w:lineRule="auto"/>
              <w:ind w:left="-105" w:leftChars="-50" w:right="-105" w:rightChars="-50"/>
              <w:rPr>
                <w:rFonts w:hint="default" w:ascii="Times New Roman" w:hAnsi="Times New Roman" w:eastAsia="宋体" w:cs="Times New Roman"/>
                <w:color w:val="auto"/>
                <w:sz w:val="21"/>
                <w:szCs w:val="21"/>
              </w:rPr>
            </w:pPr>
          </w:p>
        </w:tc>
        <w:tc>
          <w:tcPr>
            <w:tcW w:w="193" w:type="pct"/>
            <w:vMerge w:val="continue"/>
            <w:noWrap w:val="0"/>
            <w:vAlign w:val="center"/>
          </w:tcPr>
          <w:p w14:paraId="065DFCEA">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p>
        </w:tc>
        <w:tc>
          <w:tcPr>
            <w:tcW w:w="271" w:type="pct"/>
            <w:vMerge w:val="continue"/>
            <w:noWrap w:val="0"/>
            <w:vAlign w:val="center"/>
          </w:tcPr>
          <w:p w14:paraId="3CF989DC">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p>
        </w:tc>
        <w:tc>
          <w:tcPr>
            <w:tcW w:w="110" w:type="pct"/>
            <w:vMerge w:val="continue"/>
            <w:noWrap w:val="0"/>
            <w:vAlign w:val="center"/>
          </w:tcPr>
          <w:p w14:paraId="19BEEB83">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p>
        </w:tc>
      </w:tr>
    </w:tbl>
    <w:p w14:paraId="6A4290EF">
      <w:pPr>
        <w:tabs>
          <w:tab w:val="left" w:pos="1890"/>
        </w:tabs>
        <w:spacing w:line="360" w:lineRule="exact"/>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表7  建设项目大气污染物无组织排放表</w:t>
      </w:r>
    </w:p>
    <w:tbl>
      <w:tblPr>
        <w:tblStyle w:val="53"/>
        <w:tblW w:w="4996"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27"/>
        <w:gridCol w:w="1765"/>
        <w:gridCol w:w="733"/>
        <w:gridCol w:w="1461"/>
        <w:gridCol w:w="1217"/>
        <w:gridCol w:w="4492"/>
        <w:gridCol w:w="2343"/>
        <w:gridCol w:w="776"/>
        <w:gridCol w:w="995"/>
      </w:tblGrid>
      <w:tr w14:paraId="0C7C04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150" w:type="pct"/>
            <w:vMerge w:val="restart"/>
            <w:noWrap w:val="0"/>
            <w:vAlign w:val="center"/>
          </w:tcPr>
          <w:p w14:paraId="6F9999A8">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序号</w:t>
            </w:r>
          </w:p>
        </w:tc>
        <w:tc>
          <w:tcPr>
            <w:tcW w:w="621" w:type="pct"/>
            <w:vMerge w:val="restart"/>
            <w:noWrap w:val="0"/>
            <w:vAlign w:val="center"/>
          </w:tcPr>
          <w:p w14:paraId="168DE402">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生产设施编号/无组织排放编号</w:t>
            </w:r>
          </w:p>
        </w:tc>
        <w:tc>
          <w:tcPr>
            <w:tcW w:w="258" w:type="pct"/>
            <w:vMerge w:val="restart"/>
            <w:noWrap w:val="0"/>
            <w:vAlign w:val="center"/>
          </w:tcPr>
          <w:p w14:paraId="4BE7E6A7">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产污</w:t>
            </w:r>
          </w:p>
          <w:p w14:paraId="650CA4F7">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环节</w:t>
            </w:r>
          </w:p>
        </w:tc>
        <w:tc>
          <w:tcPr>
            <w:tcW w:w="514" w:type="pct"/>
            <w:vMerge w:val="restart"/>
            <w:noWrap w:val="0"/>
            <w:vAlign w:val="center"/>
          </w:tcPr>
          <w:p w14:paraId="47091272">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污染物种类</w:t>
            </w:r>
          </w:p>
        </w:tc>
        <w:tc>
          <w:tcPr>
            <w:tcW w:w="428" w:type="pct"/>
            <w:vMerge w:val="restart"/>
            <w:noWrap w:val="0"/>
            <w:vAlign w:val="center"/>
          </w:tcPr>
          <w:p w14:paraId="1C191CB1">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主要污染防治措施</w:t>
            </w:r>
          </w:p>
        </w:tc>
        <w:tc>
          <w:tcPr>
            <w:tcW w:w="2404" w:type="pct"/>
            <w:gridSpan w:val="2"/>
            <w:noWrap w:val="0"/>
            <w:vAlign w:val="center"/>
          </w:tcPr>
          <w:p w14:paraId="6B847925">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国家或地方污染物排放标准</w:t>
            </w:r>
          </w:p>
        </w:tc>
        <w:tc>
          <w:tcPr>
            <w:tcW w:w="273" w:type="pct"/>
            <w:vMerge w:val="restart"/>
            <w:noWrap w:val="0"/>
            <w:vAlign w:val="center"/>
          </w:tcPr>
          <w:p w14:paraId="29C7CE53">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其他</w:t>
            </w:r>
          </w:p>
          <w:p w14:paraId="12583058">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信息</w:t>
            </w:r>
          </w:p>
        </w:tc>
        <w:tc>
          <w:tcPr>
            <w:tcW w:w="350" w:type="pct"/>
            <w:vMerge w:val="restart"/>
            <w:noWrap w:val="0"/>
            <w:vAlign w:val="center"/>
          </w:tcPr>
          <w:p w14:paraId="1ADF3B39">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备注</w:t>
            </w:r>
          </w:p>
        </w:tc>
      </w:tr>
      <w:tr w14:paraId="048F7E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150" w:type="pct"/>
            <w:vMerge w:val="continue"/>
            <w:noWrap w:val="0"/>
            <w:vAlign w:val="center"/>
          </w:tcPr>
          <w:p w14:paraId="5A345A06">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rPr>
            </w:pPr>
          </w:p>
        </w:tc>
        <w:tc>
          <w:tcPr>
            <w:tcW w:w="621" w:type="pct"/>
            <w:vMerge w:val="continue"/>
            <w:noWrap w:val="0"/>
            <w:vAlign w:val="center"/>
          </w:tcPr>
          <w:p w14:paraId="01619525">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rPr>
            </w:pPr>
          </w:p>
        </w:tc>
        <w:tc>
          <w:tcPr>
            <w:tcW w:w="258" w:type="pct"/>
            <w:vMerge w:val="continue"/>
            <w:noWrap w:val="0"/>
            <w:vAlign w:val="center"/>
          </w:tcPr>
          <w:p w14:paraId="30667CD1">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rPr>
            </w:pPr>
          </w:p>
        </w:tc>
        <w:tc>
          <w:tcPr>
            <w:tcW w:w="514" w:type="pct"/>
            <w:vMerge w:val="continue"/>
            <w:noWrap w:val="0"/>
            <w:vAlign w:val="center"/>
          </w:tcPr>
          <w:p w14:paraId="4AC71B8B">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rPr>
            </w:pPr>
          </w:p>
        </w:tc>
        <w:tc>
          <w:tcPr>
            <w:tcW w:w="428" w:type="pct"/>
            <w:vMerge w:val="continue"/>
            <w:noWrap w:val="0"/>
            <w:vAlign w:val="center"/>
          </w:tcPr>
          <w:p w14:paraId="509D94A6">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rPr>
            </w:pPr>
          </w:p>
        </w:tc>
        <w:tc>
          <w:tcPr>
            <w:tcW w:w="1580" w:type="pct"/>
            <w:noWrap w:val="0"/>
            <w:vAlign w:val="center"/>
          </w:tcPr>
          <w:p w14:paraId="16ED075B">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标准名称</w:t>
            </w:r>
          </w:p>
        </w:tc>
        <w:tc>
          <w:tcPr>
            <w:tcW w:w="823" w:type="pct"/>
            <w:noWrap w:val="0"/>
            <w:vAlign w:val="center"/>
          </w:tcPr>
          <w:p w14:paraId="29992A89">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浓度限值（mg/Nm</w:t>
            </w:r>
            <w:r>
              <w:rPr>
                <w:rFonts w:hint="default" w:ascii="Times New Roman" w:hAnsi="Times New Roman" w:eastAsia="宋体" w:cs="Times New Roman"/>
                <w:b/>
                <w:color w:val="auto"/>
                <w:vertAlign w:val="superscript"/>
              </w:rPr>
              <w:t>3</w:t>
            </w:r>
            <w:r>
              <w:rPr>
                <w:rFonts w:hint="default" w:ascii="Times New Roman" w:hAnsi="Times New Roman" w:eastAsia="宋体" w:cs="Times New Roman"/>
                <w:b/>
                <w:color w:val="auto"/>
              </w:rPr>
              <w:t>）</w:t>
            </w:r>
          </w:p>
        </w:tc>
        <w:tc>
          <w:tcPr>
            <w:tcW w:w="273" w:type="pct"/>
            <w:vMerge w:val="continue"/>
            <w:noWrap w:val="0"/>
            <w:vAlign w:val="center"/>
          </w:tcPr>
          <w:p w14:paraId="7E76088D">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rPr>
            </w:pPr>
          </w:p>
        </w:tc>
        <w:tc>
          <w:tcPr>
            <w:tcW w:w="350" w:type="pct"/>
            <w:vMerge w:val="continue"/>
            <w:noWrap w:val="0"/>
            <w:vAlign w:val="center"/>
          </w:tcPr>
          <w:p w14:paraId="0EA653E1">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b/>
                <w:color w:val="auto"/>
              </w:rPr>
            </w:pPr>
          </w:p>
        </w:tc>
      </w:tr>
      <w:tr w14:paraId="6B69BF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150" w:type="pct"/>
            <w:vMerge w:val="restart"/>
            <w:noWrap w:val="0"/>
            <w:vAlign w:val="center"/>
          </w:tcPr>
          <w:p w14:paraId="01BD64C4">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1</w:t>
            </w:r>
          </w:p>
        </w:tc>
        <w:tc>
          <w:tcPr>
            <w:tcW w:w="621" w:type="pct"/>
            <w:vMerge w:val="restart"/>
            <w:noWrap w:val="0"/>
            <w:vAlign w:val="center"/>
          </w:tcPr>
          <w:p w14:paraId="286955E8">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kern w:val="0"/>
                <w:lang w:val="en-US" w:eastAsia="zh-CN"/>
              </w:rPr>
            </w:pPr>
            <w:r>
              <w:rPr>
                <w:rFonts w:hint="default" w:ascii="Times New Roman" w:hAnsi="Times New Roman" w:eastAsia="宋体" w:cs="Times New Roman"/>
                <w:color w:val="auto"/>
                <w:kern w:val="0"/>
                <w:lang w:val="en-US" w:eastAsia="zh-CN"/>
              </w:rPr>
              <w:t>/</w:t>
            </w:r>
          </w:p>
        </w:tc>
        <w:tc>
          <w:tcPr>
            <w:tcW w:w="258" w:type="pct"/>
            <w:vMerge w:val="restart"/>
            <w:noWrap w:val="0"/>
            <w:vAlign w:val="center"/>
          </w:tcPr>
          <w:p w14:paraId="7E55A06C">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514" w:type="pct"/>
            <w:noWrap w:val="0"/>
            <w:vAlign w:val="center"/>
          </w:tcPr>
          <w:p w14:paraId="1E7804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vertAlign w:val="subscript"/>
              </w:rPr>
            </w:pPr>
            <w:r>
              <w:rPr>
                <w:rFonts w:hint="default" w:ascii="Times New Roman" w:hAnsi="Times New Roman" w:eastAsia="宋体" w:cs="Times New Roman"/>
                <w:color w:val="auto"/>
                <w:sz w:val="21"/>
                <w:szCs w:val="21"/>
                <w:lang w:bidi="ar"/>
              </w:rPr>
              <w:t>非甲烷总烃</w:t>
            </w:r>
          </w:p>
        </w:tc>
        <w:tc>
          <w:tcPr>
            <w:tcW w:w="428" w:type="pct"/>
            <w:noWrap w:val="0"/>
            <w:vAlign w:val="center"/>
          </w:tcPr>
          <w:p w14:paraId="16DBADC2">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1580" w:type="pct"/>
            <w:vMerge w:val="restart"/>
            <w:noWrap w:val="0"/>
            <w:vAlign w:val="center"/>
          </w:tcPr>
          <w:p w14:paraId="632C0473">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Times New Roman" w:cs="Times New Roman"/>
                <w:color w:val="auto"/>
                <w:sz w:val="21"/>
                <w:szCs w:val="21"/>
                <w:lang w:val="en-US" w:eastAsia="zh-CN"/>
              </w:rPr>
              <w:t>《大气污染物综合排放标准》（GB16297-1996）中表2排放限值</w:t>
            </w:r>
          </w:p>
        </w:tc>
        <w:tc>
          <w:tcPr>
            <w:tcW w:w="823" w:type="pct"/>
            <w:noWrap w:val="0"/>
            <w:vAlign w:val="center"/>
          </w:tcPr>
          <w:p w14:paraId="307915F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lang w:val="en-US" w:eastAsia="zh-CN"/>
              </w:rPr>
              <w:t>4.0</w:t>
            </w:r>
          </w:p>
        </w:tc>
        <w:tc>
          <w:tcPr>
            <w:tcW w:w="273" w:type="pct"/>
            <w:noWrap w:val="0"/>
            <w:vAlign w:val="center"/>
          </w:tcPr>
          <w:p w14:paraId="1D969C75">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350" w:type="pct"/>
            <w:vMerge w:val="restart"/>
            <w:noWrap w:val="0"/>
            <w:vAlign w:val="center"/>
          </w:tcPr>
          <w:p w14:paraId="1501CEAA">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厂界外</w:t>
            </w:r>
          </w:p>
        </w:tc>
      </w:tr>
      <w:tr w14:paraId="6B84F7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61" w:hRule="atLeast"/>
          <w:jc w:val="center"/>
        </w:trPr>
        <w:tc>
          <w:tcPr>
            <w:tcW w:w="150" w:type="pct"/>
            <w:vMerge w:val="continue"/>
            <w:noWrap w:val="0"/>
            <w:vAlign w:val="center"/>
          </w:tcPr>
          <w:p w14:paraId="423AA960">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lang w:val="en-US" w:eastAsia="zh-CN"/>
              </w:rPr>
            </w:pPr>
          </w:p>
        </w:tc>
        <w:tc>
          <w:tcPr>
            <w:tcW w:w="621" w:type="pct"/>
            <w:vMerge w:val="continue"/>
            <w:noWrap w:val="0"/>
            <w:vAlign w:val="center"/>
          </w:tcPr>
          <w:p w14:paraId="1670DA79">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lang w:val="da-DK"/>
              </w:rPr>
            </w:pPr>
          </w:p>
        </w:tc>
        <w:tc>
          <w:tcPr>
            <w:tcW w:w="258" w:type="pct"/>
            <w:vMerge w:val="continue"/>
            <w:noWrap w:val="0"/>
            <w:vAlign w:val="center"/>
          </w:tcPr>
          <w:p w14:paraId="67506DA9">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p>
        </w:tc>
        <w:tc>
          <w:tcPr>
            <w:tcW w:w="514" w:type="pct"/>
            <w:noWrap w:val="0"/>
            <w:vAlign w:val="center"/>
          </w:tcPr>
          <w:p w14:paraId="6C91597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rPr>
              <w:t>颗粒物</w:t>
            </w:r>
          </w:p>
        </w:tc>
        <w:tc>
          <w:tcPr>
            <w:tcW w:w="428" w:type="pct"/>
            <w:noWrap w:val="0"/>
            <w:vAlign w:val="center"/>
          </w:tcPr>
          <w:p w14:paraId="46610E56">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1580" w:type="pct"/>
            <w:vMerge w:val="continue"/>
            <w:noWrap w:val="0"/>
            <w:vAlign w:val="center"/>
          </w:tcPr>
          <w:p w14:paraId="7B1A46E3">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rPr>
            </w:pPr>
          </w:p>
        </w:tc>
        <w:tc>
          <w:tcPr>
            <w:tcW w:w="823" w:type="pct"/>
            <w:noWrap w:val="0"/>
            <w:vAlign w:val="center"/>
          </w:tcPr>
          <w:p w14:paraId="7215C84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rPr>
              <w:t>1.</w:t>
            </w:r>
            <w:r>
              <w:rPr>
                <w:rFonts w:hint="default" w:ascii="Times New Roman" w:hAnsi="Times New Roman" w:eastAsia="宋体" w:cs="Times New Roman"/>
                <w:color w:val="auto"/>
                <w:sz w:val="21"/>
                <w:szCs w:val="21"/>
                <w:lang w:val="en-US" w:eastAsia="zh-CN"/>
              </w:rPr>
              <w:t>0</w:t>
            </w:r>
          </w:p>
        </w:tc>
        <w:tc>
          <w:tcPr>
            <w:tcW w:w="273" w:type="pct"/>
            <w:noWrap w:val="0"/>
            <w:vAlign w:val="center"/>
          </w:tcPr>
          <w:p w14:paraId="4ABC75B4">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350" w:type="pct"/>
            <w:vMerge w:val="continue"/>
            <w:noWrap w:val="0"/>
            <w:vAlign w:val="center"/>
          </w:tcPr>
          <w:p w14:paraId="01C35E63">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rPr>
            </w:pPr>
          </w:p>
        </w:tc>
      </w:tr>
      <w:tr w14:paraId="35141C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150" w:type="pct"/>
            <w:vMerge w:val="restart"/>
            <w:noWrap w:val="0"/>
            <w:vAlign w:val="center"/>
          </w:tcPr>
          <w:p w14:paraId="70AC73E6">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p>
        </w:tc>
        <w:tc>
          <w:tcPr>
            <w:tcW w:w="621" w:type="pct"/>
            <w:vMerge w:val="restart"/>
            <w:noWrap w:val="0"/>
            <w:vAlign w:val="center"/>
          </w:tcPr>
          <w:p w14:paraId="435D3B8E">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lang w:val="da-DK"/>
              </w:rPr>
            </w:pPr>
            <w:r>
              <w:rPr>
                <w:rFonts w:hint="default" w:ascii="Times New Roman" w:hAnsi="Times New Roman" w:eastAsia="宋体" w:cs="Times New Roman"/>
                <w:color w:val="auto"/>
                <w:lang w:val="en-US" w:eastAsia="zh-CN"/>
              </w:rPr>
              <w:t>/</w:t>
            </w:r>
          </w:p>
        </w:tc>
        <w:tc>
          <w:tcPr>
            <w:tcW w:w="258" w:type="pct"/>
            <w:vMerge w:val="restart"/>
            <w:noWrap w:val="0"/>
            <w:vAlign w:val="center"/>
          </w:tcPr>
          <w:p w14:paraId="2E51AB23">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w:t>
            </w:r>
          </w:p>
        </w:tc>
        <w:tc>
          <w:tcPr>
            <w:tcW w:w="514" w:type="pct"/>
            <w:vMerge w:val="restart"/>
            <w:noWrap w:val="0"/>
            <w:vAlign w:val="center"/>
          </w:tcPr>
          <w:p w14:paraId="6EAE101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lang w:bidi="ar"/>
              </w:rPr>
              <w:t>非甲烷总烃</w:t>
            </w:r>
          </w:p>
        </w:tc>
        <w:tc>
          <w:tcPr>
            <w:tcW w:w="428" w:type="pct"/>
            <w:vMerge w:val="restart"/>
            <w:noWrap w:val="0"/>
            <w:vAlign w:val="center"/>
          </w:tcPr>
          <w:p w14:paraId="1368B361">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w:t>
            </w:r>
          </w:p>
        </w:tc>
        <w:tc>
          <w:tcPr>
            <w:tcW w:w="1580" w:type="pct"/>
            <w:vMerge w:val="restart"/>
            <w:noWrap w:val="0"/>
            <w:vAlign w:val="center"/>
          </w:tcPr>
          <w:p w14:paraId="0CA9F20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 w:val="21"/>
                <w:szCs w:val="21"/>
                <w:highlight w:val="none"/>
                <w:lang w:val="en-US" w:eastAsia="zh-CN" w:bidi="ar-SA"/>
              </w:rPr>
              <w:t>《固定源挥发性有机物综合排放标准 第6部分：其他行业》（DB34/4812.6-2024）</w:t>
            </w:r>
          </w:p>
        </w:tc>
        <w:tc>
          <w:tcPr>
            <w:tcW w:w="823" w:type="pct"/>
            <w:noWrap w:val="0"/>
            <w:vAlign w:val="center"/>
          </w:tcPr>
          <w:p w14:paraId="1F77E6C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rPr>
              <w:t>6（</w:t>
            </w:r>
            <w:r>
              <w:rPr>
                <w:rFonts w:hint="default" w:ascii="Times New Roman" w:hAnsi="Times New Roman" w:eastAsia="宋体" w:cs="Times New Roman"/>
                <w:color w:val="auto"/>
                <w:kern w:val="0"/>
                <w:sz w:val="21"/>
                <w:szCs w:val="21"/>
                <w:lang w:val="zh-CN"/>
              </w:rPr>
              <w:t>1h平均浓度值</w:t>
            </w:r>
            <w:r>
              <w:rPr>
                <w:rFonts w:hint="default" w:ascii="Times New Roman" w:hAnsi="Times New Roman" w:eastAsia="宋体" w:cs="Times New Roman"/>
                <w:color w:val="auto"/>
                <w:sz w:val="21"/>
                <w:szCs w:val="21"/>
              </w:rPr>
              <w:t>）</w:t>
            </w:r>
          </w:p>
        </w:tc>
        <w:tc>
          <w:tcPr>
            <w:tcW w:w="273" w:type="pct"/>
            <w:noWrap w:val="0"/>
            <w:vAlign w:val="center"/>
          </w:tcPr>
          <w:p w14:paraId="77D90C85">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w:t>
            </w:r>
          </w:p>
        </w:tc>
        <w:tc>
          <w:tcPr>
            <w:tcW w:w="350" w:type="pct"/>
            <w:vMerge w:val="restart"/>
            <w:noWrap w:val="0"/>
            <w:vAlign w:val="center"/>
          </w:tcPr>
          <w:p w14:paraId="7FA162A8">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厂区内</w:t>
            </w:r>
          </w:p>
        </w:tc>
      </w:tr>
      <w:tr w14:paraId="760858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150" w:type="pct"/>
            <w:vMerge w:val="continue"/>
            <w:noWrap w:val="0"/>
            <w:vAlign w:val="center"/>
          </w:tcPr>
          <w:p w14:paraId="650ECF2C">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rPr>
            </w:pPr>
          </w:p>
        </w:tc>
        <w:tc>
          <w:tcPr>
            <w:tcW w:w="621" w:type="pct"/>
            <w:vMerge w:val="continue"/>
            <w:noWrap w:val="0"/>
            <w:vAlign w:val="center"/>
          </w:tcPr>
          <w:p w14:paraId="5C8F623F">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lang w:val="da-DK"/>
              </w:rPr>
            </w:pPr>
          </w:p>
        </w:tc>
        <w:tc>
          <w:tcPr>
            <w:tcW w:w="258" w:type="pct"/>
            <w:vMerge w:val="continue"/>
            <w:noWrap w:val="0"/>
            <w:vAlign w:val="center"/>
          </w:tcPr>
          <w:p w14:paraId="4D289DC9">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p>
        </w:tc>
        <w:tc>
          <w:tcPr>
            <w:tcW w:w="514" w:type="pct"/>
            <w:vMerge w:val="continue"/>
            <w:noWrap w:val="0"/>
            <w:vAlign w:val="center"/>
          </w:tcPr>
          <w:p w14:paraId="0D9D233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428" w:type="pct"/>
            <w:vMerge w:val="continue"/>
            <w:noWrap w:val="0"/>
            <w:vAlign w:val="center"/>
          </w:tcPr>
          <w:p w14:paraId="11633D0B">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rPr>
            </w:pPr>
          </w:p>
        </w:tc>
        <w:tc>
          <w:tcPr>
            <w:tcW w:w="1580" w:type="pct"/>
            <w:vMerge w:val="continue"/>
            <w:noWrap w:val="0"/>
            <w:vAlign w:val="center"/>
          </w:tcPr>
          <w:p w14:paraId="52A83D19">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rPr>
            </w:pPr>
          </w:p>
        </w:tc>
        <w:tc>
          <w:tcPr>
            <w:tcW w:w="823" w:type="pct"/>
            <w:noWrap w:val="0"/>
            <w:vAlign w:val="center"/>
          </w:tcPr>
          <w:p w14:paraId="1841733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rPr>
              <w:t>20（</w:t>
            </w:r>
            <w:r>
              <w:rPr>
                <w:rFonts w:hint="default" w:ascii="Times New Roman" w:hAnsi="Times New Roman" w:eastAsia="宋体" w:cs="Times New Roman"/>
                <w:color w:val="auto"/>
                <w:kern w:val="0"/>
                <w:sz w:val="21"/>
                <w:szCs w:val="21"/>
                <w:lang w:val="zh-CN"/>
              </w:rPr>
              <w:t>任意一次浓度值</w:t>
            </w:r>
            <w:r>
              <w:rPr>
                <w:rFonts w:hint="default" w:ascii="Times New Roman" w:hAnsi="Times New Roman" w:eastAsia="宋体" w:cs="Times New Roman"/>
                <w:color w:val="auto"/>
                <w:sz w:val="21"/>
                <w:szCs w:val="21"/>
              </w:rPr>
              <w:t>）</w:t>
            </w:r>
          </w:p>
        </w:tc>
        <w:tc>
          <w:tcPr>
            <w:tcW w:w="273" w:type="pct"/>
            <w:noWrap w:val="0"/>
            <w:vAlign w:val="center"/>
          </w:tcPr>
          <w:p w14:paraId="4A59AD3C">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350" w:type="pct"/>
            <w:vMerge w:val="continue"/>
            <w:noWrap w:val="0"/>
            <w:vAlign w:val="center"/>
          </w:tcPr>
          <w:p w14:paraId="594709BA">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rPr>
            </w:pPr>
          </w:p>
        </w:tc>
      </w:tr>
    </w:tbl>
    <w:p w14:paraId="27C5A33E">
      <w:pPr>
        <w:tabs>
          <w:tab w:val="left" w:pos="1890"/>
        </w:tabs>
        <w:spacing w:line="360" w:lineRule="exact"/>
        <w:jc w:val="center"/>
        <w:rPr>
          <w:rFonts w:hint="default" w:ascii="Times New Roman" w:hAnsi="Times New Roman" w:eastAsia="宋体" w:cs="Times New Roman"/>
          <w:b/>
          <w:color w:val="FF0000"/>
          <w:sz w:val="21"/>
          <w:szCs w:val="21"/>
        </w:rPr>
      </w:pPr>
    </w:p>
    <w:p w14:paraId="55DC1C6E">
      <w:pPr>
        <w:tabs>
          <w:tab w:val="left" w:pos="1890"/>
        </w:tabs>
        <w:spacing w:line="360" w:lineRule="exact"/>
        <w:jc w:val="center"/>
        <w:rPr>
          <w:rFonts w:hint="default" w:ascii="Times New Roman" w:hAnsi="Times New Roman" w:eastAsia="宋体" w:cs="Times New Roman"/>
          <w:b/>
          <w:color w:val="FF0000"/>
          <w:sz w:val="21"/>
          <w:szCs w:val="21"/>
        </w:rPr>
      </w:pPr>
    </w:p>
    <w:p w14:paraId="4DB89700">
      <w:pPr>
        <w:tabs>
          <w:tab w:val="left" w:pos="1890"/>
        </w:tabs>
        <w:spacing w:line="360" w:lineRule="exact"/>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表8  建设项目废水类别、污染物及污染治理设施信息表</w:t>
      </w:r>
    </w:p>
    <w:tbl>
      <w:tblPr>
        <w:tblStyle w:val="53"/>
        <w:tblW w:w="4996"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17"/>
        <w:gridCol w:w="729"/>
        <w:gridCol w:w="947"/>
        <w:gridCol w:w="593"/>
        <w:gridCol w:w="837"/>
        <w:gridCol w:w="562"/>
        <w:gridCol w:w="515"/>
        <w:gridCol w:w="809"/>
        <w:gridCol w:w="654"/>
        <w:gridCol w:w="665"/>
        <w:gridCol w:w="876"/>
        <w:gridCol w:w="604"/>
        <w:gridCol w:w="571"/>
        <w:gridCol w:w="709"/>
        <w:gridCol w:w="669"/>
        <w:gridCol w:w="1959"/>
        <w:gridCol w:w="947"/>
        <w:gridCol w:w="689"/>
        <w:gridCol w:w="557"/>
      </w:tblGrid>
      <w:tr w14:paraId="3862E1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7" w:hRule="atLeast"/>
          <w:jc w:val="center"/>
        </w:trPr>
        <w:tc>
          <w:tcPr>
            <w:tcW w:w="111" w:type="pct"/>
            <w:vMerge w:val="restart"/>
            <w:noWrap w:val="0"/>
            <w:vAlign w:val="center"/>
          </w:tcPr>
          <w:p w14:paraId="4724985F">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序号</w:t>
            </w:r>
          </w:p>
        </w:tc>
        <w:tc>
          <w:tcPr>
            <w:tcW w:w="256" w:type="pct"/>
            <w:vMerge w:val="restart"/>
            <w:noWrap w:val="0"/>
            <w:vAlign w:val="center"/>
          </w:tcPr>
          <w:p w14:paraId="00E2306B">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废水类别</w:t>
            </w:r>
          </w:p>
        </w:tc>
        <w:tc>
          <w:tcPr>
            <w:tcW w:w="333" w:type="pct"/>
            <w:vMerge w:val="restart"/>
            <w:noWrap w:val="0"/>
            <w:vAlign w:val="center"/>
          </w:tcPr>
          <w:p w14:paraId="718334B3">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污染物种类</w:t>
            </w:r>
          </w:p>
        </w:tc>
        <w:tc>
          <w:tcPr>
            <w:tcW w:w="1166" w:type="pct"/>
            <w:gridSpan w:val="5"/>
            <w:noWrap w:val="0"/>
            <w:vAlign w:val="center"/>
          </w:tcPr>
          <w:p w14:paraId="10B8153E">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污染防治设施</w:t>
            </w:r>
          </w:p>
        </w:tc>
        <w:tc>
          <w:tcPr>
            <w:tcW w:w="230" w:type="pct"/>
            <w:vMerge w:val="restart"/>
            <w:noWrap w:val="0"/>
            <w:vAlign w:val="center"/>
          </w:tcPr>
          <w:p w14:paraId="766AB814">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排放去向</w:t>
            </w:r>
          </w:p>
        </w:tc>
        <w:tc>
          <w:tcPr>
            <w:tcW w:w="234" w:type="pct"/>
            <w:vMerge w:val="restart"/>
            <w:noWrap w:val="0"/>
            <w:vAlign w:val="center"/>
          </w:tcPr>
          <w:p w14:paraId="4D3759A0">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排放方式</w:t>
            </w:r>
          </w:p>
        </w:tc>
        <w:tc>
          <w:tcPr>
            <w:tcW w:w="308" w:type="pct"/>
            <w:vMerge w:val="restart"/>
            <w:noWrap w:val="0"/>
            <w:vAlign w:val="center"/>
          </w:tcPr>
          <w:p w14:paraId="2CF35588">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排放规律</w:t>
            </w:r>
          </w:p>
        </w:tc>
        <w:tc>
          <w:tcPr>
            <w:tcW w:w="212" w:type="pct"/>
            <w:vMerge w:val="restart"/>
            <w:noWrap w:val="0"/>
            <w:vAlign w:val="center"/>
          </w:tcPr>
          <w:p w14:paraId="45659718">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排放口编号</w:t>
            </w:r>
          </w:p>
        </w:tc>
        <w:tc>
          <w:tcPr>
            <w:tcW w:w="200" w:type="pct"/>
            <w:vMerge w:val="restart"/>
            <w:noWrap w:val="0"/>
            <w:vAlign w:val="center"/>
          </w:tcPr>
          <w:p w14:paraId="7BA3BAE6">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排放口名称</w:t>
            </w:r>
          </w:p>
        </w:tc>
        <w:tc>
          <w:tcPr>
            <w:tcW w:w="249" w:type="pct"/>
            <w:vMerge w:val="restart"/>
            <w:noWrap w:val="0"/>
            <w:vAlign w:val="center"/>
          </w:tcPr>
          <w:p w14:paraId="1442DF69">
            <w:pPr>
              <w:keepNext w:val="0"/>
              <w:keepLines w:val="0"/>
              <w:suppressLineNumbers w:val="0"/>
              <w:tabs>
                <w:tab w:val="left" w:pos="1890"/>
              </w:tabs>
              <w:spacing w:before="0" w:beforeAutospacing="0" w:after="0" w:afterAutospacing="0" w:line="320" w:lineRule="exact"/>
              <w:ind w:left="-105" w:leftChars="-50" w:right="-105" w:rightChars="-5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排放口设施是否符合要求</w:t>
            </w:r>
          </w:p>
        </w:tc>
        <w:tc>
          <w:tcPr>
            <w:tcW w:w="235" w:type="pct"/>
            <w:vMerge w:val="restart"/>
            <w:noWrap w:val="0"/>
            <w:vAlign w:val="center"/>
          </w:tcPr>
          <w:p w14:paraId="449B2E01">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排放口类型</w:t>
            </w:r>
          </w:p>
        </w:tc>
        <w:tc>
          <w:tcPr>
            <w:tcW w:w="1022" w:type="pct"/>
            <w:gridSpan w:val="2"/>
            <w:noWrap w:val="0"/>
            <w:vAlign w:val="center"/>
          </w:tcPr>
          <w:p w14:paraId="2E37BEE8">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国家或地方污染物排放标准</w:t>
            </w:r>
          </w:p>
        </w:tc>
        <w:tc>
          <w:tcPr>
            <w:tcW w:w="242" w:type="pct"/>
            <w:vMerge w:val="restart"/>
            <w:noWrap w:val="0"/>
            <w:vAlign w:val="center"/>
          </w:tcPr>
          <w:p w14:paraId="6035078A">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年排放许可量（t/a）</w:t>
            </w:r>
          </w:p>
        </w:tc>
        <w:tc>
          <w:tcPr>
            <w:tcW w:w="196" w:type="pct"/>
            <w:vMerge w:val="restart"/>
            <w:noWrap w:val="0"/>
            <w:vAlign w:val="center"/>
          </w:tcPr>
          <w:p w14:paraId="398C8FAD">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其他信息</w:t>
            </w:r>
          </w:p>
        </w:tc>
      </w:tr>
      <w:tr w14:paraId="785EBC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35" w:hRule="atLeast"/>
          <w:jc w:val="center"/>
        </w:trPr>
        <w:tc>
          <w:tcPr>
            <w:tcW w:w="111" w:type="pct"/>
            <w:vMerge w:val="continue"/>
            <w:noWrap w:val="0"/>
            <w:vAlign w:val="center"/>
          </w:tcPr>
          <w:p w14:paraId="79721C77">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p>
        </w:tc>
        <w:tc>
          <w:tcPr>
            <w:tcW w:w="256" w:type="pct"/>
            <w:vMerge w:val="continue"/>
            <w:noWrap w:val="0"/>
            <w:vAlign w:val="center"/>
          </w:tcPr>
          <w:p w14:paraId="50AA587C">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p>
        </w:tc>
        <w:tc>
          <w:tcPr>
            <w:tcW w:w="333" w:type="pct"/>
            <w:vMerge w:val="continue"/>
            <w:noWrap w:val="0"/>
            <w:vAlign w:val="center"/>
          </w:tcPr>
          <w:p w14:paraId="17172280">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p>
        </w:tc>
        <w:tc>
          <w:tcPr>
            <w:tcW w:w="208" w:type="pct"/>
            <w:noWrap w:val="0"/>
            <w:vAlign w:val="center"/>
          </w:tcPr>
          <w:p w14:paraId="2F0D7FA5">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污染防治设施编号</w:t>
            </w:r>
          </w:p>
        </w:tc>
        <w:tc>
          <w:tcPr>
            <w:tcW w:w="294" w:type="pct"/>
            <w:noWrap w:val="0"/>
            <w:vAlign w:val="center"/>
          </w:tcPr>
          <w:p w14:paraId="1A25AEE0">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污染防治设施名称</w:t>
            </w:r>
          </w:p>
        </w:tc>
        <w:tc>
          <w:tcPr>
            <w:tcW w:w="197" w:type="pct"/>
            <w:noWrap w:val="0"/>
            <w:vAlign w:val="center"/>
          </w:tcPr>
          <w:p w14:paraId="6657B027">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污染防治设施工艺</w:t>
            </w:r>
          </w:p>
        </w:tc>
        <w:tc>
          <w:tcPr>
            <w:tcW w:w="181" w:type="pct"/>
            <w:noWrap w:val="0"/>
            <w:vAlign w:val="center"/>
          </w:tcPr>
          <w:p w14:paraId="54352F97">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是否为可行技术</w:t>
            </w:r>
          </w:p>
        </w:tc>
        <w:tc>
          <w:tcPr>
            <w:tcW w:w="284" w:type="pct"/>
            <w:noWrap w:val="0"/>
            <w:vAlign w:val="center"/>
          </w:tcPr>
          <w:p w14:paraId="364D142C">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污染防治设施其他信息</w:t>
            </w:r>
          </w:p>
        </w:tc>
        <w:tc>
          <w:tcPr>
            <w:tcW w:w="230" w:type="pct"/>
            <w:vMerge w:val="continue"/>
            <w:noWrap w:val="0"/>
            <w:vAlign w:val="center"/>
          </w:tcPr>
          <w:p w14:paraId="72F81159">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p>
        </w:tc>
        <w:tc>
          <w:tcPr>
            <w:tcW w:w="234" w:type="pct"/>
            <w:vMerge w:val="continue"/>
            <w:noWrap w:val="0"/>
            <w:vAlign w:val="center"/>
          </w:tcPr>
          <w:p w14:paraId="1393B57D">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p>
        </w:tc>
        <w:tc>
          <w:tcPr>
            <w:tcW w:w="308" w:type="pct"/>
            <w:vMerge w:val="continue"/>
            <w:noWrap w:val="0"/>
            <w:vAlign w:val="center"/>
          </w:tcPr>
          <w:p w14:paraId="1A66B897">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p>
        </w:tc>
        <w:tc>
          <w:tcPr>
            <w:tcW w:w="212" w:type="pct"/>
            <w:vMerge w:val="continue"/>
            <w:noWrap w:val="0"/>
            <w:vAlign w:val="center"/>
          </w:tcPr>
          <w:p w14:paraId="632732A7">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p>
        </w:tc>
        <w:tc>
          <w:tcPr>
            <w:tcW w:w="200" w:type="pct"/>
            <w:vMerge w:val="continue"/>
            <w:noWrap w:val="0"/>
            <w:vAlign w:val="center"/>
          </w:tcPr>
          <w:p w14:paraId="354ADF06">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p>
        </w:tc>
        <w:tc>
          <w:tcPr>
            <w:tcW w:w="249" w:type="pct"/>
            <w:vMerge w:val="continue"/>
            <w:noWrap w:val="0"/>
            <w:vAlign w:val="center"/>
          </w:tcPr>
          <w:p w14:paraId="20B141E5">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p>
        </w:tc>
        <w:tc>
          <w:tcPr>
            <w:tcW w:w="235" w:type="pct"/>
            <w:vMerge w:val="continue"/>
            <w:noWrap w:val="0"/>
            <w:vAlign w:val="center"/>
          </w:tcPr>
          <w:p w14:paraId="531E328F">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p>
        </w:tc>
        <w:tc>
          <w:tcPr>
            <w:tcW w:w="689" w:type="pct"/>
            <w:noWrap w:val="0"/>
            <w:vAlign w:val="center"/>
          </w:tcPr>
          <w:p w14:paraId="7AFAC605">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标准名称</w:t>
            </w:r>
          </w:p>
        </w:tc>
        <w:tc>
          <w:tcPr>
            <w:tcW w:w="333" w:type="pct"/>
            <w:noWrap w:val="0"/>
            <w:vAlign w:val="center"/>
          </w:tcPr>
          <w:p w14:paraId="42EC0444">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浓度</w:t>
            </w:r>
          </w:p>
          <w:p w14:paraId="153AF32C">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限值(mg/L)</w:t>
            </w:r>
          </w:p>
        </w:tc>
        <w:tc>
          <w:tcPr>
            <w:tcW w:w="242" w:type="pct"/>
            <w:vMerge w:val="continue"/>
            <w:noWrap w:val="0"/>
            <w:vAlign w:val="center"/>
          </w:tcPr>
          <w:p w14:paraId="52EBDDEA">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p>
        </w:tc>
        <w:tc>
          <w:tcPr>
            <w:tcW w:w="196" w:type="pct"/>
            <w:vMerge w:val="continue"/>
            <w:noWrap w:val="0"/>
            <w:vAlign w:val="center"/>
          </w:tcPr>
          <w:p w14:paraId="774574C5">
            <w:pPr>
              <w:keepNext w:val="0"/>
              <w:keepLines w:val="0"/>
              <w:suppressLineNumbers w:val="0"/>
              <w:tabs>
                <w:tab w:val="left" w:pos="1890"/>
              </w:tabs>
              <w:spacing w:before="0" w:beforeAutospacing="0" w:after="0" w:afterAutospacing="0" w:line="320" w:lineRule="exact"/>
              <w:ind w:left="-63" w:leftChars="-30" w:right="-63" w:rightChars="-30"/>
              <w:jc w:val="center"/>
              <w:rPr>
                <w:rFonts w:hint="default" w:ascii="Times New Roman" w:hAnsi="Times New Roman" w:eastAsia="宋体" w:cs="Times New Roman"/>
                <w:b/>
                <w:color w:val="auto"/>
                <w:sz w:val="21"/>
                <w:szCs w:val="21"/>
              </w:rPr>
            </w:pPr>
          </w:p>
        </w:tc>
      </w:tr>
      <w:tr w14:paraId="3594A3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111" w:type="pct"/>
            <w:vMerge w:val="restart"/>
            <w:noWrap w:val="0"/>
            <w:vAlign w:val="center"/>
          </w:tcPr>
          <w:p w14:paraId="6FD2613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256" w:type="pct"/>
            <w:vMerge w:val="restart"/>
            <w:noWrap w:val="0"/>
            <w:vAlign w:val="center"/>
          </w:tcPr>
          <w:p w14:paraId="39FF507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生活污水</w:t>
            </w:r>
          </w:p>
        </w:tc>
        <w:tc>
          <w:tcPr>
            <w:tcW w:w="333" w:type="pct"/>
            <w:noWrap w:val="0"/>
            <w:vAlign w:val="center"/>
          </w:tcPr>
          <w:p w14:paraId="3324B5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pH</w:t>
            </w:r>
          </w:p>
        </w:tc>
        <w:tc>
          <w:tcPr>
            <w:tcW w:w="208" w:type="pct"/>
            <w:vMerge w:val="restart"/>
            <w:noWrap w:val="0"/>
            <w:vAlign w:val="center"/>
          </w:tcPr>
          <w:p w14:paraId="6652B80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294" w:type="pct"/>
            <w:vMerge w:val="restart"/>
            <w:noWrap w:val="0"/>
            <w:vAlign w:val="center"/>
          </w:tcPr>
          <w:p w14:paraId="528DE71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val="en-US" w:eastAsia="zh-CN"/>
              </w:rPr>
              <w:t>/</w:t>
            </w:r>
          </w:p>
        </w:tc>
        <w:tc>
          <w:tcPr>
            <w:tcW w:w="197" w:type="pct"/>
            <w:vMerge w:val="restart"/>
            <w:noWrap w:val="0"/>
            <w:vAlign w:val="center"/>
          </w:tcPr>
          <w:p w14:paraId="6820869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81" w:type="pct"/>
            <w:vMerge w:val="restart"/>
            <w:noWrap w:val="0"/>
            <w:vAlign w:val="center"/>
          </w:tcPr>
          <w:p w14:paraId="0EE8415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val="en-US" w:eastAsia="zh-CN"/>
              </w:rPr>
              <w:t>/</w:t>
            </w:r>
          </w:p>
        </w:tc>
        <w:tc>
          <w:tcPr>
            <w:tcW w:w="284" w:type="pct"/>
            <w:vMerge w:val="restart"/>
            <w:noWrap w:val="0"/>
            <w:vAlign w:val="center"/>
          </w:tcPr>
          <w:p w14:paraId="1113E45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230" w:type="pct"/>
            <w:vMerge w:val="restart"/>
            <w:noWrap w:val="0"/>
            <w:vAlign w:val="center"/>
          </w:tcPr>
          <w:p w14:paraId="0B42125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color w:val="auto"/>
                <w:sz w:val="21"/>
                <w:szCs w:val="21"/>
                <w:lang w:eastAsia="zh-CN"/>
              </w:rPr>
              <w:t>淮南经济技术开发区工业污水处理厂</w:t>
            </w:r>
          </w:p>
        </w:tc>
        <w:tc>
          <w:tcPr>
            <w:tcW w:w="234" w:type="pct"/>
            <w:vMerge w:val="restart"/>
            <w:noWrap w:val="0"/>
            <w:vAlign w:val="center"/>
          </w:tcPr>
          <w:p w14:paraId="0BB6E41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间接排放</w:t>
            </w:r>
          </w:p>
        </w:tc>
        <w:tc>
          <w:tcPr>
            <w:tcW w:w="308" w:type="pct"/>
            <w:vMerge w:val="restart"/>
            <w:noWrap w:val="0"/>
            <w:vAlign w:val="center"/>
          </w:tcPr>
          <w:p w14:paraId="002BE92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间断排放，排放期间流量</w:t>
            </w:r>
            <w:r>
              <w:rPr>
                <w:rFonts w:hint="default" w:ascii="Times New Roman" w:hAnsi="Times New Roman" w:eastAsia="宋体" w:cs="Times New Roman"/>
                <w:color w:val="auto"/>
                <w:sz w:val="21"/>
                <w:szCs w:val="21"/>
                <w:lang w:val="en-US" w:eastAsia="zh-CN"/>
              </w:rPr>
              <w:t>不</w:t>
            </w:r>
            <w:r>
              <w:rPr>
                <w:rFonts w:hint="default" w:ascii="Times New Roman" w:hAnsi="Times New Roman" w:eastAsia="宋体" w:cs="Times New Roman"/>
                <w:color w:val="auto"/>
                <w:sz w:val="21"/>
                <w:szCs w:val="21"/>
              </w:rPr>
              <w:t>稳定</w:t>
            </w:r>
          </w:p>
        </w:tc>
        <w:tc>
          <w:tcPr>
            <w:tcW w:w="212" w:type="pct"/>
            <w:vMerge w:val="restart"/>
            <w:noWrap w:val="0"/>
            <w:vAlign w:val="center"/>
          </w:tcPr>
          <w:p w14:paraId="22AF2848">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DW001</w:t>
            </w:r>
          </w:p>
        </w:tc>
        <w:tc>
          <w:tcPr>
            <w:tcW w:w="200" w:type="pct"/>
            <w:vMerge w:val="restart"/>
            <w:noWrap w:val="0"/>
            <w:vAlign w:val="center"/>
          </w:tcPr>
          <w:p w14:paraId="17E54D5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废水总排口</w:t>
            </w:r>
          </w:p>
        </w:tc>
        <w:tc>
          <w:tcPr>
            <w:tcW w:w="249" w:type="pct"/>
            <w:vMerge w:val="restart"/>
            <w:noWrap w:val="0"/>
            <w:vAlign w:val="center"/>
          </w:tcPr>
          <w:p w14:paraId="7127D98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p w14:paraId="6B2A5BF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是</w:t>
            </w:r>
          </w:p>
        </w:tc>
        <w:tc>
          <w:tcPr>
            <w:tcW w:w="235" w:type="pct"/>
            <w:vMerge w:val="restart"/>
            <w:noWrap w:val="0"/>
            <w:vAlign w:val="center"/>
          </w:tcPr>
          <w:p w14:paraId="764B016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一般排放口</w:t>
            </w:r>
          </w:p>
        </w:tc>
        <w:tc>
          <w:tcPr>
            <w:tcW w:w="689" w:type="pct"/>
            <w:vMerge w:val="restart"/>
            <w:noWrap w:val="0"/>
            <w:vAlign w:val="center"/>
          </w:tcPr>
          <w:p w14:paraId="1775E3A9">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lang w:val="en-US" w:eastAsia="zh-CN"/>
              </w:rPr>
            </w:pPr>
            <w:r>
              <w:rPr>
                <w:rFonts w:hint="eastAsia"/>
                <w:color w:val="auto"/>
                <w:sz w:val="21"/>
                <w:szCs w:val="21"/>
              </w:rPr>
              <w:t>《污水综合排放标准》（GB8978-1996）和</w:t>
            </w:r>
            <w:r>
              <w:rPr>
                <w:rFonts w:hint="default" w:ascii="Times New Roman" w:hAnsi="Times New Roman"/>
                <w:color w:val="auto"/>
                <w:sz w:val="21"/>
                <w:szCs w:val="21"/>
                <w:lang w:eastAsia="zh-CN"/>
              </w:rPr>
              <w:t>淮南经济技术开发区工业污水处理厂</w:t>
            </w:r>
            <w:r>
              <w:rPr>
                <w:rFonts w:hint="eastAsia"/>
                <w:color w:val="auto"/>
                <w:sz w:val="21"/>
                <w:szCs w:val="21"/>
              </w:rPr>
              <w:t>接管</w:t>
            </w:r>
            <w:r>
              <w:rPr>
                <w:rFonts w:hint="eastAsia"/>
                <w:color w:val="auto"/>
                <w:sz w:val="21"/>
                <w:szCs w:val="21"/>
                <w:lang w:val="en-US" w:eastAsia="zh-CN"/>
              </w:rPr>
              <w:t>限值要求</w:t>
            </w:r>
          </w:p>
        </w:tc>
        <w:tc>
          <w:tcPr>
            <w:tcW w:w="333" w:type="pct"/>
            <w:noWrap w:val="0"/>
            <w:vAlign w:val="center"/>
          </w:tcPr>
          <w:p w14:paraId="1612CA9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6-9</w:t>
            </w:r>
          </w:p>
        </w:tc>
        <w:tc>
          <w:tcPr>
            <w:tcW w:w="242" w:type="pct"/>
            <w:noWrap w:val="0"/>
            <w:vAlign w:val="center"/>
          </w:tcPr>
          <w:p w14:paraId="2FB2608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96" w:type="pct"/>
            <w:noWrap w:val="0"/>
            <w:vAlign w:val="center"/>
          </w:tcPr>
          <w:p w14:paraId="3AF7619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2FB7F58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111" w:type="pct"/>
            <w:vMerge w:val="continue"/>
            <w:noWrap w:val="0"/>
            <w:vAlign w:val="center"/>
          </w:tcPr>
          <w:p w14:paraId="3A6C37E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56" w:type="pct"/>
            <w:vMerge w:val="continue"/>
            <w:noWrap w:val="0"/>
            <w:vAlign w:val="center"/>
          </w:tcPr>
          <w:p w14:paraId="27ADF22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333" w:type="pct"/>
            <w:noWrap w:val="0"/>
            <w:vAlign w:val="center"/>
          </w:tcPr>
          <w:p w14:paraId="76A70D5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COD</w:t>
            </w:r>
          </w:p>
        </w:tc>
        <w:tc>
          <w:tcPr>
            <w:tcW w:w="208" w:type="pct"/>
            <w:vMerge w:val="continue"/>
            <w:noWrap w:val="0"/>
            <w:vAlign w:val="center"/>
          </w:tcPr>
          <w:p w14:paraId="4D26566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94" w:type="pct"/>
            <w:vMerge w:val="continue"/>
            <w:noWrap w:val="0"/>
            <w:vAlign w:val="center"/>
          </w:tcPr>
          <w:p w14:paraId="781ACE8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197" w:type="pct"/>
            <w:vMerge w:val="continue"/>
            <w:noWrap w:val="0"/>
            <w:vAlign w:val="center"/>
          </w:tcPr>
          <w:p w14:paraId="717D35B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181" w:type="pct"/>
            <w:vMerge w:val="continue"/>
            <w:noWrap w:val="0"/>
            <w:vAlign w:val="center"/>
          </w:tcPr>
          <w:p w14:paraId="4F4AEFF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84" w:type="pct"/>
            <w:vMerge w:val="continue"/>
            <w:noWrap w:val="0"/>
            <w:vAlign w:val="center"/>
          </w:tcPr>
          <w:p w14:paraId="242E2D3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30" w:type="pct"/>
            <w:vMerge w:val="continue"/>
            <w:noWrap w:val="0"/>
            <w:vAlign w:val="center"/>
          </w:tcPr>
          <w:p w14:paraId="1A6591A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34" w:type="pct"/>
            <w:vMerge w:val="continue"/>
            <w:noWrap w:val="0"/>
            <w:vAlign w:val="center"/>
          </w:tcPr>
          <w:p w14:paraId="2797E57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308" w:type="pct"/>
            <w:vMerge w:val="continue"/>
            <w:noWrap w:val="0"/>
            <w:vAlign w:val="center"/>
          </w:tcPr>
          <w:p w14:paraId="03D60ED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12" w:type="pct"/>
            <w:vMerge w:val="continue"/>
            <w:noWrap w:val="0"/>
            <w:vAlign w:val="center"/>
          </w:tcPr>
          <w:p w14:paraId="0DD3D008">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p>
        </w:tc>
        <w:tc>
          <w:tcPr>
            <w:tcW w:w="200" w:type="pct"/>
            <w:vMerge w:val="continue"/>
            <w:noWrap w:val="0"/>
            <w:vAlign w:val="center"/>
          </w:tcPr>
          <w:p w14:paraId="48A2F07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49" w:type="pct"/>
            <w:vMerge w:val="continue"/>
            <w:noWrap w:val="0"/>
            <w:vAlign w:val="center"/>
          </w:tcPr>
          <w:p w14:paraId="764D2DE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35" w:type="pct"/>
            <w:vMerge w:val="continue"/>
            <w:noWrap w:val="0"/>
            <w:vAlign w:val="center"/>
          </w:tcPr>
          <w:p w14:paraId="079C86E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689" w:type="pct"/>
            <w:vMerge w:val="continue"/>
            <w:noWrap w:val="0"/>
            <w:vAlign w:val="center"/>
          </w:tcPr>
          <w:p w14:paraId="4DEEAF5D">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rPr>
            </w:pPr>
          </w:p>
        </w:tc>
        <w:tc>
          <w:tcPr>
            <w:tcW w:w="333" w:type="pct"/>
            <w:noWrap w:val="0"/>
            <w:vAlign w:val="center"/>
          </w:tcPr>
          <w:p w14:paraId="413315C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3</w:t>
            </w:r>
            <w:r>
              <w:rPr>
                <w:rFonts w:hint="eastAsia" w:ascii="Times New Roman" w:hAnsi="Times New Roman" w:eastAsia="宋体" w:cs="Times New Roman"/>
                <w:color w:val="auto"/>
                <w:sz w:val="21"/>
                <w:szCs w:val="21"/>
                <w:lang w:val="en-US" w:eastAsia="zh-CN"/>
              </w:rPr>
              <w:t>6</w:t>
            </w:r>
            <w:r>
              <w:rPr>
                <w:rFonts w:hint="default" w:ascii="Times New Roman" w:hAnsi="Times New Roman" w:eastAsia="宋体" w:cs="Times New Roman"/>
                <w:color w:val="auto"/>
                <w:sz w:val="21"/>
                <w:szCs w:val="21"/>
              </w:rPr>
              <w:t>0</w:t>
            </w:r>
          </w:p>
        </w:tc>
        <w:tc>
          <w:tcPr>
            <w:tcW w:w="242" w:type="pct"/>
            <w:noWrap w:val="0"/>
            <w:vAlign w:val="center"/>
          </w:tcPr>
          <w:p w14:paraId="5061C3B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96" w:type="pct"/>
            <w:noWrap w:val="0"/>
            <w:vAlign w:val="center"/>
          </w:tcPr>
          <w:p w14:paraId="354AEF2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3BBB7C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111" w:type="pct"/>
            <w:vMerge w:val="continue"/>
            <w:noWrap w:val="0"/>
            <w:vAlign w:val="center"/>
          </w:tcPr>
          <w:p w14:paraId="13BA471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56" w:type="pct"/>
            <w:vMerge w:val="continue"/>
            <w:noWrap w:val="0"/>
            <w:vAlign w:val="center"/>
          </w:tcPr>
          <w:p w14:paraId="0776040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333" w:type="pct"/>
            <w:noWrap w:val="0"/>
            <w:vAlign w:val="center"/>
          </w:tcPr>
          <w:p w14:paraId="616FEDF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BOD</w:t>
            </w:r>
            <w:r>
              <w:rPr>
                <w:rFonts w:hint="default" w:ascii="Times New Roman" w:hAnsi="Times New Roman" w:eastAsia="宋体" w:cs="Times New Roman"/>
                <w:i w:val="0"/>
                <w:iCs w:val="0"/>
                <w:color w:val="auto"/>
                <w:kern w:val="0"/>
                <w:sz w:val="21"/>
                <w:szCs w:val="21"/>
                <w:u w:val="none"/>
                <w:vertAlign w:val="subscript"/>
                <w:lang w:val="en-US" w:eastAsia="zh-CN" w:bidi="ar"/>
              </w:rPr>
              <w:t>5</w:t>
            </w:r>
          </w:p>
        </w:tc>
        <w:tc>
          <w:tcPr>
            <w:tcW w:w="208" w:type="pct"/>
            <w:vMerge w:val="continue"/>
            <w:noWrap w:val="0"/>
            <w:vAlign w:val="center"/>
          </w:tcPr>
          <w:p w14:paraId="7C7D3D9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94" w:type="pct"/>
            <w:vMerge w:val="continue"/>
            <w:noWrap w:val="0"/>
            <w:vAlign w:val="center"/>
          </w:tcPr>
          <w:p w14:paraId="75742B4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197" w:type="pct"/>
            <w:vMerge w:val="continue"/>
            <w:noWrap w:val="0"/>
            <w:vAlign w:val="center"/>
          </w:tcPr>
          <w:p w14:paraId="261F8B8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181" w:type="pct"/>
            <w:vMerge w:val="continue"/>
            <w:noWrap w:val="0"/>
            <w:vAlign w:val="center"/>
          </w:tcPr>
          <w:p w14:paraId="11A51B1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84" w:type="pct"/>
            <w:vMerge w:val="continue"/>
            <w:noWrap w:val="0"/>
            <w:vAlign w:val="center"/>
          </w:tcPr>
          <w:p w14:paraId="4BCC01D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30" w:type="pct"/>
            <w:vMerge w:val="continue"/>
            <w:noWrap w:val="0"/>
            <w:vAlign w:val="center"/>
          </w:tcPr>
          <w:p w14:paraId="4DE71E5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34" w:type="pct"/>
            <w:vMerge w:val="continue"/>
            <w:noWrap w:val="0"/>
            <w:vAlign w:val="center"/>
          </w:tcPr>
          <w:p w14:paraId="0F4695C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308" w:type="pct"/>
            <w:vMerge w:val="continue"/>
            <w:noWrap w:val="0"/>
            <w:vAlign w:val="center"/>
          </w:tcPr>
          <w:p w14:paraId="76AA59C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12" w:type="pct"/>
            <w:vMerge w:val="continue"/>
            <w:noWrap w:val="0"/>
            <w:vAlign w:val="center"/>
          </w:tcPr>
          <w:p w14:paraId="3B7162A3">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p>
        </w:tc>
        <w:tc>
          <w:tcPr>
            <w:tcW w:w="200" w:type="pct"/>
            <w:vMerge w:val="continue"/>
            <w:noWrap w:val="0"/>
            <w:vAlign w:val="center"/>
          </w:tcPr>
          <w:p w14:paraId="7211333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49" w:type="pct"/>
            <w:vMerge w:val="continue"/>
            <w:noWrap w:val="0"/>
            <w:vAlign w:val="center"/>
          </w:tcPr>
          <w:p w14:paraId="2988899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35" w:type="pct"/>
            <w:vMerge w:val="continue"/>
            <w:noWrap w:val="0"/>
            <w:vAlign w:val="center"/>
          </w:tcPr>
          <w:p w14:paraId="3EFF1B1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689" w:type="pct"/>
            <w:vMerge w:val="continue"/>
            <w:noWrap w:val="0"/>
            <w:vAlign w:val="center"/>
          </w:tcPr>
          <w:p w14:paraId="30E8C23D">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rPr>
            </w:pPr>
          </w:p>
        </w:tc>
        <w:tc>
          <w:tcPr>
            <w:tcW w:w="333" w:type="pct"/>
            <w:noWrap w:val="0"/>
            <w:vAlign w:val="center"/>
          </w:tcPr>
          <w:p w14:paraId="38B7AAA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80</w:t>
            </w:r>
          </w:p>
        </w:tc>
        <w:tc>
          <w:tcPr>
            <w:tcW w:w="242" w:type="pct"/>
            <w:noWrap w:val="0"/>
            <w:vAlign w:val="center"/>
          </w:tcPr>
          <w:p w14:paraId="1F356CD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96" w:type="pct"/>
            <w:noWrap w:val="0"/>
            <w:vAlign w:val="center"/>
          </w:tcPr>
          <w:p w14:paraId="21FF1A9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6C569E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111" w:type="pct"/>
            <w:vMerge w:val="continue"/>
            <w:noWrap w:val="0"/>
            <w:vAlign w:val="center"/>
          </w:tcPr>
          <w:p w14:paraId="262649A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56" w:type="pct"/>
            <w:vMerge w:val="continue"/>
            <w:noWrap w:val="0"/>
            <w:vAlign w:val="center"/>
          </w:tcPr>
          <w:p w14:paraId="6BC23B8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333" w:type="pct"/>
            <w:noWrap w:val="0"/>
            <w:vAlign w:val="center"/>
          </w:tcPr>
          <w:p w14:paraId="0A06EB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NH</w:t>
            </w:r>
            <w:r>
              <w:rPr>
                <w:rFonts w:hint="default" w:ascii="Times New Roman" w:hAnsi="Times New Roman" w:eastAsia="宋体" w:cs="Times New Roman"/>
                <w:i w:val="0"/>
                <w:iCs w:val="0"/>
                <w:color w:val="auto"/>
                <w:kern w:val="0"/>
                <w:sz w:val="21"/>
                <w:szCs w:val="21"/>
                <w:u w:val="none"/>
                <w:vertAlign w:val="subscript"/>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-N</w:t>
            </w:r>
          </w:p>
        </w:tc>
        <w:tc>
          <w:tcPr>
            <w:tcW w:w="208" w:type="pct"/>
            <w:vMerge w:val="continue"/>
            <w:noWrap w:val="0"/>
            <w:vAlign w:val="center"/>
          </w:tcPr>
          <w:p w14:paraId="5A210F6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94" w:type="pct"/>
            <w:vMerge w:val="continue"/>
            <w:noWrap w:val="0"/>
            <w:vAlign w:val="center"/>
          </w:tcPr>
          <w:p w14:paraId="60E9CA9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197" w:type="pct"/>
            <w:vMerge w:val="continue"/>
            <w:noWrap w:val="0"/>
            <w:vAlign w:val="center"/>
          </w:tcPr>
          <w:p w14:paraId="6D3175B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181" w:type="pct"/>
            <w:vMerge w:val="continue"/>
            <w:noWrap w:val="0"/>
            <w:vAlign w:val="center"/>
          </w:tcPr>
          <w:p w14:paraId="771788D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84" w:type="pct"/>
            <w:vMerge w:val="continue"/>
            <w:noWrap w:val="0"/>
            <w:vAlign w:val="center"/>
          </w:tcPr>
          <w:p w14:paraId="01690FF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30" w:type="pct"/>
            <w:vMerge w:val="continue"/>
            <w:noWrap w:val="0"/>
            <w:vAlign w:val="center"/>
          </w:tcPr>
          <w:p w14:paraId="0C44A5D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34" w:type="pct"/>
            <w:vMerge w:val="continue"/>
            <w:noWrap w:val="0"/>
            <w:vAlign w:val="center"/>
          </w:tcPr>
          <w:p w14:paraId="332D544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308" w:type="pct"/>
            <w:vMerge w:val="continue"/>
            <w:noWrap w:val="0"/>
            <w:vAlign w:val="center"/>
          </w:tcPr>
          <w:p w14:paraId="48E9644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12" w:type="pct"/>
            <w:vMerge w:val="continue"/>
            <w:noWrap w:val="0"/>
            <w:vAlign w:val="center"/>
          </w:tcPr>
          <w:p w14:paraId="01D477D1">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p>
        </w:tc>
        <w:tc>
          <w:tcPr>
            <w:tcW w:w="200" w:type="pct"/>
            <w:vMerge w:val="continue"/>
            <w:noWrap w:val="0"/>
            <w:vAlign w:val="center"/>
          </w:tcPr>
          <w:p w14:paraId="3A49018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49" w:type="pct"/>
            <w:vMerge w:val="continue"/>
            <w:noWrap w:val="0"/>
            <w:vAlign w:val="center"/>
          </w:tcPr>
          <w:p w14:paraId="734FE00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35" w:type="pct"/>
            <w:vMerge w:val="continue"/>
            <w:noWrap w:val="0"/>
            <w:vAlign w:val="center"/>
          </w:tcPr>
          <w:p w14:paraId="1314F0F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689" w:type="pct"/>
            <w:vMerge w:val="continue"/>
            <w:noWrap w:val="0"/>
            <w:vAlign w:val="center"/>
          </w:tcPr>
          <w:p w14:paraId="6947BA0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rPr>
            </w:pPr>
          </w:p>
        </w:tc>
        <w:tc>
          <w:tcPr>
            <w:tcW w:w="333" w:type="pct"/>
            <w:noWrap w:val="0"/>
            <w:vAlign w:val="center"/>
          </w:tcPr>
          <w:p w14:paraId="28B7067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rPr>
            </w:pPr>
            <w:r>
              <w:rPr>
                <w:rFonts w:hint="eastAsia" w:ascii="Times New Roman" w:hAnsi="Times New Roman" w:eastAsia="宋体" w:cs="Times New Roman"/>
                <w:color w:val="auto"/>
                <w:sz w:val="21"/>
                <w:szCs w:val="21"/>
                <w:lang w:val="en-US" w:eastAsia="zh-CN"/>
              </w:rPr>
              <w:t>35</w:t>
            </w:r>
          </w:p>
        </w:tc>
        <w:tc>
          <w:tcPr>
            <w:tcW w:w="242" w:type="pct"/>
            <w:noWrap w:val="0"/>
            <w:vAlign w:val="center"/>
          </w:tcPr>
          <w:p w14:paraId="7B525DD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96" w:type="pct"/>
            <w:noWrap w:val="0"/>
            <w:vAlign w:val="center"/>
          </w:tcPr>
          <w:p w14:paraId="093A8C5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26355B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111" w:type="pct"/>
            <w:vMerge w:val="continue"/>
            <w:noWrap w:val="0"/>
            <w:vAlign w:val="center"/>
          </w:tcPr>
          <w:p w14:paraId="057214D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56" w:type="pct"/>
            <w:vMerge w:val="continue"/>
            <w:noWrap w:val="0"/>
            <w:vAlign w:val="center"/>
          </w:tcPr>
          <w:p w14:paraId="4F9A7AF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333" w:type="pct"/>
            <w:noWrap w:val="0"/>
            <w:vAlign w:val="center"/>
          </w:tcPr>
          <w:p w14:paraId="1EE89A9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SS</w:t>
            </w:r>
          </w:p>
        </w:tc>
        <w:tc>
          <w:tcPr>
            <w:tcW w:w="208" w:type="pct"/>
            <w:vMerge w:val="continue"/>
            <w:noWrap w:val="0"/>
            <w:vAlign w:val="center"/>
          </w:tcPr>
          <w:p w14:paraId="146AF44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94" w:type="pct"/>
            <w:vMerge w:val="continue"/>
            <w:noWrap w:val="0"/>
            <w:vAlign w:val="center"/>
          </w:tcPr>
          <w:p w14:paraId="5230837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197" w:type="pct"/>
            <w:vMerge w:val="continue"/>
            <w:noWrap w:val="0"/>
            <w:vAlign w:val="center"/>
          </w:tcPr>
          <w:p w14:paraId="6904799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181" w:type="pct"/>
            <w:vMerge w:val="continue"/>
            <w:noWrap w:val="0"/>
            <w:vAlign w:val="center"/>
          </w:tcPr>
          <w:p w14:paraId="79FA03D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84" w:type="pct"/>
            <w:vMerge w:val="continue"/>
            <w:noWrap w:val="0"/>
            <w:vAlign w:val="center"/>
          </w:tcPr>
          <w:p w14:paraId="703939F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30" w:type="pct"/>
            <w:vMerge w:val="continue"/>
            <w:noWrap w:val="0"/>
            <w:vAlign w:val="center"/>
          </w:tcPr>
          <w:p w14:paraId="40921B0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34" w:type="pct"/>
            <w:vMerge w:val="continue"/>
            <w:noWrap w:val="0"/>
            <w:vAlign w:val="center"/>
          </w:tcPr>
          <w:p w14:paraId="78C5686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308" w:type="pct"/>
            <w:vMerge w:val="continue"/>
            <w:noWrap w:val="0"/>
            <w:vAlign w:val="center"/>
          </w:tcPr>
          <w:p w14:paraId="3EDDB4C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12" w:type="pct"/>
            <w:vMerge w:val="continue"/>
            <w:noWrap w:val="0"/>
            <w:vAlign w:val="center"/>
          </w:tcPr>
          <w:p w14:paraId="590478A0">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p>
        </w:tc>
        <w:tc>
          <w:tcPr>
            <w:tcW w:w="200" w:type="pct"/>
            <w:vMerge w:val="continue"/>
            <w:noWrap w:val="0"/>
            <w:vAlign w:val="center"/>
          </w:tcPr>
          <w:p w14:paraId="3FE21F7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49" w:type="pct"/>
            <w:vMerge w:val="continue"/>
            <w:noWrap w:val="0"/>
            <w:vAlign w:val="center"/>
          </w:tcPr>
          <w:p w14:paraId="7594DAE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35" w:type="pct"/>
            <w:vMerge w:val="continue"/>
            <w:noWrap w:val="0"/>
            <w:vAlign w:val="center"/>
          </w:tcPr>
          <w:p w14:paraId="464B8DD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689" w:type="pct"/>
            <w:vMerge w:val="continue"/>
            <w:noWrap w:val="0"/>
            <w:vAlign w:val="center"/>
          </w:tcPr>
          <w:p w14:paraId="363D87B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rPr>
            </w:pPr>
          </w:p>
        </w:tc>
        <w:tc>
          <w:tcPr>
            <w:tcW w:w="333" w:type="pct"/>
            <w:noWrap w:val="0"/>
            <w:vAlign w:val="center"/>
          </w:tcPr>
          <w:p w14:paraId="7C76D44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200</w:t>
            </w:r>
          </w:p>
        </w:tc>
        <w:tc>
          <w:tcPr>
            <w:tcW w:w="242" w:type="pct"/>
            <w:noWrap w:val="0"/>
            <w:vAlign w:val="center"/>
          </w:tcPr>
          <w:p w14:paraId="27D63FA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96" w:type="pct"/>
            <w:noWrap w:val="0"/>
            <w:vAlign w:val="center"/>
          </w:tcPr>
          <w:p w14:paraId="3D7894E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7362FE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111" w:type="pct"/>
            <w:vMerge w:val="continue"/>
            <w:noWrap w:val="0"/>
            <w:vAlign w:val="center"/>
          </w:tcPr>
          <w:p w14:paraId="489315B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56" w:type="pct"/>
            <w:vMerge w:val="continue"/>
            <w:noWrap w:val="0"/>
            <w:vAlign w:val="center"/>
          </w:tcPr>
          <w:p w14:paraId="62F793E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333" w:type="pct"/>
            <w:noWrap w:val="0"/>
            <w:vAlign w:val="center"/>
          </w:tcPr>
          <w:p w14:paraId="4BB52F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TP</w:t>
            </w:r>
          </w:p>
        </w:tc>
        <w:tc>
          <w:tcPr>
            <w:tcW w:w="208" w:type="pct"/>
            <w:vMerge w:val="continue"/>
            <w:noWrap w:val="0"/>
            <w:vAlign w:val="center"/>
          </w:tcPr>
          <w:p w14:paraId="31DE407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94" w:type="pct"/>
            <w:vMerge w:val="continue"/>
            <w:noWrap w:val="0"/>
            <w:vAlign w:val="center"/>
          </w:tcPr>
          <w:p w14:paraId="40C1DE1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197" w:type="pct"/>
            <w:vMerge w:val="continue"/>
            <w:noWrap w:val="0"/>
            <w:vAlign w:val="center"/>
          </w:tcPr>
          <w:p w14:paraId="299BE47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181" w:type="pct"/>
            <w:vMerge w:val="continue"/>
            <w:noWrap w:val="0"/>
            <w:vAlign w:val="center"/>
          </w:tcPr>
          <w:p w14:paraId="1BBE3B9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84" w:type="pct"/>
            <w:vMerge w:val="continue"/>
            <w:noWrap w:val="0"/>
            <w:vAlign w:val="center"/>
          </w:tcPr>
          <w:p w14:paraId="72EA789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30" w:type="pct"/>
            <w:vMerge w:val="continue"/>
            <w:noWrap w:val="0"/>
            <w:vAlign w:val="center"/>
          </w:tcPr>
          <w:p w14:paraId="3807D81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34" w:type="pct"/>
            <w:vMerge w:val="continue"/>
            <w:noWrap w:val="0"/>
            <w:vAlign w:val="center"/>
          </w:tcPr>
          <w:p w14:paraId="5C67754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308" w:type="pct"/>
            <w:vMerge w:val="continue"/>
            <w:noWrap w:val="0"/>
            <w:vAlign w:val="center"/>
          </w:tcPr>
          <w:p w14:paraId="2472169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12" w:type="pct"/>
            <w:vMerge w:val="continue"/>
            <w:noWrap w:val="0"/>
            <w:vAlign w:val="center"/>
          </w:tcPr>
          <w:p w14:paraId="2AB8228B">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p>
        </w:tc>
        <w:tc>
          <w:tcPr>
            <w:tcW w:w="200" w:type="pct"/>
            <w:vMerge w:val="continue"/>
            <w:noWrap w:val="0"/>
            <w:vAlign w:val="center"/>
          </w:tcPr>
          <w:p w14:paraId="3AA3A8D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49" w:type="pct"/>
            <w:vMerge w:val="continue"/>
            <w:noWrap w:val="0"/>
            <w:vAlign w:val="center"/>
          </w:tcPr>
          <w:p w14:paraId="2275D67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35" w:type="pct"/>
            <w:vMerge w:val="continue"/>
            <w:noWrap w:val="0"/>
            <w:vAlign w:val="center"/>
          </w:tcPr>
          <w:p w14:paraId="07FF058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689" w:type="pct"/>
            <w:vMerge w:val="continue"/>
            <w:noWrap w:val="0"/>
            <w:vAlign w:val="center"/>
          </w:tcPr>
          <w:p w14:paraId="765672D8">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rPr>
            </w:pPr>
          </w:p>
        </w:tc>
        <w:tc>
          <w:tcPr>
            <w:tcW w:w="333" w:type="pct"/>
            <w:noWrap w:val="0"/>
            <w:vAlign w:val="center"/>
          </w:tcPr>
          <w:p w14:paraId="6BDED07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4.5</w:t>
            </w:r>
          </w:p>
        </w:tc>
        <w:tc>
          <w:tcPr>
            <w:tcW w:w="689" w:type="dxa"/>
            <w:noWrap w:val="0"/>
            <w:vAlign w:val="center"/>
          </w:tcPr>
          <w:p w14:paraId="265575D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557" w:type="dxa"/>
            <w:noWrap w:val="0"/>
            <w:vAlign w:val="center"/>
          </w:tcPr>
          <w:p w14:paraId="5FBEF66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4FBC625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111" w:type="pct"/>
            <w:vMerge w:val="continue"/>
            <w:noWrap w:val="0"/>
            <w:vAlign w:val="center"/>
          </w:tcPr>
          <w:p w14:paraId="31FDD33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56" w:type="pct"/>
            <w:vMerge w:val="continue"/>
            <w:noWrap w:val="0"/>
            <w:vAlign w:val="center"/>
          </w:tcPr>
          <w:p w14:paraId="4227D91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333" w:type="pct"/>
            <w:noWrap w:val="0"/>
            <w:vAlign w:val="center"/>
          </w:tcPr>
          <w:p w14:paraId="23B8678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TN</w:t>
            </w:r>
          </w:p>
        </w:tc>
        <w:tc>
          <w:tcPr>
            <w:tcW w:w="208" w:type="pct"/>
            <w:vMerge w:val="continue"/>
            <w:noWrap w:val="0"/>
            <w:vAlign w:val="center"/>
          </w:tcPr>
          <w:p w14:paraId="73271C6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94" w:type="pct"/>
            <w:vMerge w:val="continue"/>
            <w:noWrap w:val="0"/>
            <w:vAlign w:val="center"/>
          </w:tcPr>
          <w:p w14:paraId="2D32CC6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197" w:type="pct"/>
            <w:vMerge w:val="continue"/>
            <w:noWrap w:val="0"/>
            <w:vAlign w:val="center"/>
          </w:tcPr>
          <w:p w14:paraId="066E50F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181" w:type="pct"/>
            <w:vMerge w:val="continue"/>
            <w:noWrap w:val="0"/>
            <w:vAlign w:val="center"/>
          </w:tcPr>
          <w:p w14:paraId="5258326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84" w:type="pct"/>
            <w:vMerge w:val="continue"/>
            <w:noWrap w:val="0"/>
            <w:vAlign w:val="center"/>
          </w:tcPr>
          <w:p w14:paraId="073BD5F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30" w:type="pct"/>
            <w:vMerge w:val="continue"/>
            <w:noWrap w:val="0"/>
            <w:vAlign w:val="center"/>
          </w:tcPr>
          <w:p w14:paraId="109EB33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34" w:type="pct"/>
            <w:vMerge w:val="continue"/>
            <w:noWrap w:val="0"/>
            <w:vAlign w:val="center"/>
          </w:tcPr>
          <w:p w14:paraId="19A787F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308" w:type="pct"/>
            <w:vMerge w:val="continue"/>
            <w:noWrap w:val="0"/>
            <w:vAlign w:val="center"/>
          </w:tcPr>
          <w:p w14:paraId="49071F9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12" w:type="pct"/>
            <w:vMerge w:val="continue"/>
            <w:noWrap w:val="0"/>
            <w:vAlign w:val="center"/>
          </w:tcPr>
          <w:p w14:paraId="699CF289">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p>
        </w:tc>
        <w:tc>
          <w:tcPr>
            <w:tcW w:w="200" w:type="pct"/>
            <w:vMerge w:val="continue"/>
            <w:noWrap w:val="0"/>
            <w:vAlign w:val="center"/>
          </w:tcPr>
          <w:p w14:paraId="4D76849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49" w:type="pct"/>
            <w:vMerge w:val="continue"/>
            <w:noWrap w:val="0"/>
            <w:vAlign w:val="center"/>
          </w:tcPr>
          <w:p w14:paraId="67899FC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235" w:type="pct"/>
            <w:vMerge w:val="continue"/>
            <w:noWrap w:val="0"/>
            <w:vAlign w:val="center"/>
          </w:tcPr>
          <w:p w14:paraId="1748505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689" w:type="pct"/>
            <w:vMerge w:val="continue"/>
            <w:noWrap w:val="0"/>
            <w:vAlign w:val="center"/>
          </w:tcPr>
          <w:p w14:paraId="6B3CB871">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rPr>
            </w:pPr>
          </w:p>
        </w:tc>
        <w:tc>
          <w:tcPr>
            <w:tcW w:w="333" w:type="pct"/>
            <w:noWrap w:val="0"/>
            <w:vAlign w:val="center"/>
          </w:tcPr>
          <w:p w14:paraId="4FB86E1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50</w:t>
            </w:r>
          </w:p>
        </w:tc>
        <w:tc>
          <w:tcPr>
            <w:tcW w:w="689" w:type="dxa"/>
            <w:noWrap w:val="0"/>
            <w:vAlign w:val="center"/>
          </w:tcPr>
          <w:p w14:paraId="6AC6955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557" w:type="dxa"/>
            <w:noWrap w:val="0"/>
            <w:vAlign w:val="center"/>
          </w:tcPr>
          <w:p w14:paraId="6C0AEF0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bl>
    <w:p w14:paraId="59C94838">
      <w:pPr>
        <w:pStyle w:val="63"/>
        <w:rPr>
          <w:rFonts w:hint="default" w:ascii="Times New Roman" w:hAnsi="Times New Roman" w:eastAsia="宋体" w:cs="Times New Roman"/>
          <w:color w:val="auto"/>
        </w:rPr>
      </w:pPr>
      <w:r>
        <w:rPr>
          <w:rFonts w:hint="default" w:ascii="Times New Roman" w:hAnsi="Times New Roman" w:eastAsia="宋体" w:cs="Times New Roman"/>
          <w:color w:val="auto"/>
        </w:rPr>
        <w:t>表9  建设项目废水直接排放口基本情况表</w:t>
      </w:r>
    </w:p>
    <w:tbl>
      <w:tblPr>
        <w:tblStyle w:val="53"/>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917"/>
        <w:gridCol w:w="949"/>
        <w:gridCol w:w="1034"/>
        <w:gridCol w:w="1020"/>
        <w:gridCol w:w="718"/>
        <w:gridCol w:w="670"/>
        <w:gridCol w:w="878"/>
        <w:gridCol w:w="1085"/>
        <w:gridCol w:w="2013"/>
        <w:gridCol w:w="1365"/>
        <w:gridCol w:w="1626"/>
        <w:gridCol w:w="1504"/>
      </w:tblGrid>
      <w:tr w14:paraId="0DFDA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47" w:type="pct"/>
            <w:vMerge w:val="restart"/>
            <w:noWrap w:val="0"/>
            <w:vAlign w:val="center"/>
          </w:tcPr>
          <w:p w14:paraId="2FA009E5">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序号</w:t>
            </w:r>
          </w:p>
        </w:tc>
        <w:tc>
          <w:tcPr>
            <w:tcW w:w="323" w:type="pct"/>
            <w:vMerge w:val="restart"/>
            <w:noWrap w:val="0"/>
            <w:vAlign w:val="center"/>
          </w:tcPr>
          <w:p w14:paraId="61AC1E61">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排放口编号</w:t>
            </w:r>
          </w:p>
        </w:tc>
        <w:tc>
          <w:tcPr>
            <w:tcW w:w="334" w:type="pct"/>
            <w:vMerge w:val="restart"/>
            <w:noWrap w:val="0"/>
            <w:vAlign w:val="center"/>
          </w:tcPr>
          <w:p w14:paraId="3CBC6B67">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排放口名称</w:t>
            </w:r>
          </w:p>
        </w:tc>
        <w:tc>
          <w:tcPr>
            <w:tcW w:w="723" w:type="pct"/>
            <w:gridSpan w:val="2"/>
            <w:noWrap w:val="0"/>
            <w:vAlign w:val="center"/>
          </w:tcPr>
          <w:p w14:paraId="5013E0F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排放口地理位置</w:t>
            </w:r>
          </w:p>
        </w:tc>
        <w:tc>
          <w:tcPr>
            <w:tcW w:w="253" w:type="pct"/>
            <w:vMerge w:val="restart"/>
            <w:noWrap w:val="0"/>
            <w:vAlign w:val="center"/>
          </w:tcPr>
          <w:p w14:paraId="7636505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排放去向</w:t>
            </w:r>
          </w:p>
        </w:tc>
        <w:tc>
          <w:tcPr>
            <w:tcW w:w="236" w:type="pct"/>
            <w:vMerge w:val="restart"/>
            <w:noWrap w:val="0"/>
            <w:vAlign w:val="center"/>
          </w:tcPr>
          <w:p w14:paraId="4D261323">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排放规律</w:t>
            </w:r>
          </w:p>
        </w:tc>
        <w:tc>
          <w:tcPr>
            <w:tcW w:w="309" w:type="pct"/>
            <w:vMerge w:val="restart"/>
            <w:noWrap w:val="0"/>
            <w:vAlign w:val="center"/>
          </w:tcPr>
          <w:p w14:paraId="48CF4452">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间歇排放时段</w:t>
            </w:r>
          </w:p>
        </w:tc>
        <w:tc>
          <w:tcPr>
            <w:tcW w:w="1090" w:type="pct"/>
            <w:gridSpan w:val="2"/>
            <w:noWrap w:val="0"/>
            <w:vAlign w:val="center"/>
          </w:tcPr>
          <w:p w14:paraId="45CCCED3">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受纳自然水体信息</w:t>
            </w:r>
          </w:p>
        </w:tc>
        <w:tc>
          <w:tcPr>
            <w:tcW w:w="1052" w:type="pct"/>
            <w:gridSpan w:val="2"/>
            <w:noWrap w:val="0"/>
            <w:vAlign w:val="center"/>
          </w:tcPr>
          <w:p w14:paraId="4502A85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汇入受纳自然水体处理坐标</w:t>
            </w:r>
          </w:p>
        </w:tc>
        <w:tc>
          <w:tcPr>
            <w:tcW w:w="529" w:type="pct"/>
            <w:vMerge w:val="restart"/>
            <w:noWrap w:val="0"/>
            <w:vAlign w:val="center"/>
          </w:tcPr>
          <w:p w14:paraId="1CCDC75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其他信息</w:t>
            </w:r>
          </w:p>
        </w:tc>
      </w:tr>
      <w:tr w14:paraId="50A35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47" w:type="pct"/>
            <w:vMerge w:val="continue"/>
            <w:noWrap w:val="0"/>
            <w:vAlign w:val="center"/>
          </w:tcPr>
          <w:p w14:paraId="43370CB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p>
        </w:tc>
        <w:tc>
          <w:tcPr>
            <w:tcW w:w="323" w:type="pct"/>
            <w:vMerge w:val="continue"/>
            <w:noWrap w:val="0"/>
            <w:vAlign w:val="center"/>
          </w:tcPr>
          <w:p w14:paraId="4A23B4CD">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p>
        </w:tc>
        <w:tc>
          <w:tcPr>
            <w:tcW w:w="334" w:type="pct"/>
            <w:vMerge w:val="continue"/>
            <w:noWrap w:val="0"/>
            <w:vAlign w:val="center"/>
          </w:tcPr>
          <w:p w14:paraId="14AFE4E6">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p>
        </w:tc>
        <w:tc>
          <w:tcPr>
            <w:tcW w:w="364" w:type="pct"/>
            <w:noWrap w:val="0"/>
            <w:vAlign w:val="center"/>
          </w:tcPr>
          <w:p w14:paraId="3B338475">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经度</w:t>
            </w:r>
          </w:p>
        </w:tc>
        <w:tc>
          <w:tcPr>
            <w:tcW w:w="359" w:type="pct"/>
            <w:noWrap w:val="0"/>
            <w:vAlign w:val="center"/>
          </w:tcPr>
          <w:p w14:paraId="2F0F7EF9">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纬度</w:t>
            </w:r>
          </w:p>
        </w:tc>
        <w:tc>
          <w:tcPr>
            <w:tcW w:w="253" w:type="pct"/>
            <w:vMerge w:val="continue"/>
            <w:noWrap w:val="0"/>
            <w:vAlign w:val="center"/>
          </w:tcPr>
          <w:p w14:paraId="75D45E75">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p>
        </w:tc>
        <w:tc>
          <w:tcPr>
            <w:tcW w:w="236" w:type="pct"/>
            <w:vMerge w:val="continue"/>
            <w:noWrap w:val="0"/>
            <w:vAlign w:val="center"/>
          </w:tcPr>
          <w:p w14:paraId="53A05C98">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p>
        </w:tc>
        <w:tc>
          <w:tcPr>
            <w:tcW w:w="309" w:type="pct"/>
            <w:vMerge w:val="continue"/>
            <w:noWrap w:val="0"/>
            <w:vAlign w:val="center"/>
          </w:tcPr>
          <w:p w14:paraId="3C246E87">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p>
        </w:tc>
        <w:tc>
          <w:tcPr>
            <w:tcW w:w="382" w:type="pct"/>
            <w:noWrap w:val="0"/>
            <w:vAlign w:val="center"/>
          </w:tcPr>
          <w:p w14:paraId="75C09FB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水体名称</w:t>
            </w:r>
          </w:p>
        </w:tc>
        <w:tc>
          <w:tcPr>
            <w:tcW w:w="707" w:type="pct"/>
            <w:noWrap w:val="0"/>
            <w:vAlign w:val="center"/>
          </w:tcPr>
          <w:p w14:paraId="68972D38">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受纳水体功能目标</w:t>
            </w:r>
          </w:p>
        </w:tc>
        <w:tc>
          <w:tcPr>
            <w:tcW w:w="480" w:type="pct"/>
            <w:noWrap w:val="0"/>
            <w:vAlign w:val="center"/>
          </w:tcPr>
          <w:p w14:paraId="411E1930">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经度</w:t>
            </w:r>
          </w:p>
        </w:tc>
        <w:tc>
          <w:tcPr>
            <w:tcW w:w="571" w:type="pct"/>
            <w:noWrap w:val="0"/>
            <w:vAlign w:val="center"/>
          </w:tcPr>
          <w:p w14:paraId="2D5B7350">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纬度</w:t>
            </w:r>
          </w:p>
        </w:tc>
        <w:tc>
          <w:tcPr>
            <w:tcW w:w="529" w:type="pct"/>
            <w:vMerge w:val="continue"/>
            <w:noWrap w:val="0"/>
            <w:vAlign w:val="center"/>
          </w:tcPr>
          <w:p w14:paraId="50F2E597">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p>
        </w:tc>
      </w:tr>
      <w:tr w14:paraId="76C3B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147" w:type="pct"/>
            <w:noWrap w:val="0"/>
            <w:vAlign w:val="center"/>
          </w:tcPr>
          <w:p w14:paraId="0D6EAA4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w:t>
            </w:r>
          </w:p>
        </w:tc>
        <w:tc>
          <w:tcPr>
            <w:tcW w:w="323" w:type="pct"/>
            <w:noWrap w:val="0"/>
            <w:vAlign w:val="center"/>
          </w:tcPr>
          <w:p w14:paraId="45BE754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w:t>
            </w:r>
          </w:p>
        </w:tc>
        <w:tc>
          <w:tcPr>
            <w:tcW w:w="334" w:type="pct"/>
            <w:noWrap w:val="0"/>
            <w:vAlign w:val="center"/>
          </w:tcPr>
          <w:p w14:paraId="2993C29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w:t>
            </w:r>
          </w:p>
        </w:tc>
        <w:tc>
          <w:tcPr>
            <w:tcW w:w="364" w:type="pct"/>
            <w:noWrap w:val="0"/>
            <w:vAlign w:val="center"/>
          </w:tcPr>
          <w:p w14:paraId="5DCA7960">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w:t>
            </w:r>
          </w:p>
        </w:tc>
        <w:tc>
          <w:tcPr>
            <w:tcW w:w="359" w:type="pct"/>
            <w:noWrap w:val="0"/>
            <w:vAlign w:val="center"/>
          </w:tcPr>
          <w:p w14:paraId="7C6998F3">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w:t>
            </w:r>
          </w:p>
        </w:tc>
        <w:tc>
          <w:tcPr>
            <w:tcW w:w="253" w:type="pct"/>
            <w:noWrap w:val="0"/>
            <w:vAlign w:val="center"/>
          </w:tcPr>
          <w:p w14:paraId="4552057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w:t>
            </w:r>
          </w:p>
        </w:tc>
        <w:tc>
          <w:tcPr>
            <w:tcW w:w="236" w:type="pct"/>
            <w:noWrap w:val="0"/>
            <w:vAlign w:val="center"/>
          </w:tcPr>
          <w:p w14:paraId="318E7471">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w:t>
            </w:r>
          </w:p>
        </w:tc>
        <w:tc>
          <w:tcPr>
            <w:tcW w:w="309" w:type="pct"/>
            <w:noWrap w:val="0"/>
            <w:vAlign w:val="center"/>
          </w:tcPr>
          <w:p w14:paraId="5F85A91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w:t>
            </w:r>
          </w:p>
        </w:tc>
        <w:tc>
          <w:tcPr>
            <w:tcW w:w="382" w:type="pct"/>
            <w:noWrap w:val="0"/>
            <w:vAlign w:val="center"/>
          </w:tcPr>
          <w:p w14:paraId="6082F63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w:t>
            </w:r>
          </w:p>
        </w:tc>
        <w:tc>
          <w:tcPr>
            <w:tcW w:w="707" w:type="pct"/>
            <w:noWrap w:val="0"/>
            <w:vAlign w:val="center"/>
          </w:tcPr>
          <w:p w14:paraId="040300E9">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w:t>
            </w:r>
          </w:p>
        </w:tc>
        <w:tc>
          <w:tcPr>
            <w:tcW w:w="480" w:type="pct"/>
            <w:noWrap w:val="0"/>
            <w:vAlign w:val="center"/>
          </w:tcPr>
          <w:p w14:paraId="44C20F57">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w:t>
            </w:r>
          </w:p>
        </w:tc>
        <w:tc>
          <w:tcPr>
            <w:tcW w:w="571" w:type="pct"/>
            <w:noWrap w:val="0"/>
            <w:vAlign w:val="center"/>
          </w:tcPr>
          <w:p w14:paraId="03FAC015">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w:t>
            </w:r>
          </w:p>
        </w:tc>
        <w:tc>
          <w:tcPr>
            <w:tcW w:w="529" w:type="pct"/>
            <w:noWrap w:val="0"/>
            <w:vAlign w:val="center"/>
          </w:tcPr>
          <w:p w14:paraId="56C646B3">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color w:val="auto"/>
                <w:kern w:val="0"/>
              </w:rPr>
              <w:t>无直排</w:t>
            </w:r>
          </w:p>
        </w:tc>
      </w:tr>
    </w:tbl>
    <w:p w14:paraId="4C933342">
      <w:pPr>
        <w:spacing w:line="440" w:lineRule="exact"/>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表10  建设项目直接排放入河排污口信息表</w:t>
      </w:r>
    </w:p>
    <w:tbl>
      <w:tblPr>
        <w:tblStyle w:val="53"/>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1524"/>
        <w:gridCol w:w="935"/>
        <w:gridCol w:w="1143"/>
        <w:gridCol w:w="898"/>
        <w:gridCol w:w="1359"/>
        <w:gridCol w:w="7689"/>
      </w:tblGrid>
      <w:tr w14:paraId="4D06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232" w:type="pct"/>
            <w:vMerge w:val="restart"/>
            <w:noWrap w:val="0"/>
            <w:vAlign w:val="center"/>
          </w:tcPr>
          <w:p w14:paraId="0C713C33">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序号</w:t>
            </w:r>
          </w:p>
        </w:tc>
        <w:tc>
          <w:tcPr>
            <w:tcW w:w="536" w:type="pct"/>
            <w:vMerge w:val="restart"/>
            <w:noWrap w:val="0"/>
            <w:vAlign w:val="center"/>
          </w:tcPr>
          <w:p w14:paraId="3CAE3442">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排放口编号</w:t>
            </w:r>
          </w:p>
        </w:tc>
        <w:tc>
          <w:tcPr>
            <w:tcW w:w="329" w:type="pct"/>
            <w:vMerge w:val="restart"/>
            <w:noWrap w:val="0"/>
            <w:vAlign w:val="center"/>
          </w:tcPr>
          <w:p w14:paraId="68D1D1CD">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排放口名称</w:t>
            </w:r>
          </w:p>
        </w:tc>
        <w:tc>
          <w:tcPr>
            <w:tcW w:w="1196" w:type="pct"/>
            <w:gridSpan w:val="3"/>
            <w:noWrap w:val="0"/>
            <w:vAlign w:val="center"/>
          </w:tcPr>
          <w:p w14:paraId="33747557">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入河排污口</w:t>
            </w:r>
          </w:p>
        </w:tc>
        <w:tc>
          <w:tcPr>
            <w:tcW w:w="2705" w:type="pct"/>
            <w:vMerge w:val="restart"/>
            <w:noWrap w:val="0"/>
            <w:vAlign w:val="center"/>
          </w:tcPr>
          <w:p w14:paraId="12465022">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其他信息</w:t>
            </w:r>
          </w:p>
        </w:tc>
      </w:tr>
      <w:tr w14:paraId="2FF1C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32" w:type="pct"/>
            <w:vMerge w:val="continue"/>
            <w:noWrap w:val="0"/>
            <w:vAlign w:val="center"/>
          </w:tcPr>
          <w:p w14:paraId="3329D9D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p>
        </w:tc>
        <w:tc>
          <w:tcPr>
            <w:tcW w:w="536" w:type="pct"/>
            <w:vMerge w:val="continue"/>
            <w:noWrap w:val="0"/>
            <w:vAlign w:val="center"/>
          </w:tcPr>
          <w:p w14:paraId="2A440B7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p>
        </w:tc>
        <w:tc>
          <w:tcPr>
            <w:tcW w:w="329" w:type="pct"/>
            <w:vMerge w:val="continue"/>
            <w:noWrap w:val="0"/>
            <w:vAlign w:val="center"/>
          </w:tcPr>
          <w:p w14:paraId="7C688D12">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p>
        </w:tc>
        <w:tc>
          <w:tcPr>
            <w:tcW w:w="402" w:type="pct"/>
            <w:noWrap w:val="0"/>
            <w:vAlign w:val="center"/>
          </w:tcPr>
          <w:p w14:paraId="77239565">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水体名称</w:t>
            </w:r>
          </w:p>
        </w:tc>
        <w:tc>
          <w:tcPr>
            <w:tcW w:w="316" w:type="pct"/>
            <w:noWrap w:val="0"/>
            <w:vAlign w:val="center"/>
          </w:tcPr>
          <w:p w14:paraId="727B66DD">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编号</w:t>
            </w:r>
          </w:p>
        </w:tc>
        <w:tc>
          <w:tcPr>
            <w:tcW w:w="478" w:type="pct"/>
            <w:noWrap w:val="0"/>
            <w:vAlign w:val="center"/>
          </w:tcPr>
          <w:p w14:paraId="06CB46B3">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批复文号</w:t>
            </w:r>
          </w:p>
        </w:tc>
        <w:tc>
          <w:tcPr>
            <w:tcW w:w="2705" w:type="pct"/>
            <w:vMerge w:val="continue"/>
            <w:noWrap w:val="0"/>
            <w:vAlign w:val="center"/>
          </w:tcPr>
          <w:p w14:paraId="6BE261BA">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p>
        </w:tc>
      </w:tr>
      <w:tr w14:paraId="20623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232" w:type="pct"/>
            <w:noWrap w:val="0"/>
            <w:vAlign w:val="center"/>
          </w:tcPr>
          <w:p w14:paraId="3B76C42D">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w:t>
            </w:r>
          </w:p>
        </w:tc>
        <w:tc>
          <w:tcPr>
            <w:tcW w:w="536" w:type="pct"/>
            <w:noWrap w:val="0"/>
            <w:vAlign w:val="center"/>
          </w:tcPr>
          <w:p w14:paraId="7478D6C3">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w:t>
            </w:r>
          </w:p>
        </w:tc>
        <w:tc>
          <w:tcPr>
            <w:tcW w:w="329" w:type="pct"/>
            <w:noWrap w:val="0"/>
            <w:vAlign w:val="center"/>
          </w:tcPr>
          <w:p w14:paraId="68777221">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w:t>
            </w:r>
          </w:p>
        </w:tc>
        <w:tc>
          <w:tcPr>
            <w:tcW w:w="402" w:type="pct"/>
            <w:noWrap w:val="0"/>
            <w:vAlign w:val="center"/>
          </w:tcPr>
          <w:p w14:paraId="3C6CB15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w:t>
            </w:r>
          </w:p>
        </w:tc>
        <w:tc>
          <w:tcPr>
            <w:tcW w:w="316" w:type="pct"/>
            <w:noWrap w:val="0"/>
            <w:vAlign w:val="center"/>
          </w:tcPr>
          <w:p w14:paraId="49D4B3AD">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w:t>
            </w:r>
          </w:p>
        </w:tc>
        <w:tc>
          <w:tcPr>
            <w:tcW w:w="478" w:type="pct"/>
            <w:noWrap w:val="0"/>
            <w:vAlign w:val="center"/>
          </w:tcPr>
          <w:p w14:paraId="7191CC2D">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w:t>
            </w:r>
          </w:p>
        </w:tc>
        <w:tc>
          <w:tcPr>
            <w:tcW w:w="2705" w:type="pct"/>
            <w:noWrap w:val="0"/>
            <w:vAlign w:val="center"/>
          </w:tcPr>
          <w:p w14:paraId="1948F216">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color w:val="auto"/>
                <w:kern w:val="0"/>
              </w:rPr>
              <w:t>无直排</w:t>
            </w:r>
          </w:p>
        </w:tc>
      </w:tr>
    </w:tbl>
    <w:p w14:paraId="47F71D3C">
      <w:pPr>
        <w:tabs>
          <w:tab w:val="left" w:pos="1890"/>
        </w:tabs>
        <w:spacing w:line="420" w:lineRule="exact"/>
        <w:jc w:val="center"/>
        <w:rPr>
          <w:rFonts w:hint="default" w:ascii="Times New Roman" w:hAnsi="Times New Roman" w:eastAsia="宋体" w:cs="Times New Roman"/>
          <w:b/>
          <w:color w:val="FF0000"/>
        </w:rPr>
      </w:pPr>
    </w:p>
    <w:p w14:paraId="51495D26">
      <w:pPr>
        <w:tabs>
          <w:tab w:val="left" w:pos="1890"/>
        </w:tabs>
        <w:spacing w:line="420" w:lineRule="exact"/>
        <w:jc w:val="center"/>
        <w:rPr>
          <w:rFonts w:hint="default" w:ascii="Times New Roman" w:hAnsi="Times New Roman" w:eastAsia="宋体" w:cs="Times New Roman"/>
          <w:b/>
          <w:color w:val="FF0000"/>
        </w:rPr>
      </w:pPr>
    </w:p>
    <w:p w14:paraId="08B246A3">
      <w:pPr>
        <w:tabs>
          <w:tab w:val="left" w:pos="1890"/>
        </w:tabs>
        <w:spacing w:line="420" w:lineRule="exact"/>
        <w:jc w:val="center"/>
        <w:rPr>
          <w:rFonts w:hint="default" w:ascii="Times New Roman" w:hAnsi="Times New Roman" w:eastAsia="宋体" w:cs="Times New Roman"/>
          <w:b/>
          <w:color w:val="FF0000"/>
        </w:rPr>
      </w:pPr>
    </w:p>
    <w:p w14:paraId="772522B0">
      <w:pPr>
        <w:tabs>
          <w:tab w:val="left" w:pos="1890"/>
        </w:tabs>
        <w:spacing w:line="420" w:lineRule="exact"/>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表11  建设项目废水间接排放口基本情况表</w:t>
      </w:r>
    </w:p>
    <w:tbl>
      <w:tblPr>
        <w:tblStyle w:val="53"/>
        <w:tblW w:w="4996"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511"/>
        <w:gridCol w:w="721"/>
        <w:gridCol w:w="779"/>
        <w:gridCol w:w="1395"/>
        <w:gridCol w:w="1535"/>
        <w:gridCol w:w="549"/>
        <w:gridCol w:w="1586"/>
        <w:gridCol w:w="861"/>
        <w:gridCol w:w="878"/>
        <w:gridCol w:w="1049"/>
        <w:gridCol w:w="907"/>
        <w:gridCol w:w="830"/>
        <w:gridCol w:w="1038"/>
        <w:gridCol w:w="910"/>
        <w:gridCol w:w="660"/>
      </w:tblGrid>
      <w:tr w14:paraId="0F411C5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16" w:hRule="atLeast"/>
          <w:jc w:val="center"/>
        </w:trPr>
        <w:tc>
          <w:tcPr>
            <w:tcW w:w="180" w:type="pct"/>
            <w:vMerge w:val="restart"/>
            <w:noWrap w:val="0"/>
            <w:vAlign w:val="center"/>
          </w:tcPr>
          <w:p w14:paraId="1A388D3D">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序号</w:t>
            </w:r>
          </w:p>
        </w:tc>
        <w:tc>
          <w:tcPr>
            <w:tcW w:w="254" w:type="pct"/>
            <w:vMerge w:val="restart"/>
            <w:noWrap w:val="0"/>
            <w:vAlign w:val="center"/>
          </w:tcPr>
          <w:p w14:paraId="08D2D89F">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排放</w:t>
            </w:r>
          </w:p>
          <w:p w14:paraId="48A27919">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口编</w:t>
            </w:r>
          </w:p>
          <w:p w14:paraId="77FC531D">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号</w:t>
            </w:r>
          </w:p>
        </w:tc>
        <w:tc>
          <w:tcPr>
            <w:tcW w:w="274" w:type="pct"/>
            <w:vMerge w:val="restart"/>
            <w:noWrap w:val="0"/>
            <w:vAlign w:val="center"/>
          </w:tcPr>
          <w:p w14:paraId="6330647B">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排放口</w:t>
            </w:r>
          </w:p>
          <w:p w14:paraId="2316806C">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名称</w:t>
            </w:r>
          </w:p>
        </w:tc>
        <w:tc>
          <w:tcPr>
            <w:tcW w:w="1030" w:type="pct"/>
            <w:gridSpan w:val="2"/>
            <w:noWrap w:val="0"/>
            <w:vAlign w:val="center"/>
          </w:tcPr>
          <w:p w14:paraId="53477595">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排放口地理坐标</w:t>
            </w:r>
            <w:r>
              <w:rPr>
                <w:rFonts w:hint="default" w:ascii="Times New Roman" w:hAnsi="Times New Roman" w:eastAsia="宋体" w:cs="Times New Roman"/>
                <w:b/>
                <w:color w:val="auto"/>
                <w:vertAlign w:val="superscript"/>
              </w:rPr>
              <w:t>（a）</w:t>
            </w:r>
          </w:p>
        </w:tc>
        <w:tc>
          <w:tcPr>
            <w:tcW w:w="193" w:type="pct"/>
            <w:vMerge w:val="restart"/>
            <w:noWrap w:val="0"/>
            <w:vAlign w:val="center"/>
          </w:tcPr>
          <w:p w14:paraId="38205799">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排放</w:t>
            </w:r>
          </w:p>
          <w:p w14:paraId="64FCE823">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去向</w:t>
            </w:r>
          </w:p>
        </w:tc>
        <w:tc>
          <w:tcPr>
            <w:tcW w:w="558" w:type="pct"/>
            <w:vMerge w:val="restart"/>
            <w:noWrap w:val="0"/>
            <w:vAlign w:val="center"/>
          </w:tcPr>
          <w:p w14:paraId="0FAC046B">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排放</w:t>
            </w:r>
          </w:p>
          <w:p w14:paraId="2D833B61">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规律</w:t>
            </w:r>
          </w:p>
        </w:tc>
        <w:tc>
          <w:tcPr>
            <w:tcW w:w="303" w:type="pct"/>
            <w:vMerge w:val="restart"/>
            <w:noWrap w:val="0"/>
            <w:vAlign w:val="center"/>
          </w:tcPr>
          <w:p w14:paraId="66A35127">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间歇排放</w:t>
            </w:r>
          </w:p>
          <w:p w14:paraId="3D9EDB42">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时段</w:t>
            </w:r>
          </w:p>
        </w:tc>
        <w:tc>
          <w:tcPr>
            <w:tcW w:w="1974" w:type="pct"/>
            <w:gridSpan w:val="6"/>
            <w:noWrap w:val="0"/>
            <w:vAlign w:val="center"/>
          </w:tcPr>
          <w:p w14:paraId="0C7EB00D">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受纳污水处理厂信息</w:t>
            </w:r>
          </w:p>
        </w:tc>
        <w:tc>
          <w:tcPr>
            <w:tcW w:w="232" w:type="pct"/>
            <w:vMerge w:val="restart"/>
            <w:noWrap w:val="0"/>
            <w:vAlign w:val="center"/>
          </w:tcPr>
          <w:p w14:paraId="2DBDDFC7">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其他信息</w:t>
            </w:r>
          </w:p>
        </w:tc>
      </w:tr>
      <w:tr w14:paraId="615CF4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03" w:hRule="atLeast"/>
          <w:jc w:val="center"/>
        </w:trPr>
        <w:tc>
          <w:tcPr>
            <w:tcW w:w="180" w:type="pct"/>
            <w:vMerge w:val="continue"/>
            <w:noWrap w:val="0"/>
            <w:vAlign w:val="center"/>
          </w:tcPr>
          <w:p w14:paraId="67447919">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p>
        </w:tc>
        <w:tc>
          <w:tcPr>
            <w:tcW w:w="254" w:type="pct"/>
            <w:vMerge w:val="continue"/>
            <w:noWrap w:val="0"/>
            <w:vAlign w:val="center"/>
          </w:tcPr>
          <w:p w14:paraId="578D914E">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p>
        </w:tc>
        <w:tc>
          <w:tcPr>
            <w:tcW w:w="274" w:type="pct"/>
            <w:vMerge w:val="continue"/>
            <w:noWrap w:val="0"/>
            <w:vAlign w:val="center"/>
          </w:tcPr>
          <w:p w14:paraId="57A8F5B8">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p>
        </w:tc>
        <w:tc>
          <w:tcPr>
            <w:tcW w:w="490" w:type="pct"/>
            <w:noWrap w:val="0"/>
            <w:vAlign w:val="center"/>
          </w:tcPr>
          <w:p w14:paraId="21AE59BA">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经度</w:t>
            </w:r>
          </w:p>
        </w:tc>
        <w:tc>
          <w:tcPr>
            <w:tcW w:w="539" w:type="pct"/>
            <w:noWrap w:val="0"/>
            <w:vAlign w:val="center"/>
          </w:tcPr>
          <w:p w14:paraId="70C49ED3">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纬度</w:t>
            </w:r>
          </w:p>
        </w:tc>
        <w:tc>
          <w:tcPr>
            <w:tcW w:w="193" w:type="pct"/>
            <w:vMerge w:val="continue"/>
            <w:noWrap w:val="0"/>
            <w:vAlign w:val="center"/>
          </w:tcPr>
          <w:p w14:paraId="2296D5DA">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p>
        </w:tc>
        <w:tc>
          <w:tcPr>
            <w:tcW w:w="558" w:type="pct"/>
            <w:vMerge w:val="continue"/>
            <w:noWrap w:val="0"/>
            <w:vAlign w:val="center"/>
          </w:tcPr>
          <w:p w14:paraId="59472625">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p>
        </w:tc>
        <w:tc>
          <w:tcPr>
            <w:tcW w:w="303" w:type="pct"/>
            <w:vMerge w:val="continue"/>
            <w:noWrap w:val="0"/>
            <w:vAlign w:val="center"/>
          </w:tcPr>
          <w:p w14:paraId="377F89F1">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p>
        </w:tc>
        <w:tc>
          <w:tcPr>
            <w:tcW w:w="309" w:type="pct"/>
            <w:noWrap w:val="0"/>
            <w:vAlign w:val="center"/>
          </w:tcPr>
          <w:p w14:paraId="76199F9A">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vertAlign w:val="superscript"/>
              </w:rPr>
            </w:pPr>
            <w:r>
              <w:rPr>
                <w:rFonts w:hint="default" w:ascii="Times New Roman" w:hAnsi="Times New Roman" w:eastAsia="宋体" w:cs="Times New Roman"/>
                <w:b/>
                <w:color w:val="auto"/>
              </w:rPr>
              <w:t>污水处理厂名称</w:t>
            </w:r>
          </w:p>
        </w:tc>
        <w:tc>
          <w:tcPr>
            <w:tcW w:w="369" w:type="pct"/>
            <w:noWrap w:val="0"/>
            <w:vAlign w:val="center"/>
          </w:tcPr>
          <w:p w14:paraId="12C6E20C">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污染物</w:t>
            </w:r>
          </w:p>
          <w:p w14:paraId="25CDAB80">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种类</w:t>
            </w:r>
          </w:p>
        </w:tc>
        <w:tc>
          <w:tcPr>
            <w:tcW w:w="611" w:type="pct"/>
            <w:gridSpan w:val="2"/>
            <w:noWrap w:val="0"/>
            <w:vAlign w:val="center"/>
          </w:tcPr>
          <w:p w14:paraId="5A64F5BB">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排水协议规定的</w:t>
            </w:r>
          </w:p>
          <w:p w14:paraId="3DCF9C86">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浓度限值</w:t>
            </w:r>
          </w:p>
        </w:tc>
        <w:tc>
          <w:tcPr>
            <w:tcW w:w="684" w:type="pct"/>
            <w:gridSpan w:val="2"/>
            <w:noWrap w:val="0"/>
            <w:vAlign w:val="center"/>
          </w:tcPr>
          <w:p w14:paraId="3EAAF8AF">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国家或地方污染物排放标准浓度限值</w:t>
            </w:r>
          </w:p>
        </w:tc>
        <w:tc>
          <w:tcPr>
            <w:tcW w:w="232" w:type="pct"/>
            <w:vMerge w:val="continue"/>
            <w:noWrap w:val="0"/>
            <w:vAlign w:val="center"/>
          </w:tcPr>
          <w:p w14:paraId="3EA24EA5">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b/>
                <w:color w:val="auto"/>
              </w:rPr>
            </w:pPr>
          </w:p>
        </w:tc>
      </w:tr>
      <w:tr w14:paraId="5BF70DC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 w:hRule="atLeast"/>
          <w:jc w:val="center"/>
        </w:trPr>
        <w:tc>
          <w:tcPr>
            <w:tcW w:w="180" w:type="pct"/>
            <w:vMerge w:val="restart"/>
            <w:noWrap w:val="0"/>
            <w:vAlign w:val="center"/>
          </w:tcPr>
          <w:p w14:paraId="3574C20D">
            <w:pPr>
              <w:keepNext w:val="0"/>
              <w:keepLines w:val="0"/>
              <w:suppressLineNumbers w:val="0"/>
              <w:spacing w:before="0" w:beforeAutospacing="0" w:after="0" w:afterAutospacing="0" w:line="300" w:lineRule="exact"/>
              <w:ind w:left="-105" w:leftChars="-50" w:right="-105" w:rightChars="-5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val="en-US" w:eastAsia="zh-CN"/>
              </w:rPr>
              <w:t>1</w:t>
            </w:r>
          </w:p>
        </w:tc>
        <w:tc>
          <w:tcPr>
            <w:tcW w:w="254" w:type="pct"/>
            <w:vMerge w:val="restart"/>
            <w:noWrap w:val="0"/>
            <w:vAlign w:val="center"/>
          </w:tcPr>
          <w:p w14:paraId="5747668F">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DW001</w:t>
            </w:r>
          </w:p>
        </w:tc>
        <w:tc>
          <w:tcPr>
            <w:tcW w:w="274" w:type="pct"/>
            <w:vMerge w:val="restart"/>
            <w:noWrap w:val="0"/>
            <w:vAlign w:val="center"/>
          </w:tcPr>
          <w:p w14:paraId="559BAF38">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废水总排口</w:t>
            </w:r>
          </w:p>
        </w:tc>
        <w:tc>
          <w:tcPr>
            <w:tcW w:w="490" w:type="pct"/>
            <w:vMerge w:val="restart"/>
            <w:noWrap w:val="0"/>
            <w:vAlign w:val="center"/>
          </w:tcPr>
          <w:p w14:paraId="30C42243">
            <w:pPr>
              <w:keepNext w:val="0"/>
              <w:keepLines w:val="0"/>
              <w:suppressLineNumbers w:val="0"/>
              <w:spacing w:before="0" w:beforeAutospacing="0" w:after="0" w:afterAutospacing="0"/>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rPr>
              <w:t>117.089562234°</w:t>
            </w:r>
          </w:p>
        </w:tc>
        <w:tc>
          <w:tcPr>
            <w:tcW w:w="539" w:type="pct"/>
            <w:vMerge w:val="restart"/>
            <w:noWrap w:val="0"/>
            <w:vAlign w:val="center"/>
          </w:tcPr>
          <w:p w14:paraId="29FFD92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rPr>
              <w:t>32.651570576°</w:t>
            </w:r>
          </w:p>
        </w:tc>
        <w:tc>
          <w:tcPr>
            <w:tcW w:w="193" w:type="pct"/>
            <w:vMerge w:val="restart"/>
            <w:noWrap w:val="0"/>
            <w:vAlign w:val="center"/>
          </w:tcPr>
          <w:p w14:paraId="5C809E90">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lang w:val="en-US"/>
              </w:rPr>
            </w:pPr>
            <w:r>
              <w:rPr>
                <w:rFonts w:hint="default" w:ascii="Times New Roman" w:hAnsi="Times New Roman" w:eastAsia="宋体" w:cs="Times New Roman"/>
                <w:color w:val="auto"/>
                <w:lang w:val="en-US" w:eastAsia="zh-CN"/>
              </w:rPr>
              <w:t>污水管网</w:t>
            </w:r>
          </w:p>
        </w:tc>
        <w:tc>
          <w:tcPr>
            <w:tcW w:w="558" w:type="pct"/>
            <w:vMerge w:val="restart"/>
            <w:noWrap w:val="0"/>
            <w:vAlign w:val="center"/>
          </w:tcPr>
          <w:p w14:paraId="3B544D57">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间断排放，排放期间流量不稳定，但有周期性规律</w:t>
            </w:r>
          </w:p>
        </w:tc>
        <w:tc>
          <w:tcPr>
            <w:tcW w:w="303" w:type="pct"/>
            <w:vMerge w:val="restart"/>
            <w:noWrap w:val="0"/>
            <w:vAlign w:val="center"/>
          </w:tcPr>
          <w:p w14:paraId="78EF798B">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00:00~</w:t>
            </w:r>
          </w:p>
          <w:p w14:paraId="71A37B7C">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24:00</w:t>
            </w:r>
          </w:p>
        </w:tc>
        <w:tc>
          <w:tcPr>
            <w:tcW w:w="309" w:type="pct"/>
            <w:vMerge w:val="restart"/>
            <w:noWrap w:val="0"/>
            <w:vAlign w:val="center"/>
          </w:tcPr>
          <w:p w14:paraId="7BA86B2B">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r>
              <w:rPr>
                <w:rFonts w:hint="default" w:ascii="Times New Roman" w:hAnsi="Times New Roman"/>
                <w:color w:val="auto"/>
                <w:sz w:val="21"/>
                <w:szCs w:val="21"/>
                <w:lang w:eastAsia="zh-CN"/>
              </w:rPr>
              <w:t>淮南经济技术开发区工业污水处理厂</w:t>
            </w:r>
          </w:p>
        </w:tc>
        <w:tc>
          <w:tcPr>
            <w:tcW w:w="369" w:type="pct"/>
            <w:noWrap w:val="0"/>
            <w:vAlign w:val="center"/>
          </w:tcPr>
          <w:p w14:paraId="119491C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COD</w:t>
            </w:r>
          </w:p>
        </w:tc>
        <w:tc>
          <w:tcPr>
            <w:tcW w:w="319" w:type="pct"/>
            <w:noWrap w:val="0"/>
            <w:vAlign w:val="center"/>
          </w:tcPr>
          <w:p w14:paraId="146C324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sz w:val="21"/>
                <w:szCs w:val="21"/>
                <w:lang w:val="en-US" w:eastAsia="zh-CN"/>
              </w:rPr>
              <w:t>3</w:t>
            </w:r>
            <w:r>
              <w:rPr>
                <w:rFonts w:hint="eastAsia" w:ascii="Times New Roman" w:hAnsi="Times New Roman" w:eastAsia="宋体" w:cs="Times New Roman"/>
                <w:color w:val="auto"/>
                <w:sz w:val="21"/>
                <w:szCs w:val="21"/>
                <w:lang w:val="en-US" w:eastAsia="zh-CN"/>
              </w:rPr>
              <w:t>6</w:t>
            </w:r>
            <w:r>
              <w:rPr>
                <w:rFonts w:hint="default" w:ascii="Times New Roman" w:hAnsi="Times New Roman" w:eastAsia="宋体" w:cs="Times New Roman"/>
                <w:color w:val="auto"/>
                <w:sz w:val="21"/>
                <w:szCs w:val="21"/>
              </w:rPr>
              <w:t>0</w:t>
            </w:r>
          </w:p>
        </w:tc>
        <w:tc>
          <w:tcPr>
            <w:tcW w:w="292" w:type="pct"/>
            <w:noWrap w:val="0"/>
            <w:vAlign w:val="center"/>
          </w:tcPr>
          <w:p w14:paraId="0BF1A9CA">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mg/L</w:t>
            </w:r>
          </w:p>
        </w:tc>
        <w:tc>
          <w:tcPr>
            <w:tcW w:w="365" w:type="pct"/>
            <w:noWrap w:val="0"/>
            <w:vAlign w:val="center"/>
          </w:tcPr>
          <w:p w14:paraId="061C60F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50</w:t>
            </w:r>
          </w:p>
        </w:tc>
        <w:tc>
          <w:tcPr>
            <w:tcW w:w="319" w:type="pct"/>
            <w:noWrap w:val="0"/>
            <w:vAlign w:val="center"/>
          </w:tcPr>
          <w:p w14:paraId="5B1B979D">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mg/L</w:t>
            </w:r>
          </w:p>
        </w:tc>
        <w:tc>
          <w:tcPr>
            <w:tcW w:w="232" w:type="pct"/>
            <w:vMerge w:val="restart"/>
            <w:noWrap w:val="0"/>
            <w:vAlign w:val="center"/>
          </w:tcPr>
          <w:p w14:paraId="2DFDE53C">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r>
      <w:tr w14:paraId="4EC36B2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4" w:hRule="atLeast"/>
          <w:jc w:val="center"/>
        </w:trPr>
        <w:tc>
          <w:tcPr>
            <w:tcW w:w="180" w:type="pct"/>
            <w:vMerge w:val="continue"/>
            <w:noWrap w:val="0"/>
            <w:vAlign w:val="center"/>
          </w:tcPr>
          <w:p w14:paraId="11FB0D39">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254" w:type="pct"/>
            <w:vMerge w:val="continue"/>
            <w:noWrap w:val="0"/>
            <w:vAlign w:val="center"/>
          </w:tcPr>
          <w:p w14:paraId="787E166E">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274" w:type="pct"/>
            <w:vMerge w:val="continue"/>
            <w:noWrap w:val="0"/>
            <w:vAlign w:val="center"/>
          </w:tcPr>
          <w:p w14:paraId="1D260015">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490" w:type="pct"/>
            <w:vMerge w:val="continue"/>
            <w:noWrap w:val="0"/>
            <w:vAlign w:val="center"/>
          </w:tcPr>
          <w:p w14:paraId="0AF45595">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539" w:type="pct"/>
            <w:vMerge w:val="continue"/>
            <w:noWrap w:val="0"/>
            <w:vAlign w:val="center"/>
          </w:tcPr>
          <w:p w14:paraId="04D23C79">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193" w:type="pct"/>
            <w:vMerge w:val="continue"/>
            <w:noWrap w:val="0"/>
            <w:vAlign w:val="center"/>
          </w:tcPr>
          <w:p w14:paraId="469FEC08">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558" w:type="pct"/>
            <w:vMerge w:val="continue"/>
            <w:noWrap w:val="0"/>
            <w:vAlign w:val="center"/>
          </w:tcPr>
          <w:p w14:paraId="7049000D">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303" w:type="pct"/>
            <w:vMerge w:val="continue"/>
            <w:noWrap w:val="0"/>
            <w:vAlign w:val="center"/>
          </w:tcPr>
          <w:p w14:paraId="63565863">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309" w:type="pct"/>
            <w:vMerge w:val="continue"/>
            <w:noWrap w:val="0"/>
            <w:vAlign w:val="center"/>
          </w:tcPr>
          <w:p w14:paraId="284FD12E">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369" w:type="pct"/>
            <w:noWrap w:val="0"/>
            <w:vAlign w:val="center"/>
          </w:tcPr>
          <w:p w14:paraId="290DA39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BOD</w:t>
            </w:r>
            <w:r>
              <w:rPr>
                <w:rFonts w:hint="default" w:ascii="Times New Roman" w:hAnsi="Times New Roman" w:eastAsia="宋体" w:cs="Times New Roman"/>
                <w:i w:val="0"/>
                <w:iCs w:val="0"/>
                <w:color w:val="auto"/>
                <w:kern w:val="0"/>
                <w:sz w:val="21"/>
                <w:szCs w:val="21"/>
                <w:u w:val="none"/>
                <w:vertAlign w:val="subscript"/>
                <w:lang w:val="en-US" w:eastAsia="zh-CN" w:bidi="ar"/>
              </w:rPr>
              <w:t>5</w:t>
            </w:r>
          </w:p>
        </w:tc>
        <w:tc>
          <w:tcPr>
            <w:tcW w:w="319" w:type="pct"/>
            <w:noWrap w:val="0"/>
            <w:vAlign w:val="center"/>
          </w:tcPr>
          <w:p w14:paraId="7DA519C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sz w:val="21"/>
                <w:szCs w:val="21"/>
                <w:lang w:val="en-US" w:eastAsia="zh-CN"/>
              </w:rPr>
              <w:t>80</w:t>
            </w:r>
          </w:p>
        </w:tc>
        <w:tc>
          <w:tcPr>
            <w:tcW w:w="292" w:type="pct"/>
            <w:noWrap w:val="0"/>
            <w:vAlign w:val="center"/>
          </w:tcPr>
          <w:p w14:paraId="5D693328">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mg/L</w:t>
            </w:r>
          </w:p>
        </w:tc>
        <w:tc>
          <w:tcPr>
            <w:tcW w:w="365" w:type="pct"/>
            <w:noWrap w:val="0"/>
            <w:vAlign w:val="center"/>
          </w:tcPr>
          <w:p w14:paraId="74F1DE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10</w:t>
            </w:r>
          </w:p>
        </w:tc>
        <w:tc>
          <w:tcPr>
            <w:tcW w:w="319" w:type="pct"/>
            <w:noWrap w:val="0"/>
            <w:vAlign w:val="center"/>
          </w:tcPr>
          <w:p w14:paraId="6C479150">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mg/L</w:t>
            </w:r>
          </w:p>
        </w:tc>
        <w:tc>
          <w:tcPr>
            <w:tcW w:w="232" w:type="pct"/>
            <w:vMerge w:val="continue"/>
            <w:noWrap w:val="0"/>
            <w:vAlign w:val="center"/>
          </w:tcPr>
          <w:p w14:paraId="4A1177F9">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r>
      <w:tr w14:paraId="4E16D8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4" w:hRule="atLeast"/>
          <w:jc w:val="center"/>
        </w:trPr>
        <w:tc>
          <w:tcPr>
            <w:tcW w:w="180" w:type="pct"/>
            <w:vMerge w:val="continue"/>
            <w:noWrap w:val="0"/>
            <w:vAlign w:val="center"/>
          </w:tcPr>
          <w:p w14:paraId="4EBCA10F">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254" w:type="pct"/>
            <w:vMerge w:val="continue"/>
            <w:noWrap w:val="0"/>
            <w:vAlign w:val="center"/>
          </w:tcPr>
          <w:p w14:paraId="4E3E1F61">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274" w:type="pct"/>
            <w:vMerge w:val="continue"/>
            <w:noWrap w:val="0"/>
            <w:vAlign w:val="center"/>
          </w:tcPr>
          <w:p w14:paraId="000E1858">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490" w:type="pct"/>
            <w:vMerge w:val="continue"/>
            <w:noWrap w:val="0"/>
            <w:vAlign w:val="center"/>
          </w:tcPr>
          <w:p w14:paraId="58B22BBD">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539" w:type="pct"/>
            <w:vMerge w:val="continue"/>
            <w:noWrap w:val="0"/>
            <w:vAlign w:val="center"/>
          </w:tcPr>
          <w:p w14:paraId="06B6325D">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193" w:type="pct"/>
            <w:vMerge w:val="continue"/>
            <w:noWrap w:val="0"/>
            <w:vAlign w:val="center"/>
          </w:tcPr>
          <w:p w14:paraId="5919AC05">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558" w:type="pct"/>
            <w:vMerge w:val="continue"/>
            <w:noWrap w:val="0"/>
            <w:vAlign w:val="center"/>
          </w:tcPr>
          <w:p w14:paraId="084B8F29">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303" w:type="pct"/>
            <w:vMerge w:val="continue"/>
            <w:noWrap w:val="0"/>
            <w:vAlign w:val="center"/>
          </w:tcPr>
          <w:p w14:paraId="43616705">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309" w:type="pct"/>
            <w:vMerge w:val="continue"/>
            <w:noWrap w:val="0"/>
            <w:vAlign w:val="center"/>
          </w:tcPr>
          <w:p w14:paraId="60578698">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369" w:type="pct"/>
            <w:noWrap w:val="0"/>
            <w:vAlign w:val="center"/>
          </w:tcPr>
          <w:p w14:paraId="7A0F1A0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NH</w:t>
            </w:r>
            <w:r>
              <w:rPr>
                <w:rFonts w:hint="default" w:ascii="Times New Roman" w:hAnsi="Times New Roman" w:eastAsia="宋体" w:cs="Times New Roman"/>
                <w:i w:val="0"/>
                <w:iCs w:val="0"/>
                <w:color w:val="auto"/>
                <w:kern w:val="0"/>
                <w:sz w:val="21"/>
                <w:szCs w:val="21"/>
                <w:u w:val="none"/>
                <w:vertAlign w:val="subscript"/>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-N</w:t>
            </w:r>
          </w:p>
        </w:tc>
        <w:tc>
          <w:tcPr>
            <w:tcW w:w="319" w:type="pct"/>
            <w:noWrap w:val="0"/>
            <w:vAlign w:val="center"/>
          </w:tcPr>
          <w:p w14:paraId="5A96066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rPr>
            </w:pPr>
            <w:r>
              <w:rPr>
                <w:rFonts w:hint="eastAsia" w:ascii="Times New Roman" w:hAnsi="Times New Roman" w:eastAsia="宋体" w:cs="Times New Roman"/>
                <w:color w:val="auto"/>
                <w:sz w:val="21"/>
                <w:szCs w:val="21"/>
                <w:lang w:val="en-US" w:eastAsia="zh-CN"/>
              </w:rPr>
              <w:t>35</w:t>
            </w:r>
          </w:p>
        </w:tc>
        <w:tc>
          <w:tcPr>
            <w:tcW w:w="292" w:type="pct"/>
            <w:noWrap w:val="0"/>
            <w:vAlign w:val="center"/>
          </w:tcPr>
          <w:p w14:paraId="75C9DC60">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mg/L</w:t>
            </w:r>
          </w:p>
        </w:tc>
        <w:tc>
          <w:tcPr>
            <w:tcW w:w="365" w:type="pct"/>
            <w:noWrap w:val="0"/>
            <w:vAlign w:val="center"/>
          </w:tcPr>
          <w:p w14:paraId="329181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5</w:t>
            </w:r>
          </w:p>
        </w:tc>
        <w:tc>
          <w:tcPr>
            <w:tcW w:w="319" w:type="pct"/>
            <w:noWrap w:val="0"/>
            <w:vAlign w:val="center"/>
          </w:tcPr>
          <w:p w14:paraId="508223C0">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mg/L</w:t>
            </w:r>
          </w:p>
        </w:tc>
        <w:tc>
          <w:tcPr>
            <w:tcW w:w="232" w:type="pct"/>
            <w:vMerge w:val="continue"/>
            <w:noWrap w:val="0"/>
            <w:vAlign w:val="center"/>
          </w:tcPr>
          <w:p w14:paraId="7FC3097D">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r>
      <w:tr w14:paraId="3731DD3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4" w:hRule="atLeast"/>
          <w:jc w:val="center"/>
        </w:trPr>
        <w:tc>
          <w:tcPr>
            <w:tcW w:w="180" w:type="pct"/>
            <w:vMerge w:val="continue"/>
            <w:noWrap w:val="0"/>
            <w:vAlign w:val="center"/>
          </w:tcPr>
          <w:p w14:paraId="7D7C6C6D">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254" w:type="pct"/>
            <w:vMerge w:val="continue"/>
            <w:noWrap w:val="0"/>
            <w:vAlign w:val="center"/>
          </w:tcPr>
          <w:p w14:paraId="074ABA0B">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274" w:type="pct"/>
            <w:vMerge w:val="continue"/>
            <w:noWrap w:val="0"/>
            <w:vAlign w:val="center"/>
          </w:tcPr>
          <w:p w14:paraId="71DA1D2F">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490" w:type="pct"/>
            <w:vMerge w:val="continue"/>
            <w:noWrap w:val="0"/>
            <w:vAlign w:val="center"/>
          </w:tcPr>
          <w:p w14:paraId="0B46A305">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539" w:type="pct"/>
            <w:vMerge w:val="continue"/>
            <w:noWrap w:val="0"/>
            <w:vAlign w:val="center"/>
          </w:tcPr>
          <w:p w14:paraId="7D98C715">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193" w:type="pct"/>
            <w:vMerge w:val="continue"/>
            <w:noWrap w:val="0"/>
            <w:vAlign w:val="center"/>
          </w:tcPr>
          <w:p w14:paraId="0FF697F2">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558" w:type="pct"/>
            <w:vMerge w:val="continue"/>
            <w:noWrap w:val="0"/>
            <w:vAlign w:val="center"/>
          </w:tcPr>
          <w:p w14:paraId="2F5F261B">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303" w:type="pct"/>
            <w:vMerge w:val="continue"/>
            <w:noWrap w:val="0"/>
            <w:vAlign w:val="center"/>
          </w:tcPr>
          <w:p w14:paraId="64F3227A">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309" w:type="pct"/>
            <w:vMerge w:val="continue"/>
            <w:noWrap w:val="0"/>
            <w:vAlign w:val="center"/>
          </w:tcPr>
          <w:p w14:paraId="7388433C">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369" w:type="pct"/>
            <w:noWrap w:val="0"/>
            <w:vAlign w:val="center"/>
          </w:tcPr>
          <w:p w14:paraId="15BBDD2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SS</w:t>
            </w:r>
          </w:p>
        </w:tc>
        <w:tc>
          <w:tcPr>
            <w:tcW w:w="319" w:type="pct"/>
            <w:noWrap w:val="0"/>
            <w:vAlign w:val="center"/>
          </w:tcPr>
          <w:p w14:paraId="1E1F93A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eastAsia="zh-CN"/>
              </w:rPr>
            </w:pPr>
            <w:r>
              <w:rPr>
                <w:rFonts w:hint="eastAsia" w:ascii="Times New Roman" w:hAnsi="Times New Roman" w:eastAsia="宋体" w:cs="Times New Roman"/>
                <w:color w:val="auto"/>
                <w:sz w:val="21"/>
                <w:szCs w:val="21"/>
                <w:lang w:val="en-US" w:eastAsia="zh-CN"/>
              </w:rPr>
              <w:t>200</w:t>
            </w:r>
          </w:p>
        </w:tc>
        <w:tc>
          <w:tcPr>
            <w:tcW w:w="292" w:type="pct"/>
            <w:noWrap w:val="0"/>
            <w:vAlign w:val="center"/>
          </w:tcPr>
          <w:p w14:paraId="4DA9E57C">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mg/L</w:t>
            </w:r>
          </w:p>
        </w:tc>
        <w:tc>
          <w:tcPr>
            <w:tcW w:w="365" w:type="pct"/>
            <w:noWrap w:val="0"/>
            <w:vAlign w:val="center"/>
          </w:tcPr>
          <w:p w14:paraId="6E61CBC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10</w:t>
            </w:r>
          </w:p>
        </w:tc>
        <w:tc>
          <w:tcPr>
            <w:tcW w:w="319" w:type="pct"/>
            <w:noWrap w:val="0"/>
            <w:vAlign w:val="center"/>
          </w:tcPr>
          <w:p w14:paraId="5490F8C2">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mg/L</w:t>
            </w:r>
          </w:p>
        </w:tc>
        <w:tc>
          <w:tcPr>
            <w:tcW w:w="232" w:type="pct"/>
            <w:vMerge w:val="continue"/>
            <w:noWrap w:val="0"/>
            <w:vAlign w:val="center"/>
          </w:tcPr>
          <w:p w14:paraId="34C9397A">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r>
      <w:tr w14:paraId="7DD0DA4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4" w:hRule="atLeast"/>
          <w:jc w:val="center"/>
        </w:trPr>
        <w:tc>
          <w:tcPr>
            <w:tcW w:w="180" w:type="pct"/>
            <w:vMerge w:val="continue"/>
            <w:noWrap w:val="0"/>
            <w:vAlign w:val="center"/>
          </w:tcPr>
          <w:p w14:paraId="5987099C">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254" w:type="pct"/>
            <w:vMerge w:val="continue"/>
            <w:noWrap w:val="0"/>
            <w:vAlign w:val="center"/>
          </w:tcPr>
          <w:p w14:paraId="42CAD364">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274" w:type="pct"/>
            <w:vMerge w:val="continue"/>
            <w:noWrap w:val="0"/>
            <w:vAlign w:val="center"/>
          </w:tcPr>
          <w:p w14:paraId="4EC8E317">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490" w:type="pct"/>
            <w:vMerge w:val="continue"/>
            <w:noWrap w:val="0"/>
            <w:vAlign w:val="center"/>
          </w:tcPr>
          <w:p w14:paraId="1CB0EE87">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539" w:type="pct"/>
            <w:vMerge w:val="continue"/>
            <w:noWrap w:val="0"/>
            <w:vAlign w:val="center"/>
          </w:tcPr>
          <w:p w14:paraId="5431B05D">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193" w:type="pct"/>
            <w:vMerge w:val="continue"/>
            <w:noWrap w:val="0"/>
            <w:vAlign w:val="center"/>
          </w:tcPr>
          <w:p w14:paraId="7C8B4ABD">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558" w:type="pct"/>
            <w:vMerge w:val="continue"/>
            <w:noWrap w:val="0"/>
            <w:vAlign w:val="center"/>
          </w:tcPr>
          <w:p w14:paraId="2B5E2733">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303" w:type="pct"/>
            <w:vMerge w:val="continue"/>
            <w:noWrap w:val="0"/>
            <w:vAlign w:val="center"/>
          </w:tcPr>
          <w:p w14:paraId="3D4E11F9">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309" w:type="pct"/>
            <w:vMerge w:val="continue"/>
            <w:noWrap w:val="0"/>
            <w:vAlign w:val="center"/>
          </w:tcPr>
          <w:p w14:paraId="5CE92F38">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369" w:type="pct"/>
            <w:noWrap w:val="0"/>
            <w:vAlign w:val="center"/>
          </w:tcPr>
          <w:p w14:paraId="1E7E9A7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TP</w:t>
            </w:r>
          </w:p>
        </w:tc>
        <w:tc>
          <w:tcPr>
            <w:tcW w:w="319" w:type="pct"/>
            <w:noWrap w:val="0"/>
            <w:vAlign w:val="center"/>
          </w:tcPr>
          <w:p w14:paraId="588FA63E">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sz w:val="21"/>
                <w:szCs w:val="21"/>
                <w:lang w:val="en-US" w:eastAsia="zh-CN"/>
              </w:rPr>
              <w:t>4.5</w:t>
            </w:r>
          </w:p>
        </w:tc>
        <w:tc>
          <w:tcPr>
            <w:tcW w:w="292" w:type="pct"/>
            <w:noWrap w:val="0"/>
            <w:vAlign w:val="center"/>
          </w:tcPr>
          <w:p w14:paraId="71227C38">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mg/L</w:t>
            </w:r>
          </w:p>
        </w:tc>
        <w:tc>
          <w:tcPr>
            <w:tcW w:w="365" w:type="pct"/>
            <w:noWrap w:val="0"/>
            <w:vAlign w:val="center"/>
          </w:tcPr>
          <w:p w14:paraId="34BCE10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2"/>
                <w:szCs w:val="22"/>
                <w:u w:val="none"/>
                <w:lang w:val="en-US" w:eastAsia="zh-CN" w:bidi="ar"/>
              </w:rPr>
              <w:t>0.5</w:t>
            </w:r>
          </w:p>
        </w:tc>
        <w:tc>
          <w:tcPr>
            <w:tcW w:w="319" w:type="pct"/>
            <w:noWrap w:val="0"/>
            <w:vAlign w:val="center"/>
          </w:tcPr>
          <w:p w14:paraId="124FA7F1">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mg/L</w:t>
            </w:r>
          </w:p>
        </w:tc>
        <w:tc>
          <w:tcPr>
            <w:tcW w:w="232" w:type="pct"/>
            <w:vMerge w:val="continue"/>
            <w:noWrap w:val="0"/>
            <w:vAlign w:val="center"/>
          </w:tcPr>
          <w:p w14:paraId="578A0A0C">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r>
      <w:tr w14:paraId="5CF1379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4" w:hRule="atLeast"/>
          <w:jc w:val="center"/>
        </w:trPr>
        <w:tc>
          <w:tcPr>
            <w:tcW w:w="180" w:type="pct"/>
            <w:vMerge w:val="continue"/>
            <w:noWrap w:val="0"/>
            <w:vAlign w:val="center"/>
          </w:tcPr>
          <w:p w14:paraId="1EF5BE7A">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254" w:type="pct"/>
            <w:vMerge w:val="continue"/>
            <w:noWrap w:val="0"/>
            <w:vAlign w:val="center"/>
          </w:tcPr>
          <w:p w14:paraId="2BFCF8DE">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274" w:type="pct"/>
            <w:vMerge w:val="continue"/>
            <w:noWrap w:val="0"/>
            <w:vAlign w:val="center"/>
          </w:tcPr>
          <w:p w14:paraId="7BB0BF54">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490" w:type="pct"/>
            <w:vMerge w:val="continue"/>
            <w:noWrap w:val="0"/>
            <w:vAlign w:val="center"/>
          </w:tcPr>
          <w:p w14:paraId="191F7BB6">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539" w:type="pct"/>
            <w:vMerge w:val="continue"/>
            <w:noWrap w:val="0"/>
            <w:vAlign w:val="center"/>
          </w:tcPr>
          <w:p w14:paraId="2AC29B4A">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193" w:type="pct"/>
            <w:vMerge w:val="continue"/>
            <w:noWrap w:val="0"/>
            <w:vAlign w:val="center"/>
          </w:tcPr>
          <w:p w14:paraId="3E102348">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558" w:type="pct"/>
            <w:vMerge w:val="continue"/>
            <w:noWrap w:val="0"/>
            <w:vAlign w:val="center"/>
          </w:tcPr>
          <w:p w14:paraId="7631478A">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303" w:type="pct"/>
            <w:vMerge w:val="continue"/>
            <w:noWrap w:val="0"/>
            <w:vAlign w:val="center"/>
          </w:tcPr>
          <w:p w14:paraId="63442AEB">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309" w:type="pct"/>
            <w:vMerge w:val="continue"/>
            <w:noWrap w:val="0"/>
            <w:vAlign w:val="center"/>
          </w:tcPr>
          <w:p w14:paraId="6C8A9634">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c>
          <w:tcPr>
            <w:tcW w:w="369" w:type="pct"/>
            <w:noWrap w:val="0"/>
            <w:vAlign w:val="center"/>
          </w:tcPr>
          <w:p w14:paraId="463385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TN</w:t>
            </w:r>
          </w:p>
        </w:tc>
        <w:tc>
          <w:tcPr>
            <w:tcW w:w="319" w:type="pct"/>
            <w:noWrap w:val="0"/>
            <w:vAlign w:val="center"/>
          </w:tcPr>
          <w:p w14:paraId="37B500E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sz w:val="21"/>
                <w:szCs w:val="21"/>
                <w:lang w:val="en-US" w:eastAsia="zh-CN"/>
              </w:rPr>
              <w:t>50</w:t>
            </w:r>
          </w:p>
        </w:tc>
        <w:tc>
          <w:tcPr>
            <w:tcW w:w="292" w:type="pct"/>
            <w:noWrap w:val="0"/>
            <w:vAlign w:val="center"/>
          </w:tcPr>
          <w:p w14:paraId="1D88A29A">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mg/L</w:t>
            </w:r>
          </w:p>
        </w:tc>
        <w:tc>
          <w:tcPr>
            <w:tcW w:w="365" w:type="pct"/>
            <w:noWrap w:val="0"/>
            <w:vAlign w:val="center"/>
          </w:tcPr>
          <w:p w14:paraId="769EF37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2"/>
                <w:szCs w:val="22"/>
                <w:u w:val="none"/>
                <w:lang w:val="en-US" w:eastAsia="zh-CN" w:bidi="ar"/>
              </w:rPr>
              <w:t>15</w:t>
            </w:r>
          </w:p>
        </w:tc>
        <w:tc>
          <w:tcPr>
            <w:tcW w:w="319" w:type="pct"/>
            <w:noWrap w:val="0"/>
            <w:vAlign w:val="center"/>
          </w:tcPr>
          <w:p w14:paraId="024CC0C3">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mg/L</w:t>
            </w:r>
          </w:p>
        </w:tc>
        <w:tc>
          <w:tcPr>
            <w:tcW w:w="232" w:type="pct"/>
            <w:vMerge w:val="continue"/>
            <w:noWrap w:val="0"/>
            <w:vAlign w:val="center"/>
          </w:tcPr>
          <w:p w14:paraId="02683F5E">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p>
        </w:tc>
      </w:tr>
    </w:tbl>
    <w:p w14:paraId="51D5C5E4">
      <w:pPr>
        <w:tabs>
          <w:tab w:val="left" w:pos="1890"/>
        </w:tabs>
        <w:spacing w:line="440" w:lineRule="exact"/>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表12  建设项目雨水排放口基本情况表</w:t>
      </w:r>
    </w:p>
    <w:tbl>
      <w:tblPr>
        <w:tblStyle w:val="52"/>
        <w:tblW w:w="4996"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6"/>
        <w:gridCol w:w="801"/>
        <w:gridCol w:w="987"/>
        <w:gridCol w:w="1022"/>
        <w:gridCol w:w="1081"/>
        <w:gridCol w:w="851"/>
        <w:gridCol w:w="3160"/>
        <w:gridCol w:w="899"/>
        <w:gridCol w:w="841"/>
        <w:gridCol w:w="1169"/>
        <w:gridCol w:w="1111"/>
        <w:gridCol w:w="875"/>
        <w:gridCol w:w="907"/>
      </w:tblGrid>
      <w:tr w14:paraId="4E5650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11" w:hRule="atLeast"/>
          <w:jc w:val="center"/>
        </w:trPr>
        <w:tc>
          <w:tcPr>
            <w:tcW w:w="178" w:type="pct"/>
            <w:vMerge w:val="restart"/>
            <w:noWrap w:val="0"/>
            <w:vAlign w:val="center"/>
          </w:tcPr>
          <w:p w14:paraId="0BB4BB5C">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序号</w:t>
            </w:r>
          </w:p>
        </w:tc>
        <w:tc>
          <w:tcPr>
            <w:tcW w:w="281" w:type="pct"/>
            <w:vMerge w:val="restart"/>
            <w:noWrap w:val="0"/>
            <w:vAlign w:val="center"/>
          </w:tcPr>
          <w:p w14:paraId="7E36CA23">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排放口</w:t>
            </w:r>
          </w:p>
          <w:p w14:paraId="30F8F0F7">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编号</w:t>
            </w:r>
          </w:p>
        </w:tc>
        <w:tc>
          <w:tcPr>
            <w:tcW w:w="347" w:type="pct"/>
            <w:vMerge w:val="restart"/>
            <w:noWrap w:val="0"/>
            <w:vAlign w:val="center"/>
          </w:tcPr>
          <w:p w14:paraId="44359223">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排放口</w:t>
            </w:r>
          </w:p>
          <w:p w14:paraId="5A408006">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名称</w:t>
            </w:r>
          </w:p>
        </w:tc>
        <w:tc>
          <w:tcPr>
            <w:tcW w:w="739" w:type="pct"/>
            <w:gridSpan w:val="2"/>
            <w:noWrap w:val="0"/>
            <w:vAlign w:val="center"/>
          </w:tcPr>
          <w:p w14:paraId="779F822E">
            <w:pPr>
              <w:keepNext w:val="0"/>
              <w:keepLines w:val="0"/>
              <w:suppressLineNumbers w:val="0"/>
              <w:tabs>
                <w:tab w:val="left" w:pos="1890"/>
              </w:tabs>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排放口地理坐标</w:t>
            </w:r>
          </w:p>
        </w:tc>
        <w:tc>
          <w:tcPr>
            <w:tcW w:w="299" w:type="pct"/>
            <w:vMerge w:val="restart"/>
            <w:noWrap w:val="0"/>
            <w:vAlign w:val="center"/>
          </w:tcPr>
          <w:p w14:paraId="224AE834">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排放去向</w:t>
            </w:r>
          </w:p>
        </w:tc>
        <w:tc>
          <w:tcPr>
            <w:tcW w:w="1111" w:type="pct"/>
            <w:vMerge w:val="restart"/>
            <w:noWrap w:val="0"/>
            <w:vAlign w:val="center"/>
          </w:tcPr>
          <w:p w14:paraId="314697D9">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排放</w:t>
            </w:r>
          </w:p>
          <w:p w14:paraId="38CBF132">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规律</w:t>
            </w:r>
          </w:p>
        </w:tc>
        <w:tc>
          <w:tcPr>
            <w:tcW w:w="316" w:type="pct"/>
            <w:vMerge w:val="restart"/>
            <w:noWrap w:val="0"/>
            <w:vAlign w:val="center"/>
          </w:tcPr>
          <w:p w14:paraId="2575F0F2">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间歇排放时段</w:t>
            </w:r>
          </w:p>
        </w:tc>
        <w:tc>
          <w:tcPr>
            <w:tcW w:w="707" w:type="pct"/>
            <w:gridSpan w:val="2"/>
            <w:noWrap w:val="0"/>
            <w:vAlign w:val="center"/>
          </w:tcPr>
          <w:p w14:paraId="0BF4ECBF">
            <w:pPr>
              <w:keepNext w:val="0"/>
              <w:keepLines w:val="0"/>
              <w:suppressLineNumbers w:val="0"/>
              <w:tabs>
                <w:tab w:val="left" w:pos="1890"/>
              </w:tabs>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受纳自然水体信息</w:t>
            </w:r>
          </w:p>
        </w:tc>
        <w:tc>
          <w:tcPr>
            <w:tcW w:w="698" w:type="pct"/>
            <w:gridSpan w:val="2"/>
            <w:noWrap w:val="0"/>
            <w:vAlign w:val="center"/>
          </w:tcPr>
          <w:p w14:paraId="283FFBD1">
            <w:pPr>
              <w:keepNext w:val="0"/>
              <w:keepLines w:val="0"/>
              <w:suppressLineNumbers w:val="0"/>
              <w:tabs>
                <w:tab w:val="left" w:pos="1890"/>
              </w:tabs>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受纳自然水体信息</w:t>
            </w:r>
          </w:p>
        </w:tc>
        <w:tc>
          <w:tcPr>
            <w:tcW w:w="319" w:type="pct"/>
            <w:vMerge w:val="restart"/>
            <w:noWrap w:val="0"/>
            <w:vAlign w:val="center"/>
          </w:tcPr>
          <w:p w14:paraId="78335B8B">
            <w:pPr>
              <w:keepNext w:val="0"/>
              <w:keepLines w:val="0"/>
              <w:suppressLineNumbers w:val="0"/>
              <w:tabs>
                <w:tab w:val="left" w:pos="1890"/>
              </w:tabs>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其他信息</w:t>
            </w:r>
          </w:p>
        </w:tc>
      </w:tr>
      <w:tr w14:paraId="736408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2" w:hRule="atLeast"/>
          <w:jc w:val="center"/>
        </w:trPr>
        <w:tc>
          <w:tcPr>
            <w:tcW w:w="178" w:type="pct"/>
            <w:vMerge w:val="continue"/>
            <w:noWrap w:val="0"/>
            <w:vAlign w:val="center"/>
          </w:tcPr>
          <w:p w14:paraId="25C43BA3">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
                <w:color w:val="auto"/>
              </w:rPr>
            </w:pPr>
          </w:p>
        </w:tc>
        <w:tc>
          <w:tcPr>
            <w:tcW w:w="281" w:type="pct"/>
            <w:vMerge w:val="continue"/>
            <w:noWrap w:val="0"/>
            <w:vAlign w:val="center"/>
          </w:tcPr>
          <w:p w14:paraId="717E12F1">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
                <w:color w:val="auto"/>
              </w:rPr>
            </w:pPr>
          </w:p>
        </w:tc>
        <w:tc>
          <w:tcPr>
            <w:tcW w:w="347" w:type="pct"/>
            <w:vMerge w:val="continue"/>
            <w:noWrap w:val="0"/>
            <w:vAlign w:val="center"/>
          </w:tcPr>
          <w:p w14:paraId="2AA065F3">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
                <w:color w:val="auto"/>
              </w:rPr>
            </w:pPr>
          </w:p>
        </w:tc>
        <w:tc>
          <w:tcPr>
            <w:tcW w:w="359" w:type="pct"/>
            <w:noWrap w:val="0"/>
            <w:vAlign w:val="center"/>
          </w:tcPr>
          <w:p w14:paraId="78D4F733">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经度</w:t>
            </w:r>
          </w:p>
        </w:tc>
        <w:tc>
          <w:tcPr>
            <w:tcW w:w="380" w:type="pct"/>
            <w:noWrap w:val="0"/>
            <w:vAlign w:val="center"/>
          </w:tcPr>
          <w:p w14:paraId="2CB1E726">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纬度</w:t>
            </w:r>
          </w:p>
        </w:tc>
        <w:tc>
          <w:tcPr>
            <w:tcW w:w="299" w:type="pct"/>
            <w:vMerge w:val="continue"/>
            <w:noWrap w:val="0"/>
            <w:vAlign w:val="center"/>
          </w:tcPr>
          <w:p w14:paraId="1961A788">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
                <w:color w:val="auto"/>
              </w:rPr>
            </w:pPr>
          </w:p>
        </w:tc>
        <w:tc>
          <w:tcPr>
            <w:tcW w:w="1111" w:type="pct"/>
            <w:vMerge w:val="continue"/>
            <w:noWrap w:val="0"/>
            <w:vAlign w:val="center"/>
          </w:tcPr>
          <w:p w14:paraId="06122297">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
                <w:color w:val="auto"/>
              </w:rPr>
            </w:pPr>
          </w:p>
        </w:tc>
        <w:tc>
          <w:tcPr>
            <w:tcW w:w="316" w:type="pct"/>
            <w:vMerge w:val="continue"/>
            <w:noWrap w:val="0"/>
            <w:vAlign w:val="center"/>
          </w:tcPr>
          <w:p w14:paraId="4306C93A">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
                <w:color w:val="auto"/>
              </w:rPr>
            </w:pPr>
          </w:p>
        </w:tc>
        <w:tc>
          <w:tcPr>
            <w:tcW w:w="295" w:type="pct"/>
            <w:noWrap w:val="0"/>
            <w:vAlign w:val="center"/>
          </w:tcPr>
          <w:p w14:paraId="0DECCE59">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水体名称</w:t>
            </w:r>
          </w:p>
        </w:tc>
        <w:tc>
          <w:tcPr>
            <w:tcW w:w="411" w:type="pct"/>
            <w:noWrap w:val="0"/>
            <w:vAlign w:val="center"/>
          </w:tcPr>
          <w:p w14:paraId="04448439">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受纳水体功能目标</w:t>
            </w:r>
          </w:p>
        </w:tc>
        <w:tc>
          <w:tcPr>
            <w:tcW w:w="390" w:type="pct"/>
            <w:noWrap w:val="0"/>
            <w:vAlign w:val="center"/>
          </w:tcPr>
          <w:p w14:paraId="7038B271">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经度</w:t>
            </w:r>
          </w:p>
        </w:tc>
        <w:tc>
          <w:tcPr>
            <w:tcW w:w="308" w:type="pct"/>
            <w:noWrap w:val="0"/>
            <w:vAlign w:val="center"/>
          </w:tcPr>
          <w:p w14:paraId="795D85F9">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纬度</w:t>
            </w:r>
          </w:p>
        </w:tc>
        <w:tc>
          <w:tcPr>
            <w:tcW w:w="319" w:type="pct"/>
            <w:vMerge w:val="continue"/>
            <w:noWrap w:val="0"/>
            <w:vAlign w:val="center"/>
          </w:tcPr>
          <w:p w14:paraId="42BD1BBA">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
                <w:color w:val="auto"/>
              </w:rPr>
            </w:pPr>
          </w:p>
        </w:tc>
      </w:tr>
      <w:tr w14:paraId="6978FC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78" w:type="pct"/>
            <w:noWrap w:val="0"/>
            <w:vAlign w:val="center"/>
          </w:tcPr>
          <w:p w14:paraId="76FC4F42">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1</w:t>
            </w:r>
          </w:p>
        </w:tc>
        <w:tc>
          <w:tcPr>
            <w:tcW w:w="281" w:type="pct"/>
            <w:noWrap w:val="0"/>
            <w:vAlign w:val="center"/>
          </w:tcPr>
          <w:p w14:paraId="45ABD2B1">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YS001</w:t>
            </w:r>
          </w:p>
        </w:tc>
        <w:tc>
          <w:tcPr>
            <w:tcW w:w="347" w:type="pct"/>
            <w:noWrap w:val="0"/>
            <w:vAlign w:val="center"/>
          </w:tcPr>
          <w:p w14:paraId="751EA293">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雨水排放口</w:t>
            </w:r>
          </w:p>
        </w:tc>
        <w:tc>
          <w:tcPr>
            <w:tcW w:w="359" w:type="pct"/>
            <w:noWrap w:val="0"/>
            <w:vAlign w:val="center"/>
          </w:tcPr>
          <w:p w14:paraId="6C51D196">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117.089291331</w:t>
            </w:r>
            <w:r>
              <w:rPr>
                <w:rFonts w:hint="default" w:ascii="Times New Roman" w:hAnsi="Times New Roman" w:eastAsia="宋体" w:cs="Times New Roman"/>
                <w:color w:val="auto"/>
              </w:rPr>
              <w:t>°E</w:t>
            </w:r>
          </w:p>
        </w:tc>
        <w:tc>
          <w:tcPr>
            <w:tcW w:w="380" w:type="pct"/>
            <w:noWrap w:val="0"/>
            <w:vAlign w:val="center"/>
          </w:tcPr>
          <w:p w14:paraId="38191EFB">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32.651605445</w:t>
            </w:r>
            <w:r>
              <w:rPr>
                <w:rFonts w:hint="default" w:ascii="Times New Roman" w:hAnsi="Times New Roman" w:eastAsia="宋体" w:cs="Times New Roman"/>
                <w:color w:val="auto"/>
              </w:rPr>
              <w:t>°N</w:t>
            </w:r>
          </w:p>
        </w:tc>
        <w:tc>
          <w:tcPr>
            <w:tcW w:w="299" w:type="pct"/>
            <w:noWrap w:val="0"/>
            <w:vAlign w:val="center"/>
          </w:tcPr>
          <w:p w14:paraId="6DC3DE91">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市政雨水管网</w:t>
            </w:r>
          </w:p>
        </w:tc>
        <w:tc>
          <w:tcPr>
            <w:tcW w:w="1111" w:type="pct"/>
            <w:noWrap w:val="0"/>
            <w:vAlign w:val="center"/>
          </w:tcPr>
          <w:p w14:paraId="01A82C1A">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间断排放，排放期间流量不稳定且无规律，但不属于冲击型排放</w:t>
            </w:r>
          </w:p>
        </w:tc>
        <w:tc>
          <w:tcPr>
            <w:tcW w:w="316" w:type="pct"/>
            <w:noWrap w:val="0"/>
            <w:vAlign w:val="center"/>
          </w:tcPr>
          <w:p w14:paraId="567C5679">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降雨时排放</w:t>
            </w:r>
          </w:p>
        </w:tc>
        <w:tc>
          <w:tcPr>
            <w:tcW w:w="295" w:type="pct"/>
            <w:noWrap w:val="0"/>
            <w:vAlign w:val="center"/>
          </w:tcPr>
          <w:p w14:paraId="0FBC3584">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淮河</w:t>
            </w:r>
          </w:p>
        </w:tc>
        <w:tc>
          <w:tcPr>
            <w:tcW w:w="411" w:type="pct"/>
            <w:noWrap w:val="0"/>
            <w:vAlign w:val="center"/>
          </w:tcPr>
          <w:p w14:paraId="5B14BCA3">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Ⅲ类</w:t>
            </w:r>
          </w:p>
        </w:tc>
        <w:tc>
          <w:tcPr>
            <w:tcW w:w="390" w:type="pct"/>
            <w:noWrap w:val="0"/>
            <w:vAlign w:val="center"/>
          </w:tcPr>
          <w:p w14:paraId="5E56BDE7">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w:t>
            </w:r>
          </w:p>
        </w:tc>
        <w:tc>
          <w:tcPr>
            <w:tcW w:w="308" w:type="pct"/>
            <w:noWrap w:val="0"/>
            <w:vAlign w:val="center"/>
          </w:tcPr>
          <w:p w14:paraId="6946E0F1">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w:t>
            </w:r>
          </w:p>
        </w:tc>
        <w:tc>
          <w:tcPr>
            <w:tcW w:w="319" w:type="pct"/>
            <w:noWrap w:val="0"/>
            <w:vAlign w:val="center"/>
          </w:tcPr>
          <w:p w14:paraId="302C801F">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r>
    </w:tbl>
    <w:p w14:paraId="5DFB5900">
      <w:pPr>
        <w:tabs>
          <w:tab w:val="left" w:pos="1890"/>
        </w:tabs>
        <w:spacing w:line="420" w:lineRule="exact"/>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表13   建设项目噪声排放信息表</w:t>
      </w:r>
    </w:p>
    <w:tbl>
      <w:tblPr>
        <w:tblStyle w:val="53"/>
        <w:tblW w:w="4996"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354"/>
        <w:gridCol w:w="1612"/>
        <w:gridCol w:w="1791"/>
        <w:gridCol w:w="5027"/>
        <w:gridCol w:w="1427"/>
        <w:gridCol w:w="1624"/>
        <w:gridCol w:w="1374"/>
      </w:tblGrid>
      <w:tr w14:paraId="3FE3596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9" w:hRule="atLeast"/>
          <w:jc w:val="center"/>
        </w:trPr>
        <w:tc>
          <w:tcPr>
            <w:tcW w:w="476" w:type="pct"/>
            <w:vMerge w:val="restart"/>
            <w:noWrap w:val="0"/>
            <w:vAlign w:val="center"/>
          </w:tcPr>
          <w:p w14:paraId="09FAEFB6">
            <w:pPr>
              <w:keepNext w:val="0"/>
              <w:keepLines w:val="0"/>
              <w:suppressLineNumbers w:val="0"/>
              <w:tabs>
                <w:tab w:val="left" w:pos="1890"/>
              </w:tabs>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噪声类别</w:t>
            </w:r>
          </w:p>
        </w:tc>
        <w:tc>
          <w:tcPr>
            <w:tcW w:w="1197" w:type="pct"/>
            <w:gridSpan w:val="2"/>
            <w:noWrap w:val="0"/>
            <w:vAlign w:val="center"/>
          </w:tcPr>
          <w:p w14:paraId="68B264A2">
            <w:pPr>
              <w:keepNext w:val="0"/>
              <w:keepLines w:val="0"/>
              <w:suppressLineNumbers w:val="0"/>
              <w:tabs>
                <w:tab w:val="left" w:pos="1890"/>
              </w:tabs>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生产时段</w:t>
            </w:r>
          </w:p>
        </w:tc>
        <w:tc>
          <w:tcPr>
            <w:tcW w:w="1768" w:type="pct"/>
            <w:vMerge w:val="restart"/>
            <w:noWrap w:val="0"/>
            <w:vAlign w:val="center"/>
          </w:tcPr>
          <w:p w14:paraId="3B5B3BBF">
            <w:pPr>
              <w:keepNext w:val="0"/>
              <w:keepLines w:val="0"/>
              <w:suppressLineNumbers w:val="0"/>
              <w:tabs>
                <w:tab w:val="left" w:pos="1890"/>
              </w:tabs>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执行排放标准名称</w:t>
            </w:r>
          </w:p>
        </w:tc>
        <w:tc>
          <w:tcPr>
            <w:tcW w:w="1073" w:type="pct"/>
            <w:gridSpan w:val="2"/>
            <w:noWrap w:val="0"/>
            <w:vAlign w:val="center"/>
          </w:tcPr>
          <w:p w14:paraId="772D9DF1">
            <w:pPr>
              <w:keepNext w:val="0"/>
              <w:keepLines w:val="0"/>
              <w:suppressLineNumbers w:val="0"/>
              <w:tabs>
                <w:tab w:val="left" w:pos="1890"/>
              </w:tabs>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厂界噪声排放限值</w:t>
            </w:r>
          </w:p>
        </w:tc>
        <w:tc>
          <w:tcPr>
            <w:tcW w:w="483" w:type="pct"/>
            <w:vMerge w:val="restart"/>
            <w:noWrap w:val="0"/>
            <w:vAlign w:val="center"/>
          </w:tcPr>
          <w:p w14:paraId="43F9B2DA">
            <w:pPr>
              <w:keepNext w:val="0"/>
              <w:keepLines w:val="0"/>
              <w:suppressLineNumbers w:val="0"/>
              <w:tabs>
                <w:tab w:val="left" w:pos="1890"/>
              </w:tabs>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备注</w:t>
            </w:r>
          </w:p>
        </w:tc>
      </w:tr>
      <w:tr w14:paraId="0C4797C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37" w:hRule="atLeast"/>
          <w:jc w:val="center"/>
        </w:trPr>
        <w:tc>
          <w:tcPr>
            <w:tcW w:w="476" w:type="pct"/>
            <w:vMerge w:val="continue"/>
            <w:noWrap w:val="0"/>
            <w:vAlign w:val="center"/>
          </w:tcPr>
          <w:p w14:paraId="1852954F">
            <w:pPr>
              <w:keepNext w:val="0"/>
              <w:keepLines w:val="0"/>
              <w:suppressLineNumbers w:val="0"/>
              <w:tabs>
                <w:tab w:val="left" w:pos="1890"/>
              </w:tabs>
              <w:spacing w:before="0" w:beforeAutospacing="0" w:after="0" w:afterAutospacing="0" w:line="320" w:lineRule="exact"/>
              <w:ind w:left="0" w:right="0"/>
              <w:jc w:val="center"/>
              <w:rPr>
                <w:rFonts w:hint="default" w:ascii="Times New Roman" w:hAnsi="Times New Roman" w:eastAsia="宋体" w:cs="Times New Roman"/>
                <w:b/>
                <w:color w:val="auto"/>
              </w:rPr>
            </w:pPr>
          </w:p>
        </w:tc>
        <w:tc>
          <w:tcPr>
            <w:tcW w:w="567" w:type="pct"/>
            <w:noWrap w:val="0"/>
            <w:vAlign w:val="center"/>
          </w:tcPr>
          <w:p w14:paraId="466E73E1">
            <w:pPr>
              <w:keepNext w:val="0"/>
              <w:keepLines w:val="0"/>
              <w:suppressLineNumbers w:val="0"/>
              <w:tabs>
                <w:tab w:val="left" w:pos="1890"/>
              </w:tabs>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昼间</w:t>
            </w:r>
          </w:p>
        </w:tc>
        <w:tc>
          <w:tcPr>
            <w:tcW w:w="630" w:type="pct"/>
            <w:noWrap w:val="0"/>
            <w:vAlign w:val="center"/>
          </w:tcPr>
          <w:p w14:paraId="04162070">
            <w:pPr>
              <w:keepNext w:val="0"/>
              <w:keepLines w:val="0"/>
              <w:suppressLineNumbers w:val="0"/>
              <w:tabs>
                <w:tab w:val="left" w:pos="1890"/>
              </w:tabs>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夜间</w:t>
            </w:r>
          </w:p>
        </w:tc>
        <w:tc>
          <w:tcPr>
            <w:tcW w:w="1768" w:type="pct"/>
            <w:vMerge w:val="continue"/>
            <w:noWrap w:val="0"/>
            <w:vAlign w:val="center"/>
          </w:tcPr>
          <w:p w14:paraId="2065A424">
            <w:pPr>
              <w:keepNext w:val="0"/>
              <w:keepLines w:val="0"/>
              <w:suppressLineNumbers w:val="0"/>
              <w:tabs>
                <w:tab w:val="left" w:pos="1890"/>
              </w:tabs>
              <w:spacing w:before="0" w:beforeAutospacing="0" w:after="0" w:afterAutospacing="0" w:line="320" w:lineRule="exact"/>
              <w:ind w:left="0" w:right="0"/>
              <w:jc w:val="center"/>
              <w:rPr>
                <w:rFonts w:hint="default" w:ascii="Times New Roman" w:hAnsi="Times New Roman" w:eastAsia="宋体" w:cs="Times New Roman"/>
                <w:b/>
                <w:color w:val="auto"/>
              </w:rPr>
            </w:pPr>
          </w:p>
        </w:tc>
        <w:tc>
          <w:tcPr>
            <w:tcW w:w="502" w:type="pct"/>
            <w:noWrap w:val="0"/>
            <w:vAlign w:val="center"/>
          </w:tcPr>
          <w:p w14:paraId="36424678">
            <w:pPr>
              <w:keepNext w:val="0"/>
              <w:keepLines w:val="0"/>
              <w:suppressLineNumbers w:val="0"/>
              <w:tabs>
                <w:tab w:val="left" w:pos="1890"/>
              </w:tabs>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昼间dB(A)</w:t>
            </w:r>
          </w:p>
        </w:tc>
        <w:tc>
          <w:tcPr>
            <w:tcW w:w="571" w:type="pct"/>
            <w:noWrap w:val="0"/>
            <w:vAlign w:val="center"/>
          </w:tcPr>
          <w:p w14:paraId="5C6C4432">
            <w:pPr>
              <w:keepNext w:val="0"/>
              <w:keepLines w:val="0"/>
              <w:suppressLineNumbers w:val="0"/>
              <w:tabs>
                <w:tab w:val="left" w:pos="1890"/>
              </w:tabs>
              <w:spacing w:before="0" w:beforeAutospacing="0" w:after="0" w:afterAutospacing="0" w:line="32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夜间dB(A)</w:t>
            </w:r>
          </w:p>
        </w:tc>
        <w:tc>
          <w:tcPr>
            <w:tcW w:w="483" w:type="pct"/>
            <w:vMerge w:val="continue"/>
            <w:noWrap w:val="0"/>
            <w:vAlign w:val="center"/>
          </w:tcPr>
          <w:p w14:paraId="3102A8E3">
            <w:pPr>
              <w:keepNext w:val="0"/>
              <w:keepLines w:val="0"/>
              <w:suppressLineNumbers w:val="0"/>
              <w:tabs>
                <w:tab w:val="left" w:pos="1890"/>
              </w:tabs>
              <w:spacing w:before="0" w:beforeAutospacing="0" w:after="0" w:afterAutospacing="0" w:line="320" w:lineRule="exact"/>
              <w:ind w:left="0" w:right="0"/>
              <w:jc w:val="center"/>
              <w:rPr>
                <w:rFonts w:hint="default" w:ascii="Times New Roman" w:hAnsi="Times New Roman" w:eastAsia="宋体" w:cs="Times New Roman"/>
                <w:b/>
                <w:color w:val="auto"/>
              </w:rPr>
            </w:pPr>
          </w:p>
        </w:tc>
      </w:tr>
      <w:tr w14:paraId="387CAB1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37" w:hRule="atLeast"/>
          <w:jc w:val="center"/>
        </w:trPr>
        <w:tc>
          <w:tcPr>
            <w:tcW w:w="476" w:type="pct"/>
            <w:noWrap w:val="0"/>
            <w:vAlign w:val="center"/>
          </w:tcPr>
          <w:p w14:paraId="32935951">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稳态噪声</w:t>
            </w:r>
          </w:p>
        </w:tc>
        <w:tc>
          <w:tcPr>
            <w:tcW w:w="567" w:type="pct"/>
            <w:noWrap w:val="0"/>
            <w:vAlign w:val="center"/>
          </w:tcPr>
          <w:p w14:paraId="7CED7DD6">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06:00～22:00</w:t>
            </w:r>
          </w:p>
        </w:tc>
        <w:tc>
          <w:tcPr>
            <w:tcW w:w="630" w:type="pct"/>
            <w:noWrap w:val="0"/>
            <w:vAlign w:val="center"/>
          </w:tcPr>
          <w:p w14:paraId="424524E2">
            <w:pPr>
              <w:keepNext w:val="0"/>
              <w:keepLines w:val="0"/>
              <w:suppressLineNumbers w:val="0"/>
              <w:tabs>
                <w:tab w:val="left" w:pos="1890"/>
              </w:tabs>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22:00~次日06:00</w:t>
            </w:r>
          </w:p>
        </w:tc>
        <w:tc>
          <w:tcPr>
            <w:tcW w:w="1768" w:type="pct"/>
            <w:tcBorders>
              <w:bottom w:val="single" w:color="auto" w:sz="4" w:space="0"/>
            </w:tcBorders>
            <w:noWrap w:val="0"/>
            <w:vAlign w:val="center"/>
          </w:tcPr>
          <w:p w14:paraId="1DF79400">
            <w:pPr>
              <w:pStyle w:val="214"/>
              <w:keepNext w:val="0"/>
              <w:keepLines w:val="0"/>
              <w:widowControl/>
              <w:suppressLineNumbers w:val="0"/>
              <w:adjustRightInd w:val="0"/>
              <w:snapToGrid w:val="0"/>
              <w:spacing w:before="0" w:beforeAutospacing="0" w:after="0" w:afterAutospacing="0" w:line="240" w:lineRule="auto"/>
              <w:ind w:left="0" w:right="0"/>
              <w:textAlignment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《工业企业厂界环境噪声排放标准》（GB1234-2008）3类标准</w:t>
            </w:r>
          </w:p>
        </w:tc>
        <w:tc>
          <w:tcPr>
            <w:tcW w:w="502" w:type="pct"/>
            <w:tcBorders>
              <w:bottom w:val="single" w:color="auto" w:sz="4" w:space="0"/>
            </w:tcBorders>
            <w:noWrap w:val="0"/>
            <w:vAlign w:val="center"/>
          </w:tcPr>
          <w:p w14:paraId="128E1A7E">
            <w:pPr>
              <w:pStyle w:val="214"/>
              <w:keepNext w:val="0"/>
              <w:keepLines w:val="0"/>
              <w:widowControl/>
              <w:suppressLineNumbers w:val="0"/>
              <w:adjustRightInd w:val="0"/>
              <w:snapToGrid w:val="0"/>
              <w:spacing w:before="0" w:beforeAutospacing="0" w:after="0" w:afterAutospacing="0" w:line="240" w:lineRule="auto"/>
              <w:ind w:left="0" w:right="0"/>
              <w:textAlignment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lang w:val="en-US" w:eastAsia="zh-CN"/>
              </w:rPr>
              <w:t>65</w:t>
            </w:r>
          </w:p>
        </w:tc>
        <w:tc>
          <w:tcPr>
            <w:tcW w:w="571" w:type="pct"/>
            <w:tcBorders>
              <w:bottom w:val="single" w:color="auto" w:sz="4" w:space="0"/>
            </w:tcBorders>
            <w:noWrap w:val="0"/>
            <w:vAlign w:val="center"/>
          </w:tcPr>
          <w:p w14:paraId="3F95E7E1">
            <w:pPr>
              <w:pStyle w:val="214"/>
              <w:keepNext w:val="0"/>
              <w:keepLines w:val="0"/>
              <w:widowControl/>
              <w:suppressLineNumbers w:val="0"/>
              <w:adjustRightInd w:val="0"/>
              <w:snapToGrid w:val="0"/>
              <w:spacing w:before="0" w:beforeAutospacing="0" w:after="0" w:afterAutospacing="0" w:line="240" w:lineRule="auto"/>
              <w:ind w:left="0" w:right="0"/>
              <w:textAlignment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lang w:val="en-US" w:eastAsia="zh-CN"/>
              </w:rPr>
              <w:t>55</w:t>
            </w:r>
          </w:p>
        </w:tc>
        <w:tc>
          <w:tcPr>
            <w:tcW w:w="483" w:type="pct"/>
            <w:tcBorders>
              <w:bottom w:val="single" w:color="auto" w:sz="4" w:space="0"/>
            </w:tcBorders>
            <w:noWrap w:val="0"/>
            <w:vAlign w:val="center"/>
          </w:tcPr>
          <w:p w14:paraId="107E5433">
            <w:pPr>
              <w:pStyle w:val="214"/>
              <w:keepNext w:val="0"/>
              <w:keepLines w:val="0"/>
              <w:widowControl/>
              <w:suppressLineNumbers w:val="0"/>
              <w:adjustRightInd w:val="0"/>
              <w:snapToGrid w:val="0"/>
              <w:spacing w:before="0" w:beforeAutospacing="0" w:after="0" w:afterAutospacing="0" w:line="240" w:lineRule="auto"/>
              <w:ind w:left="0" w:right="0"/>
              <w:textAlignment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lang w:val="en-US" w:eastAsia="zh-CN"/>
              </w:rPr>
              <w:t>厂界</w:t>
            </w:r>
          </w:p>
        </w:tc>
      </w:tr>
    </w:tbl>
    <w:p w14:paraId="3D04DB0A">
      <w:pPr>
        <w:tabs>
          <w:tab w:val="left" w:pos="1890"/>
        </w:tabs>
        <w:spacing w:line="420" w:lineRule="exact"/>
        <w:jc w:val="center"/>
        <w:rPr>
          <w:rFonts w:hint="default" w:ascii="Times New Roman" w:hAnsi="Times New Roman" w:eastAsia="宋体" w:cs="Times New Roman"/>
          <w:b/>
          <w:color w:val="FF0000"/>
        </w:rPr>
      </w:pPr>
    </w:p>
    <w:p w14:paraId="624C9FDE">
      <w:pPr>
        <w:tabs>
          <w:tab w:val="left" w:pos="1890"/>
        </w:tabs>
        <w:spacing w:line="420" w:lineRule="exact"/>
        <w:jc w:val="center"/>
        <w:rPr>
          <w:rFonts w:hint="default" w:ascii="Times New Roman" w:hAnsi="Times New Roman" w:eastAsia="宋体" w:cs="Times New Roman"/>
          <w:b/>
          <w:color w:val="FF0000"/>
        </w:rPr>
      </w:pPr>
    </w:p>
    <w:p w14:paraId="63DDD911">
      <w:pPr>
        <w:tabs>
          <w:tab w:val="left" w:pos="1890"/>
        </w:tabs>
        <w:spacing w:line="420" w:lineRule="exact"/>
        <w:jc w:val="center"/>
        <w:rPr>
          <w:rFonts w:hint="default" w:ascii="Times New Roman" w:hAnsi="Times New Roman" w:eastAsia="宋体" w:cs="Times New Roman"/>
          <w:b/>
          <w:color w:val="FF0000"/>
        </w:rPr>
      </w:pPr>
    </w:p>
    <w:p w14:paraId="16FBB06E">
      <w:pPr>
        <w:tabs>
          <w:tab w:val="left" w:pos="1890"/>
        </w:tabs>
        <w:spacing w:line="420" w:lineRule="exact"/>
        <w:jc w:val="center"/>
        <w:rPr>
          <w:rFonts w:hint="default" w:ascii="Times New Roman" w:hAnsi="Times New Roman" w:eastAsia="宋体" w:cs="Times New Roman"/>
          <w:b/>
          <w:color w:val="FF0000"/>
        </w:rPr>
      </w:pPr>
    </w:p>
    <w:p w14:paraId="7E419AE8">
      <w:pPr>
        <w:tabs>
          <w:tab w:val="left" w:pos="1890"/>
        </w:tabs>
        <w:spacing w:line="420" w:lineRule="exact"/>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表14   建设项目新增固体废物（一般固体废物和危险固体废物）排放信息表</w:t>
      </w:r>
    </w:p>
    <w:tbl>
      <w:tblPr>
        <w:tblStyle w:val="5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3"/>
        <w:gridCol w:w="1188"/>
        <w:gridCol w:w="1433"/>
        <w:gridCol w:w="651"/>
        <w:gridCol w:w="708"/>
        <w:gridCol w:w="648"/>
        <w:gridCol w:w="978"/>
        <w:gridCol w:w="1373"/>
        <w:gridCol w:w="995"/>
        <w:gridCol w:w="1021"/>
        <w:gridCol w:w="1066"/>
        <w:gridCol w:w="1205"/>
        <w:gridCol w:w="1214"/>
        <w:gridCol w:w="779"/>
        <w:gridCol w:w="617"/>
      </w:tblGrid>
      <w:tr w14:paraId="2029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 w:hRule="atLeast"/>
          <w:tblHeader/>
          <w:jc w:val="center"/>
        </w:trPr>
        <w:tc>
          <w:tcPr>
            <w:tcW w:w="117" w:type="pct"/>
            <w:vMerge w:val="restart"/>
            <w:noWrap w:val="0"/>
            <w:vAlign w:val="center"/>
          </w:tcPr>
          <w:p w14:paraId="7B83544F">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序号</w:t>
            </w:r>
          </w:p>
        </w:tc>
        <w:tc>
          <w:tcPr>
            <w:tcW w:w="418" w:type="pct"/>
            <w:vMerge w:val="restart"/>
            <w:noWrap w:val="0"/>
            <w:vAlign w:val="center"/>
          </w:tcPr>
          <w:p w14:paraId="7BC02C35">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固体废物来源</w:t>
            </w:r>
          </w:p>
        </w:tc>
        <w:tc>
          <w:tcPr>
            <w:tcW w:w="504" w:type="pct"/>
            <w:vMerge w:val="restart"/>
            <w:noWrap w:val="0"/>
            <w:vAlign w:val="center"/>
          </w:tcPr>
          <w:p w14:paraId="6B160172">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固体废物名称</w:t>
            </w:r>
          </w:p>
        </w:tc>
        <w:tc>
          <w:tcPr>
            <w:tcW w:w="229" w:type="pct"/>
            <w:vMerge w:val="restart"/>
            <w:noWrap w:val="0"/>
            <w:vAlign w:val="center"/>
          </w:tcPr>
          <w:p w14:paraId="59E36C14">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固体废物种类</w:t>
            </w:r>
          </w:p>
        </w:tc>
        <w:tc>
          <w:tcPr>
            <w:tcW w:w="249" w:type="pct"/>
            <w:vMerge w:val="restart"/>
            <w:noWrap w:val="0"/>
            <w:vAlign w:val="center"/>
          </w:tcPr>
          <w:p w14:paraId="339327A0">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固体废物类别</w:t>
            </w:r>
          </w:p>
        </w:tc>
        <w:tc>
          <w:tcPr>
            <w:tcW w:w="228" w:type="pct"/>
            <w:vMerge w:val="restart"/>
            <w:noWrap w:val="0"/>
            <w:vAlign w:val="center"/>
          </w:tcPr>
          <w:p w14:paraId="05268BC1">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固体废物描述</w:t>
            </w:r>
          </w:p>
        </w:tc>
        <w:tc>
          <w:tcPr>
            <w:tcW w:w="344" w:type="pct"/>
            <w:vMerge w:val="restart"/>
            <w:noWrap w:val="0"/>
            <w:vAlign w:val="center"/>
          </w:tcPr>
          <w:p w14:paraId="72A19E22">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固体废物产生量（t/a）</w:t>
            </w:r>
          </w:p>
        </w:tc>
        <w:tc>
          <w:tcPr>
            <w:tcW w:w="483" w:type="pct"/>
            <w:vMerge w:val="restart"/>
            <w:noWrap w:val="0"/>
            <w:vAlign w:val="center"/>
          </w:tcPr>
          <w:p w14:paraId="41A6BE9C">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处理方式</w:t>
            </w:r>
          </w:p>
        </w:tc>
        <w:tc>
          <w:tcPr>
            <w:tcW w:w="2209" w:type="pct"/>
            <w:gridSpan w:val="6"/>
            <w:noWrap w:val="0"/>
            <w:vAlign w:val="center"/>
          </w:tcPr>
          <w:p w14:paraId="5EA10081">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处理去向</w:t>
            </w:r>
          </w:p>
        </w:tc>
        <w:tc>
          <w:tcPr>
            <w:tcW w:w="217" w:type="pct"/>
            <w:vMerge w:val="restart"/>
            <w:noWrap w:val="0"/>
            <w:vAlign w:val="center"/>
          </w:tcPr>
          <w:p w14:paraId="301415AB">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其他信息</w:t>
            </w:r>
          </w:p>
        </w:tc>
      </w:tr>
      <w:tr w14:paraId="498A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blHeader/>
          <w:jc w:val="center"/>
        </w:trPr>
        <w:tc>
          <w:tcPr>
            <w:tcW w:w="117" w:type="pct"/>
            <w:vMerge w:val="continue"/>
            <w:noWrap w:val="0"/>
            <w:vAlign w:val="center"/>
          </w:tcPr>
          <w:p w14:paraId="78098C0B">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418" w:type="pct"/>
            <w:vMerge w:val="continue"/>
            <w:noWrap w:val="0"/>
            <w:vAlign w:val="center"/>
          </w:tcPr>
          <w:p w14:paraId="5F0D2CC4">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504" w:type="pct"/>
            <w:vMerge w:val="continue"/>
            <w:noWrap w:val="0"/>
            <w:vAlign w:val="center"/>
          </w:tcPr>
          <w:p w14:paraId="5E6C26BE">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229" w:type="pct"/>
            <w:vMerge w:val="continue"/>
            <w:noWrap w:val="0"/>
            <w:vAlign w:val="center"/>
          </w:tcPr>
          <w:p w14:paraId="29CA4979">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249" w:type="pct"/>
            <w:vMerge w:val="continue"/>
            <w:noWrap w:val="0"/>
            <w:vAlign w:val="center"/>
          </w:tcPr>
          <w:p w14:paraId="57CF2564">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228" w:type="pct"/>
            <w:vMerge w:val="continue"/>
            <w:noWrap w:val="0"/>
            <w:vAlign w:val="center"/>
          </w:tcPr>
          <w:p w14:paraId="0BBDBAC0">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344" w:type="pct"/>
            <w:vMerge w:val="continue"/>
            <w:noWrap w:val="0"/>
            <w:vAlign w:val="center"/>
          </w:tcPr>
          <w:p w14:paraId="37BE3F88">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483" w:type="pct"/>
            <w:vMerge w:val="continue"/>
            <w:noWrap w:val="0"/>
            <w:vAlign w:val="center"/>
          </w:tcPr>
          <w:p w14:paraId="545FBF3C">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350" w:type="pct"/>
            <w:vMerge w:val="restart"/>
            <w:noWrap w:val="0"/>
            <w:vAlign w:val="center"/>
          </w:tcPr>
          <w:p w14:paraId="0D7CFFC6">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自行贮存量（t/a）</w:t>
            </w:r>
          </w:p>
        </w:tc>
        <w:tc>
          <w:tcPr>
            <w:tcW w:w="359" w:type="pct"/>
            <w:vMerge w:val="restart"/>
            <w:noWrap w:val="0"/>
            <w:vAlign w:val="center"/>
          </w:tcPr>
          <w:p w14:paraId="27E0498B">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自行利用（t/a）</w:t>
            </w:r>
          </w:p>
        </w:tc>
        <w:tc>
          <w:tcPr>
            <w:tcW w:w="375" w:type="pct"/>
            <w:vMerge w:val="restart"/>
            <w:noWrap w:val="0"/>
            <w:vAlign w:val="center"/>
          </w:tcPr>
          <w:p w14:paraId="2BFD4866">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自行处置（t/a）</w:t>
            </w:r>
          </w:p>
        </w:tc>
        <w:tc>
          <w:tcPr>
            <w:tcW w:w="851" w:type="pct"/>
            <w:gridSpan w:val="2"/>
            <w:noWrap w:val="0"/>
            <w:vAlign w:val="center"/>
          </w:tcPr>
          <w:p w14:paraId="0B903141">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转移量（t/a）</w:t>
            </w:r>
          </w:p>
        </w:tc>
        <w:tc>
          <w:tcPr>
            <w:tcW w:w="274" w:type="pct"/>
            <w:vMerge w:val="restart"/>
            <w:noWrap w:val="0"/>
            <w:vAlign w:val="center"/>
          </w:tcPr>
          <w:p w14:paraId="15274DB0">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排放量（t/a）</w:t>
            </w:r>
          </w:p>
        </w:tc>
        <w:tc>
          <w:tcPr>
            <w:tcW w:w="217" w:type="pct"/>
            <w:vMerge w:val="continue"/>
            <w:noWrap w:val="0"/>
            <w:vAlign w:val="center"/>
          </w:tcPr>
          <w:p w14:paraId="3E9A5841">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r>
      <w:tr w14:paraId="7DAD0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blHeader/>
          <w:jc w:val="center"/>
        </w:trPr>
        <w:tc>
          <w:tcPr>
            <w:tcW w:w="117" w:type="pct"/>
            <w:vMerge w:val="continue"/>
            <w:noWrap w:val="0"/>
            <w:vAlign w:val="center"/>
          </w:tcPr>
          <w:p w14:paraId="1DB276F4">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418" w:type="pct"/>
            <w:vMerge w:val="continue"/>
            <w:noWrap w:val="0"/>
            <w:vAlign w:val="center"/>
          </w:tcPr>
          <w:p w14:paraId="1D5B3C1B">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504" w:type="pct"/>
            <w:vMerge w:val="continue"/>
            <w:noWrap w:val="0"/>
            <w:vAlign w:val="center"/>
          </w:tcPr>
          <w:p w14:paraId="242B55C4">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229" w:type="pct"/>
            <w:vMerge w:val="continue"/>
            <w:noWrap w:val="0"/>
            <w:vAlign w:val="center"/>
          </w:tcPr>
          <w:p w14:paraId="0F383DCF">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249" w:type="pct"/>
            <w:vMerge w:val="continue"/>
            <w:noWrap w:val="0"/>
            <w:vAlign w:val="center"/>
          </w:tcPr>
          <w:p w14:paraId="41D5B289">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228" w:type="pct"/>
            <w:vMerge w:val="continue"/>
            <w:noWrap w:val="0"/>
            <w:vAlign w:val="center"/>
          </w:tcPr>
          <w:p w14:paraId="7A5085C9">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344" w:type="pct"/>
            <w:vMerge w:val="continue"/>
            <w:noWrap w:val="0"/>
            <w:vAlign w:val="center"/>
          </w:tcPr>
          <w:p w14:paraId="4ED9A040">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483" w:type="pct"/>
            <w:vMerge w:val="continue"/>
            <w:noWrap w:val="0"/>
            <w:vAlign w:val="center"/>
          </w:tcPr>
          <w:p w14:paraId="7F14C05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350" w:type="pct"/>
            <w:vMerge w:val="continue"/>
            <w:noWrap w:val="0"/>
            <w:vAlign w:val="center"/>
          </w:tcPr>
          <w:p w14:paraId="69733D5E">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359" w:type="pct"/>
            <w:vMerge w:val="continue"/>
            <w:noWrap w:val="0"/>
            <w:vAlign w:val="center"/>
          </w:tcPr>
          <w:p w14:paraId="2B40E05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375" w:type="pct"/>
            <w:vMerge w:val="continue"/>
            <w:noWrap w:val="0"/>
            <w:vAlign w:val="center"/>
          </w:tcPr>
          <w:p w14:paraId="3B55AC36">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424" w:type="pct"/>
            <w:noWrap w:val="0"/>
            <w:vAlign w:val="center"/>
          </w:tcPr>
          <w:p w14:paraId="413A4F36">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委托利用量</w:t>
            </w:r>
          </w:p>
        </w:tc>
        <w:tc>
          <w:tcPr>
            <w:tcW w:w="427" w:type="pct"/>
            <w:noWrap w:val="0"/>
            <w:vAlign w:val="center"/>
          </w:tcPr>
          <w:p w14:paraId="509E684C">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委托处置量</w:t>
            </w:r>
          </w:p>
        </w:tc>
        <w:tc>
          <w:tcPr>
            <w:tcW w:w="274" w:type="pct"/>
            <w:vMerge w:val="continue"/>
            <w:noWrap w:val="0"/>
            <w:vAlign w:val="center"/>
          </w:tcPr>
          <w:p w14:paraId="6A3CD1C1">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c>
          <w:tcPr>
            <w:tcW w:w="217" w:type="pct"/>
            <w:vMerge w:val="continue"/>
            <w:noWrap w:val="0"/>
            <w:vAlign w:val="center"/>
          </w:tcPr>
          <w:p w14:paraId="3815CA44">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sz w:val="21"/>
                <w:szCs w:val="21"/>
              </w:rPr>
            </w:pPr>
          </w:p>
        </w:tc>
      </w:tr>
      <w:tr w14:paraId="44C65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7" w:type="pct"/>
            <w:noWrap w:val="0"/>
            <w:vAlign w:val="center"/>
          </w:tcPr>
          <w:p w14:paraId="5E95FA0F">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418" w:type="pct"/>
            <w:noWrap w:val="0"/>
            <w:vAlign w:val="center"/>
          </w:tcPr>
          <w:p w14:paraId="4F08885E">
            <w:pPr>
              <w:pStyle w:val="217"/>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员工生活</w:t>
            </w:r>
          </w:p>
        </w:tc>
        <w:tc>
          <w:tcPr>
            <w:tcW w:w="504" w:type="pct"/>
            <w:noWrap w:val="0"/>
            <w:vAlign w:val="center"/>
          </w:tcPr>
          <w:p w14:paraId="63E0AD1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生活垃圾</w:t>
            </w:r>
          </w:p>
        </w:tc>
        <w:tc>
          <w:tcPr>
            <w:tcW w:w="229" w:type="pct"/>
            <w:noWrap w:val="0"/>
            <w:vAlign w:val="center"/>
          </w:tcPr>
          <w:p w14:paraId="78595D22">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生活垃圾</w:t>
            </w:r>
          </w:p>
        </w:tc>
        <w:tc>
          <w:tcPr>
            <w:tcW w:w="249" w:type="pct"/>
            <w:noWrap w:val="0"/>
            <w:vAlign w:val="center"/>
          </w:tcPr>
          <w:p w14:paraId="628CB5B5">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228" w:type="pct"/>
            <w:noWrap w:val="0"/>
            <w:vAlign w:val="center"/>
          </w:tcPr>
          <w:p w14:paraId="46DD15C1">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44" w:type="pct"/>
            <w:noWrap w:val="0"/>
            <w:vAlign w:val="center"/>
          </w:tcPr>
          <w:p w14:paraId="23BBE565">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3</w:t>
            </w:r>
          </w:p>
        </w:tc>
        <w:tc>
          <w:tcPr>
            <w:tcW w:w="483" w:type="pct"/>
            <w:noWrap w:val="0"/>
            <w:vAlign w:val="center"/>
          </w:tcPr>
          <w:p w14:paraId="686BC4F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由环卫部门统一处置</w:t>
            </w:r>
          </w:p>
        </w:tc>
        <w:tc>
          <w:tcPr>
            <w:tcW w:w="350" w:type="pct"/>
            <w:noWrap w:val="0"/>
            <w:vAlign w:val="center"/>
          </w:tcPr>
          <w:p w14:paraId="1DCA9945">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59" w:type="pct"/>
            <w:noWrap w:val="0"/>
            <w:vAlign w:val="center"/>
          </w:tcPr>
          <w:p w14:paraId="5AF06C42">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75" w:type="pct"/>
            <w:noWrap w:val="0"/>
            <w:vAlign w:val="center"/>
          </w:tcPr>
          <w:p w14:paraId="539EFC32">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424" w:type="pct"/>
            <w:noWrap w:val="0"/>
            <w:vAlign w:val="center"/>
          </w:tcPr>
          <w:p w14:paraId="582D3AC8">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27" w:type="pct"/>
            <w:noWrap w:val="0"/>
            <w:vAlign w:val="center"/>
          </w:tcPr>
          <w:p w14:paraId="321D4D5C">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3</w:t>
            </w:r>
          </w:p>
        </w:tc>
        <w:tc>
          <w:tcPr>
            <w:tcW w:w="274" w:type="pct"/>
            <w:noWrap w:val="0"/>
            <w:vAlign w:val="center"/>
          </w:tcPr>
          <w:p w14:paraId="1BD75090">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217" w:type="pct"/>
            <w:noWrap w:val="0"/>
            <w:vAlign w:val="center"/>
          </w:tcPr>
          <w:p w14:paraId="6B9B4B65">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55812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7" w:type="pct"/>
            <w:noWrap w:val="0"/>
            <w:vAlign w:val="center"/>
          </w:tcPr>
          <w:p w14:paraId="23D1F80B">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418" w:type="pct"/>
            <w:noWrap w:val="0"/>
            <w:vAlign w:val="center"/>
          </w:tcPr>
          <w:p w14:paraId="393D0F1D">
            <w:pPr>
              <w:pStyle w:val="217"/>
              <w:keepNext w:val="0"/>
              <w:keepLines w:val="0"/>
              <w:suppressLineNumbers w:val="0"/>
              <w:spacing w:before="0" w:beforeAutospacing="0" w:after="0" w:afterAutospacing="0" w:line="240" w:lineRule="auto"/>
              <w:ind w:left="0" w:leftChars="0" w:right="0" w:rightChars="0"/>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val="en-US" w:eastAsia="zh-CN"/>
              </w:rPr>
              <w:t>检验</w:t>
            </w:r>
          </w:p>
        </w:tc>
        <w:tc>
          <w:tcPr>
            <w:tcW w:w="504" w:type="pct"/>
            <w:noWrap w:val="0"/>
            <w:vAlign w:val="center"/>
          </w:tcPr>
          <w:p w14:paraId="775CB5E6">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rPr>
              <w:t>不合格品</w:t>
            </w:r>
          </w:p>
        </w:tc>
        <w:tc>
          <w:tcPr>
            <w:tcW w:w="229" w:type="pct"/>
            <w:noWrap w:val="0"/>
            <w:vAlign w:val="center"/>
          </w:tcPr>
          <w:p w14:paraId="4BEFA4D1">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一般固废</w:t>
            </w:r>
          </w:p>
        </w:tc>
        <w:tc>
          <w:tcPr>
            <w:tcW w:w="249" w:type="pct"/>
            <w:noWrap w:val="0"/>
            <w:vAlign w:val="center"/>
          </w:tcPr>
          <w:p w14:paraId="1D637850">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228" w:type="pct"/>
            <w:noWrap w:val="0"/>
            <w:vAlign w:val="center"/>
          </w:tcPr>
          <w:p w14:paraId="374E2D18">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44" w:type="pct"/>
            <w:noWrap w:val="0"/>
            <w:vAlign w:val="center"/>
          </w:tcPr>
          <w:p w14:paraId="3E0F3FFF">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1"/>
                <w:szCs w:val="21"/>
                <w:lang w:val="en-US"/>
              </w:rPr>
            </w:pPr>
            <w:r>
              <w:rPr>
                <w:rFonts w:hint="eastAsia" w:ascii="Times New Roman" w:hAnsi="Times New Roman" w:eastAsia="宋体" w:cs="Times New Roman"/>
                <w:color w:val="auto"/>
                <w:sz w:val="21"/>
                <w:szCs w:val="21"/>
                <w:lang w:val="en-US" w:eastAsia="zh-CN"/>
              </w:rPr>
              <w:t>3.5</w:t>
            </w:r>
          </w:p>
        </w:tc>
        <w:tc>
          <w:tcPr>
            <w:tcW w:w="483" w:type="pct"/>
            <w:noWrap w:val="0"/>
            <w:vAlign w:val="center"/>
          </w:tcPr>
          <w:p w14:paraId="050E91E5">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收集外售</w:t>
            </w:r>
          </w:p>
        </w:tc>
        <w:tc>
          <w:tcPr>
            <w:tcW w:w="350" w:type="pct"/>
            <w:noWrap w:val="0"/>
            <w:vAlign w:val="center"/>
          </w:tcPr>
          <w:p w14:paraId="5C742860">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59" w:type="pct"/>
            <w:noWrap w:val="0"/>
            <w:vAlign w:val="center"/>
          </w:tcPr>
          <w:p w14:paraId="29E1C053">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rPr>
              <w:t>/</w:t>
            </w:r>
          </w:p>
        </w:tc>
        <w:tc>
          <w:tcPr>
            <w:tcW w:w="375" w:type="pct"/>
            <w:noWrap w:val="0"/>
            <w:vAlign w:val="center"/>
          </w:tcPr>
          <w:p w14:paraId="06CCCDEC">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1"/>
                <w:szCs w:val="21"/>
                <w:lang w:val="en-US"/>
              </w:rPr>
            </w:pPr>
            <w:r>
              <w:rPr>
                <w:rFonts w:hint="eastAsia" w:ascii="Times New Roman" w:hAnsi="Times New Roman" w:eastAsia="宋体" w:cs="Times New Roman"/>
                <w:color w:val="auto"/>
                <w:sz w:val="21"/>
                <w:szCs w:val="21"/>
                <w:lang w:val="en-US" w:eastAsia="zh-CN"/>
              </w:rPr>
              <w:t>3.5</w:t>
            </w:r>
          </w:p>
        </w:tc>
        <w:tc>
          <w:tcPr>
            <w:tcW w:w="424" w:type="pct"/>
            <w:noWrap w:val="0"/>
            <w:vAlign w:val="center"/>
          </w:tcPr>
          <w:p w14:paraId="089805A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27" w:type="pct"/>
            <w:noWrap w:val="0"/>
            <w:vAlign w:val="center"/>
          </w:tcPr>
          <w:p w14:paraId="6CBA9842">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274" w:type="pct"/>
            <w:noWrap w:val="0"/>
            <w:vAlign w:val="center"/>
          </w:tcPr>
          <w:p w14:paraId="7F06E86E">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217" w:type="pct"/>
            <w:noWrap w:val="0"/>
            <w:vAlign w:val="center"/>
          </w:tcPr>
          <w:p w14:paraId="7725D2E3">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38B92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7" w:type="pct"/>
            <w:noWrap w:val="0"/>
            <w:vAlign w:val="center"/>
          </w:tcPr>
          <w:p w14:paraId="32ACA7FA">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418" w:type="pct"/>
            <w:noWrap w:val="0"/>
            <w:vAlign w:val="center"/>
          </w:tcPr>
          <w:p w14:paraId="594964CE">
            <w:pPr>
              <w:pStyle w:val="217"/>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废气处理</w:t>
            </w:r>
          </w:p>
        </w:tc>
        <w:tc>
          <w:tcPr>
            <w:tcW w:w="504" w:type="pct"/>
            <w:noWrap w:val="0"/>
            <w:vAlign w:val="center"/>
          </w:tcPr>
          <w:p w14:paraId="50DD7B08">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kern w:val="0"/>
                <w:sz w:val="21"/>
                <w:szCs w:val="21"/>
                <w:lang w:val="en-US" w:eastAsia="zh-CN"/>
              </w:rPr>
              <w:t>油污</w:t>
            </w:r>
          </w:p>
        </w:tc>
        <w:tc>
          <w:tcPr>
            <w:tcW w:w="229" w:type="pct"/>
            <w:vMerge w:val="restart"/>
            <w:noWrap w:val="0"/>
            <w:vAlign w:val="center"/>
          </w:tcPr>
          <w:p w14:paraId="628059DD">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危险废物</w:t>
            </w:r>
          </w:p>
        </w:tc>
        <w:tc>
          <w:tcPr>
            <w:tcW w:w="249" w:type="pct"/>
            <w:noWrap w:val="0"/>
            <w:vAlign w:val="center"/>
          </w:tcPr>
          <w:p w14:paraId="7EB8BD5F">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228" w:type="pct"/>
            <w:noWrap w:val="0"/>
            <w:vAlign w:val="center"/>
          </w:tcPr>
          <w:p w14:paraId="489F4F5E">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44" w:type="pct"/>
            <w:noWrap w:val="0"/>
            <w:vAlign w:val="center"/>
          </w:tcPr>
          <w:p w14:paraId="38C0C8BB">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1"/>
                <w:szCs w:val="21"/>
              </w:rPr>
            </w:pPr>
            <w:r>
              <w:rPr>
                <w:rFonts w:hint="eastAsia" w:ascii="Times New Roman" w:hAnsi="Times New Roman" w:cs="Times New Roman"/>
                <w:color w:val="auto"/>
                <w:sz w:val="21"/>
                <w:szCs w:val="21"/>
                <w:lang w:val="en-US" w:eastAsia="zh-CN"/>
              </w:rPr>
              <w:t>1.94</w:t>
            </w:r>
          </w:p>
        </w:tc>
        <w:tc>
          <w:tcPr>
            <w:tcW w:w="483" w:type="pct"/>
            <w:vMerge w:val="restart"/>
            <w:noWrap w:val="0"/>
            <w:vAlign w:val="center"/>
          </w:tcPr>
          <w:p w14:paraId="6570911E">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收集贮存于危废</w:t>
            </w:r>
            <w:r>
              <w:rPr>
                <w:rFonts w:hint="default" w:ascii="Times New Roman" w:hAnsi="Times New Roman" w:eastAsia="宋体" w:cs="Times New Roman"/>
                <w:bCs/>
                <w:color w:val="auto"/>
                <w:sz w:val="21"/>
                <w:szCs w:val="21"/>
                <w:lang w:val="en-US" w:eastAsia="zh-CN"/>
              </w:rPr>
              <w:t>暂存间</w:t>
            </w:r>
            <w:r>
              <w:rPr>
                <w:rFonts w:hint="default" w:ascii="Times New Roman" w:hAnsi="Times New Roman" w:eastAsia="宋体" w:cs="Times New Roman"/>
                <w:bCs/>
                <w:color w:val="auto"/>
                <w:sz w:val="21"/>
                <w:szCs w:val="21"/>
              </w:rPr>
              <w:t>，</w:t>
            </w:r>
            <w:r>
              <w:rPr>
                <w:rFonts w:hint="default" w:ascii="Times New Roman" w:hAnsi="Times New Roman" w:eastAsia="宋体" w:cs="Times New Roman"/>
                <w:color w:val="auto"/>
                <w:sz w:val="21"/>
                <w:szCs w:val="21"/>
              </w:rPr>
              <w:t>委托有资质单位处理</w:t>
            </w:r>
          </w:p>
        </w:tc>
        <w:tc>
          <w:tcPr>
            <w:tcW w:w="350" w:type="pct"/>
            <w:noWrap w:val="0"/>
            <w:vAlign w:val="center"/>
          </w:tcPr>
          <w:p w14:paraId="42686CE1">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59" w:type="pct"/>
            <w:noWrap w:val="0"/>
            <w:vAlign w:val="center"/>
          </w:tcPr>
          <w:p w14:paraId="0822A493">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75" w:type="pct"/>
            <w:noWrap w:val="0"/>
            <w:vAlign w:val="center"/>
          </w:tcPr>
          <w:p w14:paraId="2257355D">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1"/>
                <w:szCs w:val="21"/>
              </w:rPr>
            </w:pPr>
            <w:r>
              <w:rPr>
                <w:rFonts w:hint="eastAsia" w:ascii="Times New Roman" w:hAnsi="Times New Roman" w:cs="Times New Roman"/>
                <w:color w:val="auto"/>
                <w:sz w:val="21"/>
                <w:szCs w:val="21"/>
                <w:lang w:val="en-US" w:eastAsia="zh-CN"/>
              </w:rPr>
              <w:t>1.94</w:t>
            </w:r>
          </w:p>
        </w:tc>
        <w:tc>
          <w:tcPr>
            <w:tcW w:w="424" w:type="pct"/>
            <w:noWrap w:val="0"/>
            <w:vAlign w:val="center"/>
          </w:tcPr>
          <w:p w14:paraId="5E95811D">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27" w:type="pct"/>
            <w:noWrap w:val="0"/>
            <w:vAlign w:val="center"/>
          </w:tcPr>
          <w:p w14:paraId="6697F2DC">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274" w:type="pct"/>
            <w:noWrap w:val="0"/>
            <w:vAlign w:val="center"/>
          </w:tcPr>
          <w:p w14:paraId="20781B64">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217" w:type="pct"/>
            <w:noWrap w:val="0"/>
            <w:vAlign w:val="center"/>
          </w:tcPr>
          <w:p w14:paraId="0E8D9F3A">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31E2C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7" w:type="pct"/>
            <w:noWrap w:val="0"/>
            <w:vAlign w:val="center"/>
          </w:tcPr>
          <w:p w14:paraId="4ECAF1C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p>
        </w:tc>
        <w:tc>
          <w:tcPr>
            <w:tcW w:w="418" w:type="pct"/>
            <w:noWrap w:val="0"/>
            <w:vAlign w:val="center"/>
          </w:tcPr>
          <w:p w14:paraId="3480EA2A">
            <w:pPr>
              <w:pStyle w:val="217"/>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淬火</w:t>
            </w:r>
          </w:p>
        </w:tc>
        <w:tc>
          <w:tcPr>
            <w:tcW w:w="504" w:type="pct"/>
            <w:noWrap w:val="0"/>
            <w:vAlign w:val="center"/>
          </w:tcPr>
          <w:p w14:paraId="2CB35E5C">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kern w:val="0"/>
                <w:sz w:val="21"/>
                <w:szCs w:val="21"/>
                <w:lang w:val="en-US" w:eastAsia="zh-CN"/>
              </w:rPr>
              <w:t>油泥</w:t>
            </w:r>
          </w:p>
        </w:tc>
        <w:tc>
          <w:tcPr>
            <w:tcW w:w="229" w:type="pct"/>
            <w:vMerge w:val="continue"/>
            <w:noWrap w:val="0"/>
            <w:vAlign w:val="center"/>
          </w:tcPr>
          <w:p w14:paraId="2AA7F33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p>
        </w:tc>
        <w:tc>
          <w:tcPr>
            <w:tcW w:w="249" w:type="pct"/>
            <w:noWrap w:val="0"/>
            <w:vAlign w:val="center"/>
          </w:tcPr>
          <w:p w14:paraId="10BE3120">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228" w:type="pct"/>
            <w:noWrap w:val="0"/>
            <w:vAlign w:val="center"/>
          </w:tcPr>
          <w:p w14:paraId="3B2FFA93">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44" w:type="pct"/>
            <w:noWrap w:val="0"/>
            <w:vAlign w:val="center"/>
          </w:tcPr>
          <w:p w14:paraId="15774201">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1"/>
                <w:szCs w:val="21"/>
              </w:rPr>
            </w:pPr>
            <w:r>
              <w:rPr>
                <w:rFonts w:hint="eastAsia" w:ascii="Times New Roman" w:hAnsi="Times New Roman" w:cs="Times New Roman"/>
                <w:color w:val="auto"/>
                <w:sz w:val="21"/>
                <w:szCs w:val="21"/>
                <w:lang w:val="en-US" w:eastAsia="zh-CN"/>
              </w:rPr>
              <w:t>0.5</w:t>
            </w:r>
          </w:p>
        </w:tc>
        <w:tc>
          <w:tcPr>
            <w:tcW w:w="483" w:type="pct"/>
            <w:vMerge w:val="continue"/>
            <w:noWrap w:val="0"/>
            <w:vAlign w:val="center"/>
          </w:tcPr>
          <w:p w14:paraId="2A226AEB">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rPr>
            </w:pPr>
          </w:p>
        </w:tc>
        <w:tc>
          <w:tcPr>
            <w:tcW w:w="350" w:type="pct"/>
            <w:noWrap w:val="0"/>
            <w:vAlign w:val="center"/>
          </w:tcPr>
          <w:p w14:paraId="50289696">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59" w:type="pct"/>
            <w:noWrap w:val="0"/>
            <w:vAlign w:val="center"/>
          </w:tcPr>
          <w:p w14:paraId="0DFB6F62">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75" w:type="pct"/>
            <w:noWrap w:val="0"/>
            <w:vAlign w:val="center"/>
          </w:tcPr>
          <w:p w14:paraId="19A83E3D">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1"/>
                <w:szCs w:val="21"/>
                <w:lang w:val="en-US"/>
              </w:rPr>
            </w:pPr>
            <w:r>
              <w:rPr>
                <w:rFonts w:hint="eastAsia" w:ascii="Times New Roman" w:hAnsi="Times New Roman" w:cs="Times New Roman"/>
                <w:color w:val="auto"/>
                <w:sz w:val="21"/>
                <w:szCs w:val="21"/>
                <w:lang w:val="en-US" w:eastAsia="zh-CN"/>
              </w:rPr>
              <w:t>0.5</w:t>
            </w:r>
          </w:p>
        </w:tc>
        <w:tc>
          <w:tcPr>
            <w:tcW w:w="424" w:type="pct"/>
            <w:noWrap w:val="0"/>
            <w:vAlign w:val="center"/>
          </w:tcPr>
          <w:p w14:paraId="317A0A7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27" w:type="pct"/>
            <w:noWrap w:val="0"/>
            <w:vAlign w:val="center"/>
          </w:tcPr>
          <w:p w14:paraId="74787A1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274" w:type="pct"/>
            <w:noWrap w:val="0"/>
            <w:vAlign w:val="center"/>
          </w:tcPr>
          <w:p w14:paraId="2DDEBDE6">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217" w:type="pct"/>
            <w:noWrap w:val="0"/>
            <w:vAlign w:val="center"/>
          </w:tcPr>
          <w:p w14:paraId="43CC09B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10322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7" w:type="pct"/>
            <w:noWrap w:val="0"/>
            <w:vAlign w:val="center"/>
          </w:tcPr>
          <w:p w14:paraId="65A4B0FF">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w:t>
            </w:r>
          </w:p>
        </w:tc>
        <w:tc>
          <w:tcPr>
            <w:tcW w:w="418" w:type="pct"/>
            <w:noWrap w:val="0"/>
            <w:vAlign w:val="center"/>
          </w:tcPr>
          <w:p w14:paraId="7CA9D796">
            <w:pPr>
              <w:pStyle w:val="217"/>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废气处理</w:t>
            </w:r>
          </w:p>
        </w:tc>
        <w:tc>
          <w:tcPr>
            <w:tcW w:w="504" w:type="pct"/>
            <w:noWrap w:val="0"/>
            <w:vAlign w:val="center"/>
          </w:tcPr>
          <w:p w14:paraId="1ACEF66A">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rPr>
              <w:t>废活性炭</w:t>
            </w:r>
          </w:p>
        </w:tc>
        <w:tc>
          <w:tcPr>
            <w:tcW w:w="229" w:type="pct"/>
            <w:vMerge w:val="continue"/>
            <w:noWrap w:val="0"/>
            <w:vAlign w:val="center"/>
          </w:tcPr>
          <w:p w14:paraId="3051B4FD">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p>
        </w:tc>
        <w:tc>
          <w:tcPr>
            <w:tcW w:w="249" w:type="pct"/>
            <w:noWrap w:val="0"/>
            <w:vAlign w:val="center"/>
          </w:tcPr>
          <w:p w14:paraId="6A937558">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228" w:type="pct"/>
            <w:noWrap w:val="0"/>
            <w:vAlign w:val="center"/>
          </w:tcPr>
          <w:p w14:paraId="2B2D88B5">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44" w:type="pct"/>
            <w:noWrap w:val="0"/>
            <w:vAlign w:val="center"/>
          </w:tcPr>
          <w:p w14:paraId="25ADE3CA">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1"/>
                <w:szCs w:val="21"/>
                <w:lang w:val="en-US"/>
              </w:rPr>
            </w:pPr>
            <w:r>
              <w:rPr>
                <w:rFonts w:hint="eastAsia" w:ascii="Times New Roman" w:hAnsi="Times New Roman" w:eastAsia="Times New Roman" w:cs="Times New Roman"/>
                <w:color w:val="auto"/>
                <w:sz w:val="21"/>
                <w:szCs w:val="21"/>
                <w:lang w:val="en-US" w:eastAsia="zh-CN"/>
              </w:rPr>
              <w:t>2.23</w:t>
            </w:r>
          </w:p>
        </w:tc>
        <w:tc>
          <w:tcPr>
            <w:tcW w:w="483" w:type="pct"/>
            <w:vMerge w:val="continue"/>
            <w:noWrap w:val="0"/>
            <w:vAlign w:val="center"/>
          </w:tcPr>
          <w:p w14:paraId="55A68302">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rPr>
            </w:pPr>
          </w:p>
        </w:tc>
        <w:tc>
          <w:tcPr>
            <w:tcW w:w="350" w:type="pct"/>
            <w:noWrap w:val="0"/>
            <w:vAlign w:val="center"/>
          </w:tcPr>
          <w:p w14:paraId="61D92A14">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59" w:type="pct"/>
            <w:noWrap w:val="0"/>
            <w:vAlign w:val="center"/>
          </w:tcPr>
          <w:p w14:paraId="19FF31F8">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w:t>
            </w:r>
          </w:p>
        </w:tc>
        <w:tc>
          <w:tcPr>
            <w:tcW w:w="375" w:type="pct"/>
            <w:noWrap w:val="0"/>
            <w:vAlign w:val="center"/>
          </w:tcPr>
          <w:p w14:paraId="5046B27A">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1"/>
                <w:szCs w:val="21"/>
              </w:rPr>
            </w:pPr>
            <w:r>
              <w:rPr>
                <w:rFonts w:hint="eastAsia" w:ascii="Times New Roman" w:hAnsi="Times New Roman" w:eastAsia="Times New Roman" w:cs="Times New Roman"/>
                <w:color w:val="auto"/>
                <w:sz w:val="21"/>
                <w:szCs w:val="21"/>
                <w:lang w:val="en-US" w:eastAsia="zh-CN"/>
              </w:rPr>
              <w:t>2.23</w:t>
            </w:r>
          </w:p>
        </w:tc>
        <w:tc>
          <w:tcPr>
            <w:tcW w:w="424" w:type="pct"/>
            <w:noWrap w:val="0"/>
            <w:vAlign w:val="center"/>
          </w:tcPr>
          <w:p w14:paraId="6457627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27" w:type="pct"/>
            <w:noWrap w:val="0"/>
            <w:vAlign w:val="center"/>
          </w:tcPr>
          <w:p w14:paraId="5518BA89">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274" w:type="pct"/>
            <w:noWrap w:val="0"/>
            <w:vAlign w:val="center"/>
          </w:tcPr>
          <w:p w14:paraId="590F048C">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217" w:type="pct"/>
            <w:noWrap w:val="0"/>
            <w:vAlign w:val="center"/>
          </w:tcPr>
          <w:p w14:paraId="11085BC5">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2807C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7" w:type="pct"/>
            <w:noWrap w:val="0"/>
            <w:vAlign w:val="center"/>
          </w:tcPr>
          <w:p w14:paraId="71B60572">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w:t>
            </w:r>
          </w:p>
        </w:tc>
        <w:tc>
          <w:tcPr>
            <w:tcW w:w="418" w:type="pct"/>
            <w:noWrap w:val="0"/>
            <w:vAlign w:val="center"/>
          </w:tcPr>
          <w:p w14:paraId="3E6F6AA2">
            <w:pPr>
              <w:pStyle w:val="217"/>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设备维护</w:t>
            </w:r>
          </w:p>
        </w:tc>
        <w:tc>
          <w:tcPr>
            <w:tcW w:w="504" w:type="pct"/>
            <w:noWrap w:val="0"/>
            <w:vAlign w:val="center"/>
          </w:tcPr>
          <w:p w14:paraId="5EF72CEC">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rPr>
              <w:t>废</w:t>
            </w:r>
            <w:r>
              <w:rPr>
                <w:rFonts w:hint="default" w:ascii="Times New Roman" w:hAnsi="Times New Roman" w:eastAsia="宋体" w:cs="Times New Roman"/>
                <w:color w:val="auto"/>
                <w:sz w:val="21"/>
                <w:lang w:val="en-US" w:eastAsia="zh-CN"/>
              </w:rPr>
              <w:t>润滑油</w:t>
            </w:r>
          </w:p>
        </w:tc>
        <w:tc>
          <w:tcPr>
            <w:tcW w:w="229" w:type="pct"/>
            <w:vMerge w:val="continue"/>
            <w:noWrap w:val="0"/>
            <w:vAlign w:val="center"/>
          </w:tcPr>
          <w:p w14:paraId="2C98421B">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p>
        </w:tc>
        <w:tc>
          <w:tcPr>
            <w:tcW w:w="249" w:type="pct"/>
            <w:noWrap w:val="0"/>
            <w:vAlign w:val="center"/>
          </w:tcPr>
          <w:p w14:paraId="5AD9A160">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228" w:type="pct"/>
            <w:noWrap w:val="0"/>
            <w:vAlign w:val="center"/>
          </w:tcPr>
          <w:p w14:paraId="5A7C27AB">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44" w:type="pct"/>
            <w:noWrap w:val="0"/>
            <w:vAlign w:val="center"/>
          </w:tcPr>
          <w:p w14:paraId="6FEDB917">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1"/>
                <w:szCs w:val="21"/>
              </w:rPr>
            </w:pPr>
            <w:r>
              <w:rPr>
                <w:rFonts w:hint="eastAsia" w:ascii="Times New Roman" w:hAnsi="Times New Roman" w:cs="Times New Roman"/>
                <w:color w:val="auto"/>
                <w:sz w:val="21"/>
                <w:szCs w:val="21"/>
                <w:lang w:val="en-US" w:eastAsia="zh-CN"/>
              </w:rPr>
              <w:t>0.24</w:t>
            </w:r>
          </w:p>
        </w:tc>
        <w:tc>
          <w:tcPr>
            <w:tcW w:w="483" w:type="pct"/>
            <w:vMerge w:val="continue"/>
            <w:noWrap w:val="0"/>
            <w:vAlign w:val="center"/>
          </w:tcPr>
          <w:p w14:paraId="343B54E4">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rPr>
            </w:pPr>
          </w:p>
        </w:tc>
        <w:tc>
          <w:tcPr>
            <w:tcW w:w="350" w:type="pct"/>
            <w:noWrap w:val="0"/>
            <w:vAlign w:val="center"/>
          </w:tcPr>
          <w:p w14:paraId="39C16DBE">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59" w:type="pct"/>
            <w:noWrap w:val="0"/>
            <w:vAlign w:val="center"/>
          </w:tcPr>
          <w:p w14:paraId="5229BA58">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75" w:type="pct"/>
            <w:noWrap w:val="0"/>
            <w:vAlign w:val="center"/>
          </w:tcPr>
          <w:p w14:paraId="1346EA0F">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1"/>
                <w:szCs w:val="21"/>
                <w:lang w:val="en-US"/>
              </w:rPr>
            </w:pPr>
            <w:r>
              <w:rPr>
                <w:rFonts w:hint="eastAsia" w:ascii="Times New Roman" w:hAnsi="Times New Roman" w:cs="Times New Roman"/>
                <w:color w:val="auto"/>
                <w:sz w:val="21"/>
                <w:szCs w:val="21"/>
                <w:lang w:val="en-US" w:eastAsia="zh-CN"/>
              </w:rPr>
              <w:t>0.24</w:t>
            </w:r>
          </w:p>
        </w:tc>
        <w:tc>
          <w:tcPr>
            <w:tcW w:w="424" w:type="pct"/>
            <w:noWrap w:val="0"/>
            <w:vAlign w:val="center"/>
          </w:tcPr>
          <w:p w14:paraId="4B466408">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27" w:type="pct"/>
            <w:noWrap w:val="0"/>
            <w:vAlign w:val="center"/>
          </w:tcPr>
          <w:p w14:paraId="27C562E9">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val="en-US" w:eastAsia="zh-CN"/>
              </w:rPr>
              <w:t>/</w:t>
            </w:r>
          </w:p>
        </w:tc>
        <w:tc>
          <w:tcPr>
            <w:tcW w:w="274" w:type="pct"/>
            <w:noWrap w:val="0"/>
            <w:vAlign w:val="center"/>
          </w:tcPr>
          <w:p w14:paraId="6242DB8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217" w:type="pct"/>
            <w:noWrap w:val="0"/>
            <w:vAlign w:val="center"/>
          </w:tcPr>
          <w:p w14:paraId="4F8719F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2A6B1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7" w:type="pct"/>
            <w:noWrap w:val="0"/>
            <w:vAlign w:val="center"/>
          </w:tcPr>
          <w:p w14:paraId="56DB30BC">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w:t>
            </w:r>
          </w:p>
        </w:tc>
        <w:tc>
          <w:tcPr>
            <w:tcW w:w="418" w:type="pct"/>
            <w:noWrap w:val="0"/>
            <w:vAlign w:val="center"/>
          </w:tcPr>
          <w:p w14:paraId="7E520997">
            <w:pPr>
              <w:pStyle w:val="217"/>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油料包装</w:t>
            </w:r>
          </w:p>
        </w:tc>
        <w:tc>
          <w:tcPr>
            <w:tcW w:w="504" w:type="pct"/>
            <w:noWrap w:val="0"/>
            <w:vAlign w:val="center"/>
          </w:tcPr>
          <w:p w14:paraId="06052367">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废包装桶</w:t>
            </w:r>
          </w:p>
        </w:tc>
        <w:tc>
          <w:tcPr>
            <w:tcW w:w="229" w:type="pct"/>
            <w:vMerge w:val="continue"/>
            <w:noWrap w:val="0"/>
            <w:vAlign w:val="center"/>
          </w:tcPr>
          <w:p w14:paraId="51E7865B">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p>
        </w:tc>
        <w:tc>
          <w:tcPr>
            <w:tcW w:w="249" w:type="pct"/>
            <w:noWrap w:val="0"/>
            <w:vAlign w:val="center"/>
          </w:tcPr>
          <w:p w14:paraId="354CAAEF">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228" w:type="pct"/>
            <w:noWrap w:val="0"/>
            <w:vAlign w:val="center"/>
          </w:tcPr>
          <w:p w14:paraId="561D2E4B">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44" w:type="pct"/>
            <w:noWrap w:val="0"/>
            <w:vAlign w:val="center"/>
          </w:tcPr>
          <w:p w14:paraId="79AF2DC4">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1"/>
                <w:szCs w:val="21"/>
              </w:rPr>
            </w:pPr>
            <w:r>
              <w:rPr>
                <w:rFonts w:hint="eastAsia" w:ascii="Times New Roman" w:hAnsi="Times New Roman" w:eastAsia="Times New Roman" w:cs="Times New Roman"/>
                <w:color w:val="auto"/>
                <w:sz w:val="21"/>
                <w:szCs w:val="21"/>
                <w:lang w:val="en-US" w:eastAsia="zh-CN"/>
              </w:rPr>
              <w:t>0.93</w:t>
            </w:r>
          </w:p>
        </w:tc>
        <w:tc>
          <w:tcPr>
            <w:tcW w:w="483" w:type="pct"/>
            <w:vMerge w:val="continue"/>
            <w:noWrap w:val="0"/>
            <w:vAlign w:val="center"/>
          </w:tcPr>
          <w:p w14:paraId="7D481F2A">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rPr>
            </w:pPr>
          </w:p>
        </w:tc>
        <w:tc>
          <w:tcPr>
            <w:tcW w:w="350" w:type="pct"/>
            <w:noWrap w:val="0"/>
            <w:vAlign w:val="center"/>
          </w:tcPr>
          <w:p w14:paraId="5BD6E4D2">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59" w:type="pct"/>
            <w:noWrap w:val="0"/>
            <w:vAlign w:val="center"/>
          </w:tcPr>
          <w:p w14:paraId="0A1735EE">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w:t>
            </w:r>
          </w:p>
        </w:tc>
        <w:tc>
          <w:tcPr>
            <w:tcW w:w="375" w:type="pct"/>
            <w:noWrap w:val="0"/>
            <w:vAlign w:val="center"/>
          </w:tcPr>
          <w:p w14:paraId="0824DB79">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1"/>
                <w:szCs w:val="21"/>
              </w:rPr>
            </w:pPr>
            <w:r>
              <w:rPr>
                <w:rFonts w:hint="eastAsia" w:ascii="Times New Roman" w:hAnsi="Times New Roman" w:eastAsia="Times New Roman" w:cs="Times New Roman"/>
                <w:color w:val="auto"/>
                <w:sz w:val="21"/>
                <w:szCs w:val="21"/>
                <w:lang w:val="en-US" w:eastAsia="zh-CN"/>
              </w:rPr>
              <w:t>0.93</w:t>
            </w:r>
          </w:p>
        </w:tc>
        <w:tc>
          <w:tcPr>
            <w:tcW w:w="424" w:type="pct"/>
            <w:noWrap w:val="0"/>
            <w:vAlign w:val="center"/>
          </w:tcPr>
          <w:p w14:paraId="0652F34A">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27" w:type="pct"/>
            <w:noWrap w:val="0"/>
            <w:vAlign w:val="center"/>
          </w:tcPr>
          <w:p w14:paraId="4167096A">
            <w:pPr>
              <w:pStyle w:val="217"/>
              <w:keepNext w:val="0"/>
              <w:keepLines w:val="0"/>
              <w:suppressLineNumbers w:val="0"/>
              <w:spacing w:before="0" w:beforeAutospacing="0" w:after="0" w:afterAutospacing="0"/>
              <w:ind w:left="-105" w:leftChars="-50" w:right="-105" w:rightChars="-50"/>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w:t>
            </w:r>
          </w:p>
        </w:tc>
        <w:tc>
          <w:tcPr>
            <w:tcW w:w="274" w:type="pct"/>
            <w:noWrap w:val="0"/>
            <w:vAlign w:val="center"/>
          </w:tcPr>
          <w:p w14:paraId="371EA058">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217" w:type="pct"/>
            <w:noWrap w:val="0"/>
            <w:vAlign w:val="center"/>
          </w:tcPr>
          <w:p w14:paraId="18C06464">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41C6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7" w:type="pct"/>
            <w:noWrap w:val="0"/>
            <w:vAlign w:val="center"/>
          </w:tcPr>
          <w:p w14:paraId="18DE1A68">
            <w:pPr>
              <w:keepNext w:val="0"/>
              <w:keepLines w:val="0"/>
              <w:suppressLineNumbers w:val="0"/>
              <w:tabs>
                <w:tab w:val="left" w:pos="1890"/>
              </w:tabs>
              <w:spacing w:before="0" w:beforeAutospacing="0" w:after="0" w:afterAutospacing="0"/>
              <w:ind w:left="-63" w:leftChars="-30" w:right="-63" w:rightChars="-30"/>
              <w:jc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8</w:t>
            </w:r>
          </w:p>
        </w:tc>
        <w:tc>
          <w:tcPr>
            <w:tcW w:w="418" w:type="pct"/>
            <w:noWrap w:val="0"/>
            <w:vAlign w:val="center"/>
          </w:tcPr>
          <w:p w14:paraId="53C67159">
            <w:pPr>
              <w:pStyle w:val="217"/>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废气处理</w:t>
            </w:r>
          </w:p>
        </w:tc>
        <w:tc>
          <w:tcPr>
            <w:tcW w:w="504" w:type="pct"/>
            <w:noWrap w:val="0"/>
            <w:vAlign w:val="center"/>
          </w:tcPr>
          <w:p w14:paraId="02BD2233">
            <w:pPr>
              <w:pStyle w:val="144"/>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eastAsia" w:ascii="Times New Roman" w:hAnsi="Times New Roman" w:cs="Times New Roman"/>
                <w:color w:val="auto"/>
                <w:sz w:val="21"/>
                <w:szCs w:val="21"/>
                <w:lang w:val="en-US" w:eastAsia="zh-CN"/>
              </w:rPr>
              <w:t>废过滤棉</w:t>
            </w:r>
          </w:p>
        </w:tc>
        <w:tc>
          <w:tcPr>
            <w:tcW w:w="229" w:type="pct"/>
            <w:vMerge w:val="continue"/>
            <w:noWrap w:val="0"/>
            <w:vAlign w:val="center"/>
          </w:tcPr>
          <w:p w14:paraId="23065E4A">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p>
        </w:tc>
        <w:tc>
          <w:tcPr>
            <w:tcW w:w="249" w:type="pct"/>
            <w:noWrap w:val="0"/>
            <w:vAlign w:val="center"/>
          </w:tcPr>
          <w:p w14:paraId="79F8D1FC">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228" w:type="pct"/>
            <w:noWrap w:val="0"/>
            <w:vAlign w:val="center"/>
          </w:tcPr>
          <w:p w14:paraId="6C6F7FC8">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44" w:type="pct"/>
            <w:noWrap w:val="0"/>
            <w:vAlign w:val="center"/>
          </w:tcPr>
          <w:p w14:paraId="2A7E32A0">
            <w:pPr>
              <w:pStyle w:val="217"/>
              <w:keepNext w:val="0"/>
              <w:keepLines w:val="0"/>
              <w:suppressLineNumbers w:val="0"/>
              <w:spacing w:before="0" w:beforeAutospacing="0" w:after="0" w:afterAutospacing="0"/>
              <w:ind w:left="-105" w:leftChars="-50" w:right="-105" w:rightChars="-50"/>
              <w:rPr>
                <w:rFonts w:hint="default" w:ascii="Times New Roman" w:hAnsi="Times New Roman" w:eastAsia="Times New Roman" w:cs="Times New Roman"/>
                <w:color w:val="auto"/>
                <w:sz w:val="21"/>
                <w:szCs w:val="21"/>
                <w:lang w:val="en-US" w:eastAsia="zh-CN"/>
              </w:rPr>
            </w:pPr>
            <w:r>
              <w:rPr>
                <w:rFonts w:hint="eastAsia" w:ascii="Times New Roman" w:hAnsi="Times New Roman" w:eastAsia="Times New Roman" w:cs="Times New Roman"/>
                <w:color w:val="auto"/>
                <w:sz w:val="21"/>
                <w:szCs w:val="21"/>
                <w:lang w:val="en-US" w:eastAsia="zh-CN"/>
              </w:rPr>
              <w:t>0.225</w:t>
            </w:r>
          </w:p>
        </w:tc>
        <w:tc>
          <w:tcPr>
            <w:tcW w:w="483" w:type="pct"/>
            <w:vMerge w:val="continue"/>
            <w:noWrap w:val="0"/>
            <w:vAlign w:val="center"/>
          </w:tcPr>
          <w:p w14:paraId="141A45B2">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rPr>
            </w:pPr>
          </w:p>
        </w:tc>
        <w:tc>
          <w:tcPr>
            <w:tcW w:w="995" w:type="dxa"/>
            <w:noWrap w:val="0"/>
            <w:vAlign w:val="center"/>
          </w:tcPr>
          <w:p w14:paraId="5ED846E5">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021" w:type="dxa"/>
            <w:noWrap w:val="0"/>
            <w:vAlign w:val="center"/>
          </w:tcPr>
          <w:p w14:paraId="7AED81DD">
            <w:pPr>
              <w:pStyle w:val="217"/>
              <w:keepNext w:val="0"/>
              <w:keepLines w:val="0"/>
              <w:suppressLineNumbers w:val="0"/>
              <w:spacing w:before="0" w:beforeAutospacing="0" w:after="0" w:afterAutospacing="0"/>
              <w:ind w:left="-105" w:leftChars="-50" w:right="-105" w:rightChars="-50"/>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066" w:type="dxa"/>
            <w:noWrap w:val="0"/>
            <w:vAlign w:val="center"/>
          </w:tcPr>
          <w:p w14:paraId="263A7A6C">
            <w:pPr>
              <w:pStyle w:val="217"/>
              <w:keepNext w:val="0"/>
              <w:keepLines w:val="0"/>
              <w:suppressLineNumbers w:val="0"/>
              <w:spacing w:before="0" w:beforeAutospacing="0" w:after="0" w:afterAutospacing="0"/>
              <w:ind w:left="-105" w:leftChars="-50" w:right="-105" w:rightChars="-50"/>
              <w:rPr>
                <w:rFonts w:hint="default" w:ascii="Times New Roman" w:hAnsi="Times New Roman" w:eastAsia="Times New Roman" w:cs="Times New Roman"/>
                <w:color w:val="auto"/>
                <w:sz w:val="21"/>
                <w:szCs w:val="21"/>
                <w:lang w:val="en-US" w:eastAsia="zh-CN"/>
              </w:rPr>
            </w:pPr>
            <w:r>
              <w:rPr>
                <w:rFonts w:hint="eastAsia" w:ascii="Times New Roman" w:hAnsi="Times New Roman" w:eastAsia="Times New Roman" w:cs="Times New Roman"/>
                <w:color w:val="auto"/>
                <w:sz w:val="21"/>
                <w:szCs w:val="21"/>
                <w:lang w:val="en-US" w:eastAsia="zh-CN"/>
              </w:rPr>
              <w:t>0.225</w:t>
            </w:r>
          </w:p>
        </w:tc>
        <w:tc>
          <w:tcPr>
            <w:tcW w:w="1205" w:type="dxa"/>
            <w:noWrap w:val="0"/>
            <w:vAlign w:val="center"/>
          </w:tcPr>
          <w:p w14:paraId="79F04692">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214" w:type="dxa"/>
            <w:noWrap w:val="0"/>
            <w:vAlign w:val="center"/>
          </w:tcPr>
          <w:p w14:paraId="5996ABA0">
            <w:pPr>
              <w:pStyle w:val="217"/>
              <w:keepNext w:val="0"/>
              <w:keepLines w:val="0"/>
              <w:suppressLineNumbers w:val="0"/>
              <w:spacing w:before="0" w:beforeAutospacing="0" w:after="0" w:afterAutospacing="0"/>
              <w:ind w:left="-105" w:leftChars="-50" w:right="-105" w:rightChars="-50"/>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779" w:type="dxa"/>
            <w:noWrap w:val="0"/>
            <w:vAlign w:val="center"/>
          </w:tcPr>
          <w:p w14:paraId="038FC273">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617" w:type="dxa"/>
            <w:noWrap w:val="0"/>
            <w:vAlign w:val="center"/>
          </w:tcPr>
          <w:p w14:paraId="1CEFEE1A">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bl>
    <w:p w14:paraId="44087F05">
      <w:pPr>
        <w:tabs>
          <w:tab w:val="left" w:pos="1890"/>
        </w:tabs>
        <w:spacing w:line="460" w:lineRule="exact"/>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表15 建设项目自行监测及记录信息表</w:t>
      </w:r>
    </w:p>
    <w:tbl>
      <w:tblPr>
        <w:tblStyle w:val="53"/>
        <w:tblW w:w="144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autofit"/>
        <w:tblCellMar>
          <w:top w:w="0" w:type="dxa"/>
          <w:left w:w="108" w:type="dxa"/>
          <w:bottom w:w="0" w:type="dxa"/>
          <w:right w:w="108" w:type="dxa"/>
        </w:tblCellMar>
      </w:tblPr>
      <w:tblGrid>
        <w:gridCol w:w="388"/>
        <w:gridCol w:w="717"/>
        <w:gridCol w:w="850"/>
        <w:gridCol w:w="1000"/>
        <w:gridCol w:w="1060"/>
        <w:gridCol w:w="950"/>
        <w:gridCol w:w="660"/>
        <w:gridCol w:w="740"/>
        <w:gridCol w:w="650"/>
        <w:gridCol w:w="560"/>
        <w:gridCol w:w="1120"/>
        <w:gridCol w:w="847"/>
        <w:gridCol w:w="550"/>
        <w:gridCol w:w="3940"/>
        <w:gridCol w:w="401"/>
      </w:tblGrid>
      <w:tr w14:paraId="6CBEE7B7">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142" w:hRule="atLeast"/>
          <w:tblHeader/>
          <w:jc w:val="center"/>
        </w:trPr>
        <w:tc>
          <w:tcPr>
            <w:tcW w:w="388" w:type="dxa"/>
            <w:noWrap w:val="0"/>
            <w:vAlign w:val="center"/>
          </w:tcPr>
          <w:p w14:paraId="12B4CE2B">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序号</w:t>
            </w:r>
          </w:p>
        </w:tc>
        <w:tc>
          <w:tcPr>
            <w:tcW w:w="717" w:type="dxa"/>
            <w:noWrap w:val="0"/>
            <w:vAlign w:val="center"/>
          </w:tcPr>
          <w:p w14:paraId="30F09810">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污染源类别/监测类别</w:t>
            </w:r>
          </w:p>
        </w:tc>
        <w:tc>
          <w:tcPr>
            <w:tcW w:w="850" w:type="dxa"/>
            <w:noWrap w:val="0"/>
            <w:vAlign w:val="center"/>
          </w:tcPr>
          <w:p w14:paraId="45653A58">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排放口编号/监测点位</w:t>
            </w:r>
          </w:p>
        </w:tc>
        <w:tc>
          <w:tcPr>
            <w:tcW w:w="1000" w:type="dxa"/>
            <w:noWrap w:val="0"/>
            <w:vAlign w:val="center"/>
          </w:tcPr>
          <w:p w14:paraId="2EB7F811">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排放口名称/监测点位名称</w:t>
            </w:r>
          </w:p>
        </w:tc>
        <w:tc>
          <w:tcPr>
            <w:tcW w:w="1060" w:type="dxa"/>
            <w:noWrap w:val="0"/>
            <w:vAlign w:val="center"/>
          </w:tcPr>
          <w:p w14:paraId="5F69F721">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监测</w:t>
            </w:r>
          </w:p>
          <w:p w14:paraId="0181DC11">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内容</w:t>
            </w:r>
          </w:p>
        </w:tc>
        <w:tc>
          <w:tcPr>
            <w:tcW w:w="950" w:type="dxa"/>
            <w:noWrap w:val="0"/>
            <w:vAlign w:val="center"/>
          </w:tcPr>
          <w:p w14:paraId="501E14DC">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污染</w:t>
            </w:r>
          </w:p>
          <w:p w14:paraId="28268C5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名称</w:t>
            </w:r>
          </w:p>
        </w:tc>
        <w:tc>
          <w:tcPr>
            <w:tcW w:w="660" w:type="dxa"/>
            <w:noWrap w:val="0"/>
            <w:vAlign w:val="center"/>
          </w:tcPr>
          <w:p w14:paraId="11E85CB0">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监测设施</w:t>
            </w:r>
          </w:p>
        </w:tc>
        <w:tc>
          <w:tcPr>
            <w:tcW w:w="740" w:type="dxa"/>
            <w:noWrap w:val="0"/>
            <w:vAlign w:val="center"/>
          </w:tcPr>
          <w:p w14:paraId="06D35BDF">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自动监测是否联网</w:t>
            </w:r>
          </w:p>
        </w:tc>
        <w:tc>
          <w:tcPr>
            <w:tcW w:w="650" w:type="dxa"/>
            <w:noWrap w:val="0"/>
            <w:vAlign w:val="center"/>
          </w:tcPr>
          <w:p w14:paraId="131B1068">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 xml:space="preserve">自动监测仪器名称 </w:t>
            </w:r>
          </w:p>
        </w:tc>
        <w:tc>
          <w:tcPr>
            <w:tcW w:w="560" w:type="dxa"/>
            <w:noWrap w:val="0"/>
            <w:vAlign w:val="center"/>
          </w:tcPr>
          <w:p w14:paraId="7C41AE00">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自动监测设施按照位置</w:t>
            </w:r>
          </w:p>
        </w:tc>
        <w:tc>
          <w:tcPr>
            <w:tcW w:w="1120" w:type="dxa"/>
            <w:noWrap w:val="0"/>
            <w:vAlign w:val="center"/>
          </w:tcPr>
          <w:p w14:paraId="7ED234F4">
            <w:pPr>
              <w:keepNext w:val="0"/>
              <w:keepLines w:val="0"/>
              <w:suppressLineNumbers w:val="0"/>
              <w:tabs>
                <w:tab w:val="left" w:pos="1890"/>
              </w:tabs>
              <w:spacing w:before="0" w:beforeAutospacing="0" w:after="0" w:afterAutospacing="0"/>
              <w:ind w:left="-105" w:leftChars="-50" w:right="-105" w:rightChars="-5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自动监测设施是否符合安装、运行、维护等管理要求</w:t>
            </w:r>
          </w:p>
        </w:tc>
        <w:tc>
          <w:tcPr>
            <w:tcW w:w="847" w:type="dxa"/>
            <w:noWrap w:val="0"/>
            <w:vAlign w:val="center"/>
          </w:tcPr>
          <w:p w14:paraId="1E4316D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手工监测采样方法及个数</w:t>
            </w:r>
          </w:p>
        </w:tc>
        <w:tc>
          <w:tcPr>
            <w:tcW w:w="550" w:type="dxa"/>
            <w:noWrap w:val="0"/>
            <w:vAlign w:val="center"/>
          </w:tcPr>
          <w:p w14:paraId="34D7925C">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手工监测频次</w:t>
            </w:r>
          </w:p>
        </w:tc>
        <w:tc>
          <w:tcPr>
            <w:tcW w:w="3940" w:type="dxa"/>
            <w:noWrap w:val="0"/>
            <w:vAlign w:val="center"/>
          </w:tcPr>
          <w:p w14:paraId="21D86FBD">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手工测定方法</w:t>
            </w:r>
          </w:p>
        </w:tc>
        <w:tc>
          <w:tcPr>
            <w:tcW w:w="401" w:type="dxa"/>
            <w:noWrap w:val="0"/>
            <w:vAlign w:val="center"/>
          </w:tcPr>
          <w:p w14:paraId="4613D473">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其他信息</w:t>
            </w:r>
          </w:p>
        </w:tc>
      </w:tr>
      <w:tr w14:paraId="58DD1CD6">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378" w:hRule="atLeast"/>
          <w:jc w:val="center"/>
        </w:trPr>
        <w:tc>
          <w:tcPr>
            <w:tcW w:w="388" w:type="dxa"/>
            <w:vMerge w:val="restart"/>
            <w:noWrap w:val="0"/>
            <w:vAlign w:val="center"/>
          </w:tcPr>
          <w:p w14:paraId="781346B4">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1</w:t>
            </w:r>
          </w:p>
        </w:tc>
        <w:tc>
          <w:tcPr>
            <w:tcW w:w="717" w:type="dxa"/>
            <w:vMerge w:val="restart"/>
            <w:noWrap w:val="0"/>
            <w:vAlign w:val="center"/>
          </w:tcPr>
          <w:p w14:paraId="6BCFE970">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废气</w:t>
            </w:r>
          </w:p>
        </w:tc>
        <w:tc>
          <w:tcPr>
            <w:tcW w:w="850" w:type="dxa"/>
            <w:vMerge w:val="restart"/>
            <w:noWrap w:val="0"/>
            <w:vAlign w:val="center"/>
          </w:tcPr>
          <w:p w14:paraId="436A230B">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 w:val="21"/>
                <w:szCs w:val="21"/>
              </w:rPr>
              <w:t>DA001</w:t>
            </w:r>
          </w:p>
        </w:tc>
        <w:tc>
          <w:tcPr>
            <w:tcW w:w="1000" w:type="dxa"/>
            <w:vMerge w:val="restart"/>
            <w:noWrap w:val="0"/>
            <w:vAlign w:val="center"/>
          </w:tcPr>
          <w:p w14:paraId="62857869">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color w:val="auto"/>
              </w:rPr>
            </w:pPr>
            <w:r>
              <w:rPr>
                <w:rFonts w:hint="default" w:ascii="Times New Roman" w:hAnsi="Times New Roman" w:cs="Times New Roman"/>
                <w:color w:val="auto"/>
                <w:sz w:val="21"/>
                <w:szCs w:val="21"/>
                <w:lang w:val="en-US" w:eastAsia="zh-CN"/>
              </w:rPr>
              <w:t>箱式渗碳</w:t>
            </w:r>
            <w:r>
              <w:rPr>
                <w:rFonts w:hint="default" w:ascii="Times New Roman" w:hAnsi="Times New Roman" w:eastAsia="Times New Roman" w:cs="Times New Roman"/>
                <w:b w:val="0"/>
                <w:bCs/>
                <w:color w:val="auto"/>
                <w:sz w:val="21"/>
                <w:szCs w:val="21"/>
                <w:lang w:val="en-US" w:eastAsia="zh-CN"/>
              </w:rPr>
              <w:t>、淬火回火</w:t>
            </w:r>
            <w:r>
              <w:rPr>
                <w:rStyle w:val="60"/>
                <w:rFonts w:hint="default" w:ascii="Times New Roman" w:hAnsi="Times New Roman" w:eastAsia="Times New Roman" w:cs="Times New Roman"/>
                <w:color w:val="auto"/>
                <w:lang w:val="en-US" w:eastAsia="zh-CN"/>
              </w:rPr>
              <w:t>废气排放口</w:t>
            </w:r>
          </w:p>
        </w:tc>
        <w:tc>
          <w:tcPr>
            <w:tcW w:w="1060" w:type="dxa"/>
            <w:vMerge w:val="restart"/>
            <w:noWrap w:val="0"/>
            <w:vAlign w:val="center"/>
          </w:tcPr>
          <w:p w14:paraId="1BB2000F">
            <w:pPr>
              <w:keepNext w:val="0"/>
              <w:keepLines w:val="0"/>
              <w:suppressLineNumbers w:val="0"/>
              <w:tabs>
                <w:tab w:val="left" w:pos="1890"/>
              </w:tabs>
              <w:spacing w:before="0" w:beforeAutospacing="0" w:after="0" w:afterAutospacing="0"/>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烟气流速、烟气温度、烟气压力、烟气量、烟道截面积、烟气含湿量</w:t>
            </w:r>
          </w:p>
        </w:tc>
        <w:tc>
          <w:tcPr>
            <w:tcW w:w="950" w:type="dxa"/>
            <w:noWrap w:val="0"/>
            <w:vAlign w:val="center"/>
          </w:tcPr>
          <w:p w14:paraId="7A4553D4">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b w:val="0"/>
                <w:bCs/>
                <w:color w:val="auto"/>
                <w:sz w:val="21"/>
                <w:szCs w:val="21"/>
                <w:lang w:val="en-US" w:eastAsia="zh-CN"/>
              </w:rPr>
              <w:t>颗粒物</w:t>
            </w:r>
          </w:p>
        </w:tc>
        <w:tc>
          <w:tcPr>
            <w:tcW w:w="660" w:type="dxa"/>
            <w:vMerge w:val="restart"/>
            <w:noWrap w:val="0"/>
            <w:vAlign w:val="center"/>
          </w:tcPr>
          <w:p w14:paraId="5EB6E3E4">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手动监测</w:t>
            </w:r>
          </w:p>
        </w:tc>
        <w:tc>
          <w:tcPr>
            <w:tcW w:w="740" w:type="dxa"/>
            <w:vMerge w:val="restart"/>
            <w:noWrap w:val="0"/>
            <w:vAlign w:val="center"/>
          </w:tcPr>
          <w:p w14:paraId="1697CD8F">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c>
          <w:tcPr>
            <w:tcW w:w="650" w:type="dxa"/>
            <w:vMerge w:val="restart"/>
            <w:noWrap w:val="0"/>
            <w:vAlign w:val="center"/>
          </w:tcPr>
          <w:p w14:paraId="120E33BF">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560" w:type="dxa"/>
            <w:vMerge w:val="restart"/>
            <w:noWrap w:val="0"/>
            <w:vAlign w:val="center"/>
          </w:tcPr>
          <w:p w14:paraId="16CF0174">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1120" w:type="dxa"/>
            <w:vMerge w:val="restart"/>
            <w:noWrap w:val="0"/>
            <w:vAlign w:val="center"/>
          </w:tcPr>
          <w:p w14:paraId="4E9C3A7A">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847" w:type="dxa"/>
            <w:vMerge w:val="restart"/>
            <w:noWrap w:val="0"/>
            <w:vAlign w:val="center"/>
          </w:tcPr>
          <w:p w14:paraId="13126E9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Style w:val="437"/>
                <w:rFonts w:hint="default" w:ascii="Times New Roman" w:hAnsi="Times New Roman" w:eastAsia="宋体" w:cs="Times New Roman"/>
                <w:color w:val="auto"/>
              </w:rPr>
              <w:t>非连续采样</w:t>
            </w:r>
            <w:r>
              <w:rPr>
                <w:rStyle w:val="353"/>
                <w:rFonts w:hint="default" w:ascii="Times New Roman" w:hAnsi="Times New Roman" w:eastAsia="宋体" w:cs="Times New Roman"/>
                <w:color w:val="auto"/>
              </w:rPr>
              <w:t>，</w:t>
            </w:r>
            <w:r>
              <w:rPr>
                <w:rStyle w:val="437"/>
                <w:rFonts w:hint="default" w:ascii="Times New Roman" w:hAnsi="Times New Roman" w:eastAsia="宋体" w:cs="Times New Roman"/>
                <w:color w:val="auto"/>
              </w:rPr>
              <w:t>至少</w:t>
            </w:r>
            <w:r>
              <w:rPr>
                <w:rStyle w:val="353"/>
                <w:rFonts w:hint="default" w:ascii="Times New Roman" w:hAnsi="Times New Roman" w:eastAsia="宋体" w:cs="Times New Roman"/>
                <w:color w:val="auto"/>
              </w:rPr>
              <w:t>3</w:t>
            </w:r>
            <w:r>
              <w:rPr>
                <w:rStyle w:val="437"/>
                <w:rFonts w:hint="default" w:ascii="Times New Roman" w:hAnsi="Times New Roman" w:eastAsia="宋体" w:cs="Times New Roman"/>
                <w:color w:val="auto"/>
              </w:rPr>
              <w:t>个</w:t>
            </w:r>
          </w:p>
        </w:tc>
        <w:tc>
          <w:tcPr>
            <w:tcW w:w="550" w:type="dxa"/>
            <w:vMerge w:val="restart"/>
            <w:noWrap w:val="0"/>
            <w:vAlign w:val="center"/>
          </w:tcPr>
          <w:p w14:paraId="169BF12B">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rPr>
              <w:t>1次/</w:t>
            </w:r>
            <w:r>
              <w:rPr>
                <w:rFonts w:hint="default" w:ascii="Times New Roman" w:hAnsi="Times New Roman" w:eastAsia="宋体" w:cs="Times New Roman"/>
                <w:color w:val="auto"/>
                <w:kern w:val="0"/>
                <w:lang w:val="en-US" w:eastAsia="zh-CN"/>
              </w:rPr>
              <w:t>半</w:t>
            </w:r>
            <w:r>
              <w:rPr>
                <w:rFonts w:hint="default" w:ascii="Times New Roman" w:hAnsi="Times New Roman" w:eastAsia="宋体" w:cs="Times New Roman"/>
                <w:color w:val="auto"/>
                <w:kern w:val="0"/>
              </w:rPr>
              <w:t>年</w:t>
            </w:r>
          </w:p>
        </w:tc>
        <w:tc>
          <w:tcPr>
            <w:tcW w:w="3940" w:type="dxa"/>
            <w:noWrap w:val="0"/>
            <w:vAlign w:val="center"/>
          </w:tcPr>
          <w:p w14:paraId="5A9878BF">
            <w:pPr>
              <w:keepNext w:val="0"/>
              <w:keepLines w:val="0"/>
              <w:suppressLineNumbers w:val="0"/>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lang w:val="zh-CN" w:eastAsia="zh-CN"/>
              </w:rPr>
              <w:t>《</w:t>
            </w:r>
            <w:r>
              <w:rPr>
                <w:rFonts w:hint="default" w:ascii="Times New Roman" w:hAnsi="Times New Roman" w:eastAsia="宋体" w:cs="Times New Roman"/>
                <w:color w:val="auto"/>
                <w:kern w:val="0"/>
                <w:sz w:val="21"/>
                <w:szCs w:val="21"/>
              </w:rPr>
              <w:t>固定污染源废气 低浓度颗粒物的测定 重量法</w:t>
            </w:r>
            <w:r>
              <w:rPr>
                <w:rFonts w:hint="default" w:ascii="Times New Roman" w:hAnsi="Times New Roman" w:eastAsia="宋体" w:cs="Times New Roman"/>
                <w:color w:val="auto"/>
                <w:sz w:val="21"/>
                <w:szCs w:val="21"/>
                <w:lang w:val="zh-CN" w:eastAsia="zh-CN"/>
              </w:rPr>
              <w:t>》（</w:t>
            </w:r>
            <w:r>
              <w:rPr>
                <w:rFonts w:hint="default" w:ascii="Times New Roman" w:hAnsi="Times New Roman" w:eastAsia="宋体" w:cs="Times New Roman"/>
                <w:color w:val="auto"/>
                <w:kern w:val="0"/>
                <w:sz w:val="21"/>
                <w:szCs w:val="21"/>
              </w:rPr>
              <w:t>HJ 836-2017</w:t>
            </w:r>
            <w:r>
              <w:rPr>
                <w:rFonts w:hint="default" w:ascii="Times New Roman" w:hAnsi="Times New Roman" w:eastAsia="宋体" w:cs="Times New Roman"/>
                <w:color w:val="auto"/>
                <w:sz w:val="21"/>
                <w:szCs w:val="21"/>
                <w:lang w:val="zh-CN" w:eastAsia="zh-CN"/>
              </w:rPr>
              <w:t>）</w:t>
            </w:r>
          </w:p>
        </w:tc>
        <w:tc>
          <w:tcPr>
            <w:tcW w:w="401" w:type="dxa"/>
            <w:noWrap w:val="0"/>
            <w:vAlign w:val="center"/>
          </w:tcPr>
          <w:p w14:paraId="107E2BB8">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r>
      <w:tr w14:paraId="42902811">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257" w:hRule="atLeast"/>
          <w:jc w:val="center"/>
        </w:trPr>
        <w:tc>
          <w:tcPr>
            <w:tcW w:w="388" w:type="dxa"/>
            <w:vMerge w:val="continue"/>
            <w:noWrap w:val="0"/>
            <w:vAlign w:val="center"/>
          </w:tcPr>
          <w:p w14:paraId="61DC546A">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p>
        </w:tc>
        <w:tc>
          <w:tcPr>
            <w:tcW w:w="717" w:type="dxa"/>
            <w:vMerge w:val="continue"/>
            <w:noWrap w:val="0"/>
            <w:vAlign w:val="center"/>
          </w:tcPr>
          <w:p w14:paraId="2E74FA2A">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p>
        </w:tc>
        <w:tc>
          <w:tcPr>
            <w:tcW w:w="850" w:type="dxa"/>
            <w:vMerge w:val="continue"/>
            <w:noWrap w:val="0"/>
            <w:vAlign w:val="center"/>
          </w:tcPr>
          <w:p w14:paraId="13435AAC">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rPr>
            </w:pPr>
          </w:p>
        </w:tc>
        <w:tc>
          <w:tcPr>
            <w:tcW w:w="1000" w:type="dxa"/>
            <w:vMerge w:val="continue"/>
            <w:noWrap w:val="0"/>
            <w:vAlign w:val="center"/>
          </w:tcPr>
          <w:p w14:paraId="36408BD7">
            <w:pPr>
              <w:pStyle w:val="10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p>
        </w:tc>
        <w:tc>
          <w:tcPr>
            <w:tcW w:w="1060" w:type="dxa"/>
            <w:vMerge w:val="continue"/>
            <w:noWrap w:val="0"/>
            <w:vAlign w:val="center"/>
          </w:tcPr>
          <w:p w14:paraId="33126CC6">
            <w:pPr>
              <w:keepNext w:val="0"/>
              <w:keepLines w:val="0"/>
              <w:suppressLineNumbers w:val="0"/>
              <w:tabs>
                <w:tab w:val="left" w:pos="1890"/>
              </w:tabs>
              <w:spacing w:before="0" w:beforeAutospacing="0" w:after="0" w:afterAutospacing="0"/>
              <w:ind w:left="-105" w:leftChars="-50" w:right="-105" w:rightChars="-50"/>
              <w:jc w:val="center"/>
              <w:rPr>
                <w:rFonts w:hint="default" w:ascii="Times New Roman" w:hAnsi="Times New Roman" w:eastAsia="宋体" w:cs="Times New Roman"/>
                <w:color w:val="auto"/>
              </w:rPr>
            </w:pPr>
          </w:p>
        </w:tc>
        <w:tc>
          <w:tcPr>
            <w:tcW w:w="950" w:type="dxa"/>
            <w:noWrap w:val="0"/>
            <w:vAlign w:val="center"/>
          </w:tcPr>
          <w:p w14:paraId="125FB445">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42" w:leftChars="-20" w:right="-42" w:rightChars="-2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color w:val="auto"/>
                <w:sz w:val="21"/>
                <w:szCs w:val="21"/>
              </w:rPr>
              <w:t>非甲烷总烃</w:t>
            </w:r>
          </w:p>
        </w:tc>
        <w:tc>
          <w:tcPr>
            <w:tcW w:w="660" w:type="dxa"/>
            <w:vMerge w:val="continue"/>
            <w:noWrap w:val="0"/>
            <w:vAlign w:val="center"/>
          </w:tcPr>
          <w:p w14:paraId="649CE90B">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p>
        </w:tc>
        <w:tc>
          <w:tcPr>
            <w:tcW w:w="740" w:type="dxa"/>
            <w:vMerge w:val="continue"/>
            <w:noWrap w:val="0"/>
            <w:vAlign w:val="center"/>
          </w:tcPr>
          <w:p w14:paraId="6879AD88">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p>
        </w:tc>
        <w:tc>
          <w:tcPr>
            <w:tcW w:w="650" w:type="dxa"/>
            <w:vMerge w:val="continue"/>
            <w:noWrap w:val="0"/>
            <w:vAlign w:val="center"/>
          </w:tcPr>
          <w:p w14:paraId="347DC231">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p>
        </w:tc>
        <w:tc>
          <w:tcPr>
            <w:tcW w:w="560" w:type="dxa"/>
            <w:vMerge w:val="continue"/>
            <w:noWrap w:val="0"/>
            <w:vAlign w:val="center"/>
          </w:tcPr>
          <w:p w14:paraId="72276FD1">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p>
        </w:tc>
        <w:tc>
          <w:tcPr>
            <w:tcW w:w="1120" w:type="dxa"/>
            <w:vMerge w:val="continue"/>
            <w:noWrap w:val="0"/>
            <w:vAlign w:val="center"/>
          </w:tcPr>
          <w:p w14:paraId="110DC45C">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p>
        </w:tc>
        <w:tc>
          <w:tcPr>
            <w:tcW w:w="847" w:type="dxa"/>
            <w:vMerge w:val="continue"/>
            <w:noWrap w:val="0"/>
            <w:vAlign w:val="center"/>
          </w:tcPr>
          <w:p w14:paraId="44FB8280">
            <w:pPr>
              <w:keepNext w:val="0"/>
              <w:keepLines w:val="0"/>
              <w:suppressLineNumbers w:val="0"/>
              <w:spacing w:before="0" w:beforeAutospacing="0" w:after="0" w:afterAutospacing="0"/>
              <w:ind w:left="0" w:right="0"/>
              <w:jc w:val="center"/>
              <w:rPr>
                <w:rStyle w:val="437"/>
                <w:rFonts w:hint="default" w:ascii="Times New Roman" w:hAnsi="Times New Roman" w:eastAsia="宋体" w:cs="Times New Roman"/>
                <w:color w:val="auto"/>
              </w:rPr>
            </w:pPr>
          </w:p>
        </w:tc>
        <w:tc>
          <w:tcPr>
            <w:tcW w:w="550" w:type="dxa"/>
            <w:vMerge w:val="continue"/>
            <w:noWrap w:val="0"/>
            <w:vAlign w:val="center"/>
          </w:tcPr>
          <w:p w14:paraId="3880D59F">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kern w:val="0"/>
              </w:rPr>
            </w:pPr>
          </w:p>
        </w:tc>
        <w:tc>
          <w:tcPr>
            <w:tcW w:w="3940" w:type="dxa"/>
            <w:noWrap w:val="0"/>
            <w:vAlign w:val="center"/>
          </w:tcPr>
          <w:p w14:paraId="7D08CC41">
            <w:pPr>
              <w:keepNext w:val="0"/>
              <w:keepLines w:val="0"/>
              <w:suppressLineNumbers w:val="0"/>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Times New Roman" w:cs="Times New Roman"/>
                <w:color w:val="auto"/>
                <w:kern w:val="0"/>
                <w:sz w:val="21"/>
                <w:szCs w:val="21"/>
                <w:highlight w:val="none"/>
              </w:rPr>
              <w:t>《固定污染源废气 总烃、甲烷和非甲烷总烃的测定 气相色谱法》（HJ 38-2017）</w:t>
            </w:r>
          </w:p>
        </w:tc>
        <w:tc>
          <w:tcPr>
            <w:tcW w:w="401" w:type="dxa"/>
            <w:noWrap w:val="0"/>
            <w:vAlign w:val="center"/>
          </w:tcPr>
          <w:p w14:paraId="08083F3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r>
      <w:tr w14:paraId="49E7E9DA">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411" w:hRule="atLeast"/>
          <w:jc w:val="center"/>
        </w:trPr>
        <w:tc>
          <w:tcPr>
            <w:tcW w:w="388" w:type="dxa"/>
            <w:vMerge w:val="continue"/>
            <w:noWrap w:val="0"/>
            <w:vAlign w:val="center"/>
          </w:tcPr>
          <w:p w14:paraId="54B405CB">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FF0000"/>
              </w:rPr>
            </w:pPr>
          </w:p>
        </w:tc>
        <w:tc>
          <w:tcPr>
            <w:tcW w:w="717" w:type="dxa"/>
            <w:vMerge w:val="continue"/>
            <w:noWrap w:val="0"/>
            <w:vAlign w:val="center"/>
          </w:tcPr>
          <w:p w14:paraId="3A62B56A">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FF0000"/>
              </w:rPr>
            </w:pPr>
          </w:p>
        </w:tc>
        <w:tc>
          <w:tcPr>
            <w:tcW w:w="850" w:type="dxa"/>
            <w:vMerge w:val="restart"/>
            <w:noWrap w:val="0"/>
            <w:vAlign w:val="center"/>
          </w:tcPr>
          <w:p w14:paraId="59753338">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 w:val="21"/>
                <w:szCs w:val="21"/>
              </w:rPr>
              <w:t>DA002</w:t>
            </w:r>
          </w:p>
        </w:tc>
        <w:tc>
          <w:tcPr>
            <w:tcW w:w="1000" w:type="dxa"/>
            <w:vMerge w:val="restart"/>
            <w:noWrap w:val="0"/>
            <w:vAlign w:val="center"/>
          </w:tcPr>
          <w:p w14:paraId="5DAF3759">
            <w:pPr>
              <w:keepNext w:val="0"/>
              <w:keepLines w:val="0"/>
              <w:suppressLineNumbers w:val="0"/>
              <w:spacing w:before="0" w:beforeAutospacing="0" w:after="0" w:afterAutospacing="0" w:line="240" w:lineRule="auto"/>
              <w:ind w:left="-63" w:leftChars="-30" w:right="-63" w:rightChars="-30"/>
              <w:jc w:val="center"/>
              <w:rPr>
                <w:rFonts w:hint="default" w:ascii="Times New Roman" w:hAnsi="Times New Roman" w:eastAsia="宋体" w:cs="Times New Roman"/>
                <w:color w:val="auto"/>
              </w:rPr>
            </w:pPr>
            <w:r>
              <w:rPr>
                <w:rFonts w:hint="default" w:ascii="Times New Roman" w:hAnsi="Times New Roman" w:cs="Times New Roman"/>
                <w:color w:val="auto"/>
                <w:sz w:val="21"/>
                <w:szCs w:val="21"/>
                <w:lang w:val="en-US" w:eastAsia="zh-CN"/>
              </w:rPr>
              <w:t>天然气燃烧</w:t>
            </w:r>
            <w:r>
              <w:rPr>
                <w:rStyle w:val="60"/>
                <w:rFonts w:hint="default" w:ascii="Times New Roman" w:hAnsi="Times New Roman" w:eastAsia="Times New Roman" w:cs="Times New Roman"/>
                <w:color w:val="auto"/>
                <w:lang w:val="en-US" w:eastAsia="zh-CN"/>
              </w:rPr>
              <w:t>废气排放口</w:t>
            </w:r>
          </w:p>
        </w:tc>
        <w:tc>
          <w:tcPr>
            <w:tcW w:w="1060" w:type="dxa"/>
            <w:vMerge w:val="continue"/>
            <w:noWrap w:val="0"/>
            <w:vAlign w:val="center"/>
          </w:tcPr>
          <w:p w14:paraId="51EA072E">
            <w:pPr>
              <w:keepNext w:val="0"/>
              <w:keepLines w:val="0"/>
              <w:suppressLineNumbers w:val="0"/>
              <w:tabs>
                <w:tab w:val="left" w:pos="1890"/>
              </w:tabs>
              <w:spacing w:before="0" w:beforeAutospacing="0" w:after="0" w:afterAutospacing="0"/>
              <w:ind w:left="-105" w:leftChars="-50" w:right="-105" w:rightChars="-50"/>
              <w:jc w:val="center"/>
              <w:rPr>
                <w:rFonts w:hint="default" w:ascii="Times New Roman" w:hAnsi="Times New Roman" w:eastAsia="宋体" w:cs="Times New Roman"/>
                <w:color w:val="auto"/>
              </w:rPr>
            </w:pPr>
          </w:p>
        </w:tc>
        <w:tc>
          <w:tcPr>
            <w:tcW w:w="950" w:type="dxa"/>
            <w:noWrap w:val="0"/>
            <w:vAlign w:val="center"/>
          </w:tcPr>
          <w:p w14:paraId="399EA8C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lang w:val="en-US" w:eastAsia="zh-CN"/>
              </w:rPr>
              <w:t>颗粒物</w:t>
            </w:r>
          </w:p>
        </w:tc>
        <w:tc>
          <w:tcPr>
            <w:tcW w:w="660" w:type="dxa"/>
            <w:vMerge w:val="restart"/>
            <w:noWrap w:val="0"/>
            <w:vAlign w:val="center"/>
          </w:tcPr>
          <w:p w14:paraId="56802F50">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手动监测</w:t>
            </w:r>
          </w:p>
        </w:tc>
        <w:tc>
          <w:tcPr>
            <w:tcW w:w="740" w:type="dxa"/>
            <w:vMerge w:val="restart"/>
            <w:noWrap w:val="0"/>
            <w:vAlign w:val="center"/>
          </w:tcPr>
          <w:p w14:paraId="78F3ABED">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c>
          <w:tcPr>
            <w:tcW w:w="650" w:type="dxa"/>
            <w:vMerge w:val="restart"/>
            <w:noWrap w:val="0"/>
            <w:vAlign w:val="center"/>
          </w:tcPr>
          <w:p w14:paraId="7F0F0B56">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560" w:type="dxa"/>
            <w:vMerge w:val="restart"/>
            <w:noWrap w:val="0"/>
            <w:vAlign w:val="center"/>
          </w:tcPr>
          <w:p w14:paraId="75145943">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1120" w:type="dxa"/>
            <w:vMerge w:val="restart"/>
            <w:noWrap w:val="0"/>
            <w:vAlign w:val="center"/>
          </w:tcPr>
          <w:p w14:paraId="16C0FD9A">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847" w:type="dxa"/>
            <w:vMerge w:val="restart"/>
            <w:noWrap w:val="0"/>
            <w:vAlign w:val="center"/>
          </w:tcPr>
          <w:p w14:paraId="31E0EFB2">
            <w:pPr>
              <w:keepNext w:val="0"/>
              <w:keepLines w:val="0"/>
              <w:suppressLineNumbers w:val="0"/>
              <w:spacing w:before="0" w:beforeAutospacing="0" w:after="0" w:afterAutospacing="0"/>
              <w:ind w:left="0" w:right="0"/>
              <w:jc w:val="center"/>
              <w:rPr>
                <w:rStyle w:val="437"/>
                <w:rFonts w:hint="default" w:ascii="Times New Roman" w:hAnsi="Times New Roman" w:eastAsia="宋体" w:cs="Times New Roman"/>
                <w:color w:val="auto"/>
              </w:rPr>
            </w:pPr>
            <w:r>
              <w:rPr>
                <w:rStyle w:val="437"/>
                <w:rFonts w:hint="default" w:ascii="Times New Roman" w:hAnsi="Times New Roman" w:eastAsia="宋体" w:cs="Times New Roman"/>
                <w:color w:val="auto"/>
              </w:rPr>
              <w:t>非连续采样</w:t>
            </w:r>
            <w:r>
              <w:rPr>
                <w:rStyle w:val="353"/>
                <w:rFonts w:hint="default" w:ascii="Times New Roman" w:hAnsi="Times New Roman" w:eastAsia="宋体" w:cs="Times New Roman"/>
                <w:color w:val="auto"/>
              </w:rPr>
              <w:t>，</w:t>
            </w:r>
            <w:r>
              <w:rPr>
                <w:rStyle w:val="437"/>
                <w:rFonts w:hint="default" w:ascii="Times New Roman" w:hAnsi="Times New Roman" w:eastAsia="宋体" w:cs="Times New Roman"/>
                <w:color w:val="auto"/>
              </w:rPr>
              <w:t>至少</w:t>
            </w:r>
            <w:r>
              <w:rPr>
                <w:rStyle w:val="353"/>
                <w:rFonts w:hint="default" w:ascii="Times New Roman" w:hAnsi="Times New Roman" w:eastAsia="宋体" w:cs="Times New Roman"/>
                <w:color w:val="auto"/>
              </w:rPr>
              <w:t>3</w:t>
            </w:r>
            <w:r>
              <w:rPr>
                <w:rStyle w:val="437"/>
                <w:rFonts w:hint="default" w:ascii="Times New Roman" w:hAnsi="Times New Roman" w:eastAsia="宋体" w:cs="Times New Roman"/>
                <w:color w:val="auto"/>
              </w:rPr>
              <w:t>个</w:t>
            </w:r>
          </w:p>
        </w:tc>
        <w:tc>
          <w:tcPr>
            <w:tcW w:w="550" w:type="dxa"/>
            <w:vMerge w:val="restart"/>
            <w:noWrap w:val="0"/>
            <w:vAlign w:val="center"/>
          </w:tcPr>
          <w:p w14:paraId="0191E164">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1次/</w:t>
            </w:r>
            <w:r>
              <w:rPr>
                <w:rFonts w:hint="default" w:ascii="Times New Roman" w:hAnsi="Times New Roman" w:eastAsia="宋体" w:cs="Times New Roman"/>
                <w:color w:val="auto"/>
                <w:kern w:val="0"/>
                <w:lang w:val="en-US" w:eastAsia="zh-CN"/>
              </w:rPr>
              <w:t>半</w:t>
            </w:r>
            <w:r>
              <w:rPr>
                <w:rFonts w:hint="default" w:ascii="Times New Roman" w:hAnsi="Times New Roman" w:eastAsia="宋体" w:cs="Times New Roman"/>
                <w:color w:val="auto"/>
                <w:kern w:val="0"/>
              </w:rPr>
              <w:t>年</w:t>
            </w:r>
          </w:p>
        </w:tc>
        <w:tc>
          <w:tcPr>
            <w:tcW w:w="3940" w:type="dxa"/>
            <w:noWrap w:val="0"/>
            <w:vAlign w:val="center"/>
          </w:tcPr>
          <w:p w14:paraId="14E6703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lang w:val="zh-CN" w:eastAsia="zh-CN"/>
              </w:rPr>
              <w:t>《</w:t>
            </w:r>
            <w:r>
              <w:rPr>
                <w:rFonts w:hint="default" w:ascii="Times New Roman" w:hAnsi="Times New Roman" w:eastAsia="宋体" w:cs="Times New Roman"/>
                <w:color w:val="auto"/>
                <w:kern w:val="0"/>
                <w:sz w:val="21"/>
                <w:szCs w:val="21"/>
              </w:rPr>
              <w:t>固定污染源废气 低浓度颗粒物的测定 重量法</w:t>
            </w:r>
            <w:r>
              <w:rPr>
                <w:rFonts w:hint="default" w:ascii="Times New Roman" w:hAnsi="Times New Roman" w:eastAsia="宋体" w:cs="Times New Roman"/>
                <w:color w:val="auto"/>
                <w:sz w:val="21"/>
                <w:szCs w:val="21"/>
                <w:lang w:val="zh-CN" w:eastAsia="zh-CN"/>
              </w:rPr>
              <w:t>》（</w:t>
            </w:r>
            <w:r>
              <w:rPr>
                <w:rFonts w:hint="default" w:ascii="Times New Roman" w:hAnsi="Times New Roman" w:eastAsia="宋体" w:cs="Times New Roman"/>
                <w:color w:val="auto"/>
                <w:kern w:val="0"/>
                <w:sz w:val="21"/>
                <w:szCs w:val="21"/>
              </w:rPr>
              <w:t>HJ 836-2017</w:t>
            </w:r>
            <w:r>
              <w:rPr>
                <w:rFonts w:hint="default" w:ascii="Times New Roman" w:hAnsi="Times New Roman" w:eastAsia="宋体" w:cs="Times New Roman"/>
                <w:color w:val="auto"/>
                <w:sz w:val="21"/>
                <w:szCs w:val="21"/>
                <w:lang w:val="zh-CN" w:eastAsia="zh-CN"/>
              </w:rPr>
              <w:t>）</w:t>
            </w:r>
          </w:p>
        </w:tc>
        <w:tc>
          <w:tcPr>
            <w:tcW w:w="401" w:type="dxa"/>
            <w:noWrap w:val="0"/>
            <w:vAlign w:val="center"/>
          </w:tcPr>
          <w:p w14:paraId="5DA4822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lang w:val="en-US" w:eastAsia="zh-CN"/>
              </w:rPr>
              <w:t>/</w:t>
            </w:r>
          </w:p>
        </w:tc>
      </w:tr>
      <w:tr w14:paraId="21FFF7A6">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156" w:hRule="atLeast"/>
          <w:jc w:val="center"/>
        </w:trPr>
        <w:tc>
          <w:tcPr>
            <w:tcW w:w="388" w:type="dxa"/>
            <w:vMerge w:val="continue"/>
            <w:noWrap w:val="0"/>
            <w:vAlign w:val="center"/>
          </w:tcPr>
          <w:p w14:paraId="25DCC2DD">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FF0000"/>
              </w:rPr>
            </w:pPr>
          </w:p>
        </w:tc>
        <w:tc>
          <w:tcPr>
            <w:tcW w:w="717" w:type="dxa"/>
            <w:vMerge w:val="continue"/>
            <w:noWrap w:val="0"/>
            <w:vAlign w:val="center"/>
          </w:tcPr>
          <w:p w14:paraId="189BCB5A">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FF0000"/>
              </w:rPr>
            </w:pPr>
          </w:p>
        </w:tc>
        <w:tc>
          <w:tcPr>
            <w:tcW w:w="850" w:type="dxa"/>
            <w:vMerge w:val="continue"/>
            <w:noWrap w:val="0"/>
            <w:vAlign w:val="center"/>
          </w:tcPr>
          <w:p w14:paraId="40103F0F">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rPr>
            </w:pPr>
          </w:p>
        </w:tc>
        <w:tc>
          <w:tcPr>
            <w:tcW w:w="1000" w:type="dxa"/>
            <w:vMerge w:val="continue"/>
            <w:noWrap w:val="0"/>
            <w:vAlign w:val="center"/>
          </w:tcPr>
          <w:p w14:paraId="0FA54959">
            <w:pPr>
              <w:pStyle w:val="10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p>
        </w:tc>
        <w:tc>
          <w:tcPr>
            <w:tcW w:w="1060" w:type="dxa"/>
            <w:vMerge w:val="continue"/>
            <w:noWrap w:val="0"/>
            <w:vAlign w:val="center"/>
          </w:tcPr>
          <w:p w14:paraId="76FF7F58">
            <w:pPr>
              <w:keepNext w:val="0"/>
              <w:keepLines w:val="0"/>
              <w:suppressLineNumbers w:val="0"/>
              <w:tabs>
                <w:tab w:val="left" w:pos="1890"/>
              </w:tabs>
              <w:spacing w:before="0" w:beforeAutospacing="0" w:after="0" w:afterAutospacing="0"/>
              <w:ind w:left="-105" w:leftChars="-50" w:right="-105" w:rightChars="-50"/>
              <w:jc w:val="center"/>
              <w:rPr>
                <w:rFonts w:hint="default" w:ascii="Times New Roman" w:hAnsi="Times New Roman" w:eastAsia="宋体" w:cs="Times New Roman"/>
                <w:color w:val="auto"/>
              </w:rPr>
            </w:pPr>
          </w:p>
        </w:tc>
        <w:tc>
          <w:tcPr>
            <w:tcW w:w="950" w:type="dxa"/>
            <w:noWrap w:val="0"/>
            <w:vAlign w:val="center"/>
          </w:tcPr>
          <w:p w14:paraId="346B902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color w:val="auto"/>
                <w:sz w:val="21"/>
                <w:szCs w:val="21"/>
                <w:lang w:val="en-US" w:eastAsia="zh-CN"/>
              </w:rPr>
              <w:t>SO</w:t>
            </w:r>
            <w:r>
              <w:rPr>
                <w:rFonts w:hint="default" w:ascii="Times New Roman" w:hAnsi="Times New Roman" w:eastAsia="宋体" w:cs="Times New Roman"/>
                <w:color w:val="auto"/>
                <w:sz w:val="21"/>
                <w:szCs w:val="21"/>
                <w:vertAlign w:val="subscript"/>
                <w:lang w:val="en-US" w:eastAsia="zh-CN"/>
              </w:rPr>
              <w:t>2</w:t>
            </w:r>
          </w:p>
        </w:tc>
        <w:tc>
          <w:tcPr>
            <w:tcW w:w="660" w:type="dxa"/>
            <w:vMerge w:val="continue"/>
            <w:noWrap w:val="0"/>
            <w:vAlign w:val="center"/>
          </w:tcPr>
          <w:p w14:paraId="063F271F">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p>
        </w:tc>
        <w:tc>
          <w:tcPr>
            <w:tcW w:w="740" w:type="dxa"/>
            <w:vMerge w:val="continue"/>
            <w:noWrap w:val="0"/>
            <w:vAlign w:val="center"/>
          </w:tcPr>
          <w:p w14:paraId="79E9100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p>
        </w:tc>
        <w:tc>
          <w:tcPr>
            <w:tcW w:w="650" w:type="dxa"/>
            <w:vMerge w:val="continue"/>
            <w:noWrap w:val="0"/>
            <w:vAlign w:val="center"/>
          </w:tcPr>
          <w:p w14:paraId="2CB0A240">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p>
        </w:tc>
        <w:tc>
          <w:tcPr>
            <w:tcW w:w="560" w:type="dxa"/>
            <w:vMerge w:val="continue"/>
            <w:noWrap w:val="0"/>
            <w:vAlign w:val="center"/>
          </w:tcPr>
          <w:p w14:paraId="734DC0DF">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p>
        </w:tc>
        <w:tc>
          <w:tcPr>
            <w:tcW w:w="1120" w:type="dxa"/>
            <w:vMerge w:val="continue"/>
            <w:noWrap w:val="0"/>
            <w:vAlign w:val="center"/>
          </w:tcPr>
          <w:p w14:paraId="3EFD9D52">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p>
        </w:tc>
        <w:tc>
          <w:tcPr>
            <w:tcW w:w="847" w:type="dxa"/>
            <w:vMerge w:val="continue"/>
            <w:noWrap w:val="0"/>
            <w:vAlign w:val="center"/>
          </w:tcPr>
          <w:p w14:paraId="53D7CF18">
            <w:pPr>
              <w:keepNext w:val="0"/>
              <w:keepLines w:val="0"/>
              <w:suppressLineNumbers w:val="0"/>
              <w:spacing w:before="0" w:beforeAutospacing="0" w:after="0" w:afterAutospacing="0"/>
              <w:ind w:left="0" w:right="0"/>
              <w:jc w:val="center"/>
              <w:rPr>
                <w:rStyle w:val="437"/>
                <w:rFonts w:hint="default" w:ascii="Times New Roman" w:hAnsi="Times New Roman" w:eastAsia="宋体" w:cs="Times New Roman"/>
                <w:color w:val="auto"/>
              </w:rPr>
            </w:pPr>
          </w:p>
        </w:tc>
        <w:tc>
          <w:tcPr>
            <w:tcW w:w="550" w:type="dxa"/>
            <w:vMerge w:val="continue"/>
            <w:noWrap w:val="0"/>
            <w:vAlign w:val="center"/>
          </w:tcPr>
          <w:p w14:paraId="1E90445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kern w:val="0"/>
              </w:rPr>
            </w:pPr>
          </w:p>
        </w:tc>
        <w:tc>
          <w:tcPr>
            <w:tcW w:w="3940" w:type="dxa"/>
            <w:noWrap w:val="0"/>
            <w:vAlign w:val="center"/>
          </w:tcPr>
          <w:p w14:paraId="546D291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lang w:val="zh-CN" w:eastAsia="zh-CN"/>
              </w:rPr>
              <w:t>《</w:t>
            </w:r>
            <w:r>
              <w:rPr>
                <w:rFonts w:hint="default" w:ascii="Times New Roman" w:hAnsi="Times New Roman" w:eastAsia="宋体" w:cs="Times New Roman"/>
                <w:color w:val="auto"/>
                <w:sz w:val="21"/>
                <w:szCs w:val="21"/>
              </w:rPr>
              <w:t>固定污染源废气 二氧化硫的测定 定电位电解法</w:t>
            </w:r>
            <w:r>
              <w:rPr>
                <w:rFonts w:hint="default" w:ascii="Times New Roman" w:hAnsi="Times New Roman" w:eastAsia="宋体" w:cs="Times New Roman"/>
                <w:color w:val="auto"/>
                <w:sz w:val="21"/>
                <w:szCs w:val="21"/>
                <w:lang w:val="zh-CN" w:eastAsia="zh-CN"/>
              </w:rPr>
              <w:t>》（</w:t>
            </w:r>
            <w:r>
              <w:rPr>
                <w:rFonts w:hint="default" w:ascii="Times New Roman" w:hAnsi="Times New Roman" w:eastAsia="宋体" w:cs="Times New Roman"/>
                <w:color w:val="auto"/>
                <w:sz w:val="21"/>
                <w:szCs w:val="21"/>
              </w:rPr>
              <w:t>HJ57-2017</w:t>
            </w:r>
            <w:r>
              <w:rPr>
                <w:rFonts w:hint="default" w:ascii="Times New Roman" w:hAnsi="Times New Roman" w:eastAsia="宋体" w:cs="Times New Roman"/>
                <w:color w:val="auto"/>
                <w:sz w:val="21"/>
                <w:szCs w:val="21"/>
                <w:lang w:val="zh-CN" w:eastAsia="zh-CN"/>
              </w:rPr>
              <w:t>）</w:t>
            </w:r>
          </w:p>
        </w:tc>
        <w:tc>
          <w:tcPr>
            <w:tcW w:w="401" w:type="dxa"/>
            <w:noWrap w:val="0"/>
            <w:vAlign w:val="center"/>
          </w:tcPr>
          <w:p w14:paraId="445AB2A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lang w:val="en-US" w:eastAsia="zh-CN"/>
              </w:rPr>
              <w:t>/</w:t>
            </w:r>
          </w:p>
        </w:tc>
      </w:tr>
      <w:tr w14:paraId="3032B370">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169" w:hRule="atLeast"/>
          <w:jc w:val="center"/>
        </w:trPr>
        <w:tc>
          <w:tcPr>
            <w:tcW w:w="388" w:type="dxa"/>
            <w:vMerge w:val="continue"/>
            <w:noWrap w:val="0"/>
            <w:vAlign w:val="center"/>
          </w:tcPr>
          <w:p w14:paraId="26B0196E">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FF0000"/>
              </w:rPr>
            </w:pPr>
          </w:p>
        </w:tc>
        <w:tc>
          <w:tcPr>
            <w:tcW w:w="717" w:type="dxa"/>
            <w:vMerge w:val="continue"/>
            <w:noWrap w:val="0"/>
            <w:vAlign w:val="center"/>
          </w:tcPr>
          <w:p w14:paraId="55F55B66">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FF0000"/>
              </w:rPr>
            </w:pPr>
          </w:p>
        </w:tc>
        <w:tc>
          <w:tcPr>
            <w:tcW w:w="850" w:type="dxa"/>
            <w:vMerge w:val="continue"/>
            <w:noWrap w:val="0"/>
            <w:vAlign w:val="center"/>
          </w:tcPr>
          <w:p w14:paraId="7195EEB3">
            <w:pPr>
              <w:keepNext w:val="0"/>
              <w:keepLines w:val="0"/>
              <w:suppressLineNumbers w:val="0"/>
              <w:spacing w:before="0" w:beforeAutospacing="0" w:after="0" w:afterAutospacing="0" w:line="240" w:lineRule="auto"/>
              <w:ind w:left="-105" w:leftChars="-50" w:right="-105" w:rightChars="-50"/>
              <w:jc w:val="center"/>
              <w:rPr>
                <w:rFonts w:hint="default" w:ascii="Times New Roman" w:hAnsi="Times New Roman" w:eastAsia="宋体" w:cs="Times New Roman"/>
                <w:color w:val="auto"/>
                <w:kern w:val="0"/>
                <w:sz w:val="21"/>
                <w:szCs w:val="21"/>
              </w:rPr>
            </w:pPr>
          </w:p>
        </w:tc>
        <w:tc>
          <w:tcPr>
            <w:tcW w:w="1000" w:type="dxa"/>
            <w:vMerge w:val="continue"/>
            <w:noWrap w:val="0"/>
            <w:vAlign w:val="center"/>
          </w:tcPr>
          <w:p w14:paraId="4DA25A81">
            <w:pPr>
              <w:pStyle w:val="10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p>
        </w:tc>
        <w:tc>
          <w:tcPr>
            <w:tcW w:w="1060" w:type="dxa"/>
            <w:vMerge w:val="continue"/>
            <w:noWrap w:val="0"/>
            <w:vAlign w:val="center"/>
          </w:tcPr>
          <w:p w14:paraId="2A36A723">
            <w:pPr>
              <w:keepNext w:val="0"/>
              <w:keepLines w:val="0"/>
              <w:suppressLineNumbers w:val="0"/>
              <w:tabs>
                <w:tab w:val="left" w:pos="1890"/>
              </w:tabs>
              <w:spacing w:before="0" w:beforeAutospacing="0" w:after="0" w:afterAutospacing="0"/>
              <w:ind w:left="-105" w:leftChars="-50" w:right="-105" w:rightChars="-50"/>
              <w:jc w:val="center"/>
              <w:rPr>
                <w:rFonts w:hint="default" w:ascii="Times New Roman" w:hAnsi="Times New Roman" w:eastAsia="宋体" w:cs="Times New Roman"/>
                <w:color w:val="auto"/>
              </w:rPr>
            </w:pPr>
          </w:p>
        </w:tc>
        <w:tc>
          <w:tcPr>
            <w:tcW w:w="950" w:type="dxa"/>
            <w:noWrap w:val="0"/>
            <w:vAlign w:val="center"/>
          </w:tcPr>
          <w:p w14:paraId="6FA2A37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color w:val="auto"/>
                <w:sz w:val="21"/>
                <w:szCs w:val="21"/>
                <w:lang w:val="en-US" w:eastAsia="zh-CN"/>
              </w:rPr>
              <w:t>NO</w:t>
            </w:r>
            <w:r>
              <w:rPr>
                <w:rFonts w:hint="default" w:ascii="Times New Roman" w:hAnsi="Times New Roman" w:eastAsia="宋体" w:cs="Times New Roman"/>
                <w:color w:val="auto"/>
                <w:sz w:val="21"/>
                <w:szCs w:val="21"/>
                <w:vertAlign w:val="subscript"/>
                <w:lang w:val="en-US" w:eastAsia="zh-CN"/>
              </w:rPr>
              <w:t>X</w:t>
            </w:r>
          </w:p>
        </w:tc>
        <w:tc>
          <w:tcPr>
            <w:tcW w:w="660" w:type="dxa"/>
            <w:vMerge w:val="continue"/>
            <w:noWrap w:val="0"/>
            <w:vAlign w:val="center"/>
          </w:tcPr>
          <w:p w14:paraId="03087E3C">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p>
        </w:tc>
        <w:tc>
          <w:tcPr>
            <w:tcW w:w="740" w:type="dxa"/>
            <w:vMerge w:val="continue"/>
            <w:noWrap w:val="0"/>
            <w:vAlign w:val="center"/>
          </w:tcPr>
          <w:p w14:paraId="3C0ED6B6">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p>
        </w:tc>
        <w:tc>
          <w:tcPr>
            <w:tcW w:w="650" w:type="dxa"/>
            <w:vMerge w:val="continue"/>
            <w:noWrap w:val="0"/>
            <w:vAlign w:val="center"/>
          </w:tcPr>
          <w:p w14:paraId="1E111CD9">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p>
        </w:tc>
        <w:tc>
          <w:tcPr>
            <w:tcW w:w="560" w:type="dxa"/>
            <w:vMerge w:val="continue"/>
            <w:noWrap w:val="0"/>
            <w:vAlign w:val="center"/>
          </w:tcPr>
          <w:p w14:paraId="08F241C4">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p>
        </w:tc>
        <w:tc>
          <w:tcPr>
            <w:tcW w:w="1120" w:type="dxa"/>
            <w:vMerge w:val="continue"/>
            <w:noWrap w:val="0"/>
            <w:vAlign w:val="center"/>
          </w:tcPr>
          <w:p w14:paraId="0DFC9DE0">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p>
        </w:tc>
        <w:tc>
          <w:tcPr>
            <w:tcW w:w="847" w:type="dxa"/>
            <w:vMerge w:val="continue"/>
            <w:noWrap w:val="0"/>
            <w:vAlign w:val="center"/>
          </w:tcPr>
          <w:p w14:paraId="4D903A88">
            <w:pPr>
              <w:keepNext w:val="0"/>
              <w:keepLines w:val="0"/>
              <w:suppressLineNumbers w:val="0"/>
              <w:spacing w:before="0" w:beforeAutospacing="0" w:after="0" w:afterAutospacing="0"/>
              <w:ind w:left="0" w:right="0"/>
              <w:jc w:val="center"/>
              <w:rPr>
                <w:rStyle w:val="437"/>
                <w:rFonts w:hint="default" w:ascii="Times New Roman" w:hAnsi="Times New Roman" w:eastAsia="宋体" w:cs="Times New Roman"/>
                <w:color w:val="auto"/>
              </w:rPr>
            </w:pPr>
          </w:p>
        </w:tc>
        <w:tc>
          <w:tcPr>
            <w:tcW w:w="550" w:type="dxa"/>
            <w:vMerge w:val="continue"/>
            <w:noWrap w:val="0"/>
            <w:vAlign w:val="center"/>
          </w:tcPr>
          <w:p w14:paraId="0DA641BD">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kern w:val="0"/>
              </w:rPr>
            </w:pPr>
          </w:p>
        </w:tc>
        <w:tc>
          <w:tcPr>
            <w:tcW w:w="3940" w:type="dxa"/>
            <w:noWrap w:val="0"/>
            <w:vAlign w:val="center"/>
          </w:tcPr>
          <w:p w14:paraId="53048BD9">
            <w:pPr>
              <w:keepNext w:val="0"/>
              <w:keepLines w:val="0"/>
              <w:suppressLineNumbers w:val="0"/>
              <w:spacing w:before="0" w:beforeAutospacing="0" w:after="0" w:afterAutospacing="0" w:line="300" w:lineRule="exact"/>
              <w:ind w:left="0" w:right="0"/>
              <w:jc w:val="left"/>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lang w:val="zh-CN" w:eastAsia="zh-CN"/>
              </w:rPr>
              <w:t>《</w:t>
            </w:r>
            <w:r>
              <w:rPr>
                <w:rFonts w:hint="default" w:ascii="Times New Roman" w:hAnsi="Times New Roman" w:eastAsia="宋体" w:cs="Times New Roman"/>
                <w:color w:val="auto"/>
                <w:sz w:val="21"/>
                <w:szCs w:val="21"/>
              </w:rPr>
              <w:t>固定污染源废气 氮氧化物的测定 定电位电解法</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HJ 693-2014</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lang w:val="zh-CN" w:eastAsia="zh-CN"/>
              </w:rPr>
              <w:t>》</w:t>
            </w:r>
          </w:p>
        </w:tc>
        <w:tc>
          <w:tcPr>
            <w:tcW w:w="401" w:type="dxa"/>
            <w:noWrap w:val="0"/>
            <w:vAlign w:val="center"/>
          </w:tcPr>
          <w:p w14:paraId="7D98D6F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lang w:val="en-US" w:eastAsia="zh-CN"/>
              </w:rPr>
              <w:t>/</w:t>
            </w:r>
          </w:p>
        </w:tc>
      </w:tr>
      <w:tr w14:paraId="16795ECC">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435" w:hRule="atLeast"/>
          <w:jc w:val="center"/>
        </w:trPr>
        <w:tc>
          <w:tcPr>
            <w:tcW w:w="388" w:type="dxa"/>
            <w:vMerge w:val="continue"/>
            <w:noWrap w:val="0"/>
            <w:vAlign w:val="center"/>
          </w:tcPr>
          <w:p w14:paraId="6329F213">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FF0000"/>
              </w:rPr>
            </w:pPr>
          </w:p>
        </w:tc>
        <w:tc>
          <w:tcPr>
            <w:tcW w:w="717" w:type="dxa"/>
            <w:vMerge w:val="continue"/>
            <w:noWrap w:val="0"/>
            <w:vAlign w:val="center"/>
          </w:tcPr>
          <w:p w14:paraId="7E7965E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FF0000"/>
              </w:rPr>
            </w:pPr>
          </w:p>
        </w:tc>
        <w:tc>
          <w:tcPr>
            <w:tcW w:w="850" w:type="dxa"/>
            <w:noWrap w:val="0"/>
            <w:vAlign w:val="center"/>
          </w:tcPr>
          <w:p w14:paraId="0BB17F7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无组织</w:t>
            </w:r>
          </w:p>
        </w:tc>
        <w:tc>
          <w:tcPr>
            <w:tcW w:w="1000" w:type="dxa"/>
            <w:noWrap w:val="0"/>
            <w:vAlign w:val="center"/>
          </w:tcPr>
          <w:p w14:paraId="4E049847">
            <w:pPr>
              <w:keepNext w:val="0"/>
              <w:keepLines w:val="0"/>
              <w:suppressLineNumbers w:val="0"/>
              <w:tabs>
                <w:tab w:val="left" w:pos="1890"/>
              </w:tabs>
              <w:spacing w:before="0" w:beforeAutospacing="0" w:after="0" w:afterAutospacing="0"/>
              <w:ind w:left="-105" w:leftChars="-50" w:right="-105" w:rightChars="-5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厂界</w:t>
            </w:r>
            <w:r>
              <w:rPr>
                <w:rFonts w:hint="default" w:ascii="Times New Roman" w:hAnsi="Times New Roman" w:eastAsia="宋体" w:cs="Times New Roman"/>
                <w:color w:val="auto"/>
                <w:lang w:val="en-US" w:eastAsia="zh-CN"/>
              </w:rPr>
              <w:t>外</w:t>
            </w:r>
          </w:p>
        </w:tc>
        <w:tc>
          <w:tcPr>
            <w:tcW w:w="1060" w:type="dxa"/>
            <w:vMerge w:val="restart"/>
            <w:noWrap w:val="0"/>
            <w:vAlign w:val="center"/>
          </w:tcPr>
          <w:p w14:paraId="0C06C3B6">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风速、风向、温度、湿度、气压</w:t>
            </w:r>
          </w:p>
        </w:tc>
        <w:tc>
          <w:tcPr>
            <w:tcW w:w="950" w:type="dxa"/>
            <w:noWrap w:val="0"/>
            <w:vAlign w:val="center"/>
          </w:tcPr>
          <w:p w14:paraId="16F8EB8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lang w:eastAsia="zh-CN"/>
              </w:rPr>
            </w:pPr>
            <w:r>
              <w:rPr>
                <w:rFonts w:hint="default" w:ascii="Times New Roman" w:hAnsi="Times New Roman" w:eastAsia="宋体" w:cs="Times New Roman"/>
                <w:color w:val="auto"/>
                <w:sz w:val="21"/>
                <w:szCs w:val="21"/>
              </w:rPr>
              <w:t>非甲烷总烃、颗粒物</w:t>
            </w:r>
          </w:p>
        </w:tc>
        <w:tc>
          <w:tcPr>
            <w:tcW w:w="660" w:type="dxa"/>
            <w:noWrap w:val="0"/>
            <w:vAlign w:val="center"/>
          </w:tcPr>
          <w:p w14:paraId="741DC638">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手动监测</w:t>
            </w:r>
          </w:p>
        </w:tc>
        <w:tc>
          <w:tcPr>
            <w:tcW w:w="740" w:type="dxa"/>
            <w:noWrap w:val="0"/>
            <w:vAlign w:val="center"/>
          </w:tcPr>
          <w:p w14:paraId="3F8503C4">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c>
          <w:tcPr>
            <w:tcW w:w="650" w:type="dxa"/>
            <w:noWrap w:val="0"/>
            <w:vAlign w:val="center"/>
          </w:tcPr>
          <w:p w14:paraId="61260A43">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560" w:type="dxa"/>
            <w:noWrap w:val="0"/>
            <w:vAlign w:val="center"/>
          </w:tcPr>
          <w:p w14:paraId="0CAD28F4">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1120" w:type="dxa"/>
            <w:noWrap w:val="0"/>
            <w:vAlign w:val="center"/>
          </w:tcPr>
          <w:p w14:paraId="1419BFAA">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847" w:type="dxa"/>
            <w:vMerge w:val="restart"/>
            <w:noWrap w:val="0"/>
            <w:vAlign w:val="center"/>
          </w:tcPr>
          <w:p w14:paraId="6CB2B5A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非连续采样，至</w:t>
            </w:r>
          </w:p>
          <w:p w14:paraId="5976FC76">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少3个</w:t>
            </w:r>
          </w:p>
        </w:tc>
        <w:tc>
          <w:tcPr>
            <w:tcW w:w="550" w:type="dxa"/>
            <w:noWrap w:val="0"/>
            <w:vAlign w:val="center"/>
          </w:tcPr>
          <w:p w14:paraId="6BA31F97">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rPr>
              <w:t>1次/</w:t>
            </w:r>
            <w:r>
              <w:rPr>
                <w:rFonts w:hint="default" w:ascii="Times New Roman" w:hAnsi="Times New Roman" w:eastAsia="宋体" w:cs="Times New Roman"/>
                <w:color w:val="auto"/>
                <w:kern w:val="0"/>
                <w:lang w:val="en-US" w:eastAsia="zh-CN"/>
              </w:rPr>
              <w:t>半</w:t>
            </w:r>
            <w:r>
              <w:rPr>
                <w:rFonts w:hint="default" w:ascii="Times New Roman" w:hAnsi="Times New Roman" w:eastAsia="宋体" w:cs="Times New Roman"/>
                <w:color w:val="auto"/>
                <w:kern w:val="0"/>
              </w:rPr>
              <w:t>年</w:t>
            </w:r>
          </w:p>
        </w:tc>
        <w:tc>
          <w:tcPr>
            <w:tcW w:w="3940" w:type="dxa"/>
            <w:vMerge w:val="restart"/>
            <w:noWrap w:val="0"/>
            <w:vAlign w:val="center"/>
          </w:tcPr>
          <w:p w14:paraId="5895334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lang w:eastAsia="zh-CN"/>
              </w:rPr>
            </w:pPr>
            <w:r>
              <w:rPr>
                <w:rFonts w:hint="default" w:ascii="Times New Roman" w:hAnsi="Times New Roman" w:eastAsia="Times New Roman" w:cs="Times New Roman"/>
                <w:color w:val="auto"/>
                <w:highlight w:val="none"/>
              </w:rPr>
              <w:fldChar w:fldCharType="begin"/>
            </w:r>
            <w:r>
              <w:rPr>
                <w:rFonts w:hint="default" w:ascii="Times New Roman" w:hAnsi="Times New Roman" w:eastAsia="Times New Roman" w:cs="Times New Roman"/>
                <w:color w:val="auto"/>
                <w:highlight w:val="none"/>
              </w:rPr>
              <w:instrText xml:space="preserve"> HYPERLINK "http://www.mee.gov.cn/ywgz/fgbz/bz/bzwb/jcffbz/201712/t20171220_428271.shtml" </w:instrText>
            </w:r>
            <w:r>
              <w:rPr>
                <w:rFonts w:hint="default" w:ascii="Times New Roman" w:hAnsi="Times New Roman" w:eastAsia="Times New Roman" w:cs="Times New Roman"/>
                <w:color w:val="auto"/>
                <w:highlight w:val="none"/>
              </w:rPr>
              <w:fldChar w:fldCharType="separate"/>
            </w:r>
            <w:r>
              <w:rPr>
                <w:rFonts w:hint="default" w:ascii="Times New Roman" w:hAnsi="Times New Roman" w:eastAsia="Times New Roman" w:cs="Times New Roman"/>
                <w:color w:val="auto"/>
                <w:sz w:val="21"/>
                <w:szCs w:val="21"/>
                <w:highlight w:val="none"/>
              </w:rPr>
              <w:t>《环境空气 总烃、甲烷和非甲烷总烃的测定 直接进样-气相色谱法》</w:t>
            </w:r>
            <w:bookmarkStart w:id="20" w:name="_Hlt91536266"/>
            <w:bookmarkEnd w:id="20"/>
            <w:bookmarkStart w:id="21" w:name="_Hlt91536267"/>
            <w:bookmarkEnd w:id="21"/>
            <w:r>
              <w:rPr>
                <w:rFonts w:hint="default" w:ascii="Times New Roman" w:hAnsi="Times New Roman" w:eastAsia="Times New Roman" w:cs="Times New Roman"/>
                <w:color w:val="auto"/>
                <w:sz w:val="21"/>
                <w:szCs w:val="21"/>
                <w:highlight w:val="none"/>
              </w:rPr>
              <w:t>（HJ 604-2017）</w:t>
            </w:r>
            <w:r>
              <w:rPr>
                <w:rFonts w:hint="default" w:ascii="Times New Roman" w:hAnsi="Times New Roman" w:eastAsia="Times New Roman" w:cs="Times New Roman"/>
                <w:color w:val="auto"/>
                <w:sz w:val="21"/>
                <w:szCs w:val="21"/>
                <w:highlight w:val="none"/>
              </w:rPr>
              <w:fldChar w:fldCharType="end"/>
            </w:r>
            <w:r>
              <w:rPr>
                <w:rFonts w:hint="default" w:ascii="Times New Roman" w:hAnsi="Times New Roman" w:eastAsia="Times New Roman" w:cs="Times New Roman"/>
                <w:color w:val="auto"/>
                <w:sz w:val="21"/>
                <w:szCs w:val="21"/>
                <w:highlight w:val="none"/>
                <w:lang w:eastAsia="zh-CN"/>
              </w:rPr>
              <w:t>、</w:t>
            </w:r>
            <w:r>
              <w:rPr>
                <w:rFonts w:hint="default" w:ascii="Times New Roman" w:hAnsi="Times New Roman" w:eastAsia="Times New Roman" w:cs="Times New Roman"/>
                <w:color w:val="auto"/>
                <w:sz w:val="21"/>
                <w:szCs w:val="21"/>
                <w:highlight w:val="none"/>
              </w:rPr>
              <w:t>《环境空气 总悬浮颗粒物的测定 重量法》（GB/T 15432-1995）</w:t>
            </w:r>
          </w:p>
        </w:tc>
        <w:tc>
          <w:tcPr>
            <w:tcW w:w="401" w:type="dxa"/>
            <w:noWrap w:val="0"/>
            <w:vAlign w:val="center"/>
          </w:tcPr>
          <w:p w14:paraId="73AD4218">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r>
      <w:tr w14:paraId="699068B7">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704" w:hRule="atLeast"/>
          <w:jc w:val="center"/>
        </w:trPr>
        <w:tc>
          <w:tcPr>
            <w:tcW w:w="388" w:type="dxa"/>
            <w:vMerge w:val="continue"/>
            <w:noWrap w:val="0"/>
            <w:vAlign w:val="center"/>
          </w:tcPr>
          <w:p w14:paraId="6254DFFE">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FF0000"/>
              </w:rPr>
            </w:pPr>
          </w:p>
        </w:tc>
        <w:tc>
          <w:tcPr>
            <w:tcW w:w="717" w:type="dxa"/>
            <w:vMerge w:val="continue"/>
            <w:noWrap w:val="0"/>
            <w:vAlign w:val="center"/>
          </w:tcPr>
          <w:p w14:paraId="4C268579">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FF0000"/>
              </w:rPr>
            </w:pPr>
          </w:p>
        </w:tc>
        <w:tc>
          <w:tcPr>
            <w:tcW w:w="850" w:type="dxa"/>
            <w:noWrap w:val="0"/>
            <w:vAlign w:val="center"/>
          </w:tcPr>
          <w:p w14:paraId="3A42C9BC">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无组织</w:t>
            </w:r>
          </w:p>
        </w:tc>
        <w:tc>
          <w:tcPr>
            <w:tcW w:w="1000" w:type="dxa"/>
            <w:noWrap w:val="0"/>
            <w:vAlign w:val="center"/>
          </w:tcPr>
          <w:p w14:paraId="0163D667">
            <w:pPr>
              <w:keepNext w:val="0"/>
              <w:keepLines w:val="0"/>
              <w:suppressLineNumbers w:val="0"/>
              <w:tabs>
                <w:tab w:val="left" w:pos="1890"/>
              </w:tabs>
              <w:spacing w:before="0" w:beforeAutospacing="0" w:after="0" w:afterAutospacing="0"/>
              <w:ind w:left="-105" w:leftChars="-50" w:right="-105" w:rightChars="-5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厂区内</w:t>
            </w:r>
          </w:p>
        </w:tc>
        <w:tc>
          <w:tcPr>
            <w:tcW w:w="1060" w:type="dxa"/>
            <w:vMerge w:val="continue"/>
            <w:noWrap w:val="0"/>
            <w:vAlign w:val="center"/>
          </w:tcPr>
          <w:p w14:paraId="5C3AEC01">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p>
        </w:tc>
        <w:tc>
          <w:tcPr>
            <w:tcW w:w="950" w:type="dxa"/>
            <w:noWrap w:val="0"/>
            <w:vAlign w:val="center"/>
          </w:tcPr>
          <w:p w14:paraId="39878AE0">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非甲烷总烃</w:t>
            </w:r>
          </w:p>
        </w:tc>
        <w:tc>
          <w:tcPr>
            <w:tcW w:w="660" w:type="dxa"/>
            <w:noWrap w:val="0"/>
            <w:vAlign w:val="center"/>
          </w:tcPr>
          <w:p w14:paraId="0D4C5FC3">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手动监测</w:t>
            </w:r>
          </w:p>
        </w:tc>
        <w:tc>
          <w:tcPr>
            <w:tcW w:w="740" w:type="dxa"/>
            <w:noWrap w:val="0"/>
            <w:vAlign w:val="center"/>
          </w:tcPr>
          <w:p w14:paraId="16E6B175">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c>
          <w:tcPr>
            <w:tcW w:w="650" w:type="dxa"/>
            <w:noWrap w:val="0"/>
            <w:vAlign w:val="center"/>
          </w:tcPr>
          <w:p w14:paraId="28D6CEA6">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560" w:type="dxa"/>
            <w:noWrap w:val="0"/>
            <w:vAlign w:val="center"/>
          </w:tcPr>
          <w:p w14:paraId="5AF0918F">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1120" w:type="dxa"/>
            <w:noWrap w:val="0"/>
            <w:vAlign w:val="center"/>
          </w:tcPr>
          <w:p w14:paraId="3D6A60C2">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847" w:type="dxa"/>
            <w:vMerge w:val="continue"/>
            <w:noWrap w:val="0"/>
            <w:vAlign w:val="center"/>
          </w:tcPr>
          <w:p w14:paraId="5789B839">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kern w:val="0"/>
              </w:rPr>
            </w:pPr>
          </w:p>
        </w:tc>
        <w:tc>
          <w:tcPr>
            <w:tcW w:w="550" w:type="dxa"/>
            <w:noWrap w:val="0"/>
            <w:vAlign w:val="center"/>
          </w:tcPr>
          <w:p w14:paraId="252BD996">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rPr>
              <w:t>1次/</w:t>
            </w:r>
            <w:r>
              <w:rPr>
                <w:rFonts w:hint="default" w:ascii="Times New Roman" w:hAnsi="Times New Roman" w:eastAsia="宋体" w:cs="Times New Roman"/>
                <w:color w:val="auto"/>
                <w:kern w:val="0"/>
                <w:lang w:val="en-US" w:eastAsia="zh-CN"/>
              </w:rPr>
              <w:t>半</w:t>
            </w:r>
            <w:r>
              <w:rPr>
                <w:rFonts w:hint="default" w:ascii="Times New Roman" w:hAnsi="Times New Roman" w:eastAsia="宋体" w:cs="Times New Roman"/>
                <w:color w:val="auto"/>
                <w:kern w:val="0"/>
              </w:rPr>
              <w:t>年</w:t>
            </w:r>
          </w:p>
        </w:tc>
        <w:tc>
          <w:tcPr>
            <w:tcW w:w="3940" w:type="dxa"/>
            <w:vMerge w:val="continue"/>
            <w:noWrap w:val="0"/>
            <w:vAlign w:val="center"/>
          </w:tcPr>
          <w:p w14:paraId="53AFE4B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401" w:type="dxa"/>
            <w:noWrap w:val="0"/>
            <w:vAlign w:val="center"/>
          </w:tcPr>
          <w:p w14:paraId="05E8FD08">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r>
      <w:tr w14:paraId="7D57F7C2">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138" w:hRule="atLeast"/>
          <w:jc w:val="center"/>
        </w:trPr>
        <w:tc>
          <w:tcPr>
            <w:tcW w:w="388" w:type="dxa"/>
            <w:vMerge w:val="restart"/>
            <w:noWrap w:val="0"/>
            <w:vAlign w:val="center"/>
          </w:tcPr>
          <w:p w14:paraId="107D0942">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2</w:t>
            </w:r>
          </w:p>
        </w:tc>
        <w:tc>
          <w:tcPr>
            <w:tcW w:w="717" w:type="dxa"/>
            <w:vMerge w:val="restart"/>
            <w:noWrap w:val="0"/>
            <w:vAlign w:val="center"/>
          </w:tcPr>
          <w:p w14:paraId="0F30E2DA">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废水</w:t>
            </w:r>
          </w:p>
        </w:tc>
        <w:tc>
          <w:tcPr>
            <w:tcW w:w="850" w:type="dxa"/>
            <w:vMerge w:val="restart"/>
            <w:noWrap w:val="0"/>
            <w:vAlign w:val="center"/>
          </w:tcPr>
          <w:p w14:paraId="2C4C8663">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DW001</w:t>
            </w:r>
          </w:p>
        </w:tc>
        <w:tc>
          <w:tcPr>
            <w:tcW w:w="1000" w:type="dxa"/>
            <w:vMerge w:val="restart"/>
            <w:noWrap w:val="0"/>
            <w:vAlign w:val="center"/>
          </w:tcPr>
          <w:p w14:paraId="3E055E31">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废水排放口</w:t>
            </w:r>
          </w:p>
        </w:tc>
        <w:tc>
          <w:tcPr>
            <w:tcW w:w="1060" w:type="dxa"/>
            <w:vMerge w:val="restart"/>
            <w:noWrap w:val="0"/>
            <w:vAlign w:val="center"/>
          </w:tcPr>
          <w:p w14:paraId="2344C1EC">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流量、污染物</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稳定</w:t>
            </w:r>
          </w:p>
        </w:tc>
        <w:tc>
          <w:tcPr>
            <w:tcW w:w="950" w:type="dxa"/>
            <w:noWrap w:val="0"/>
            <w:vAlign w:val="center"/>
          </w:tcPr>
          <w:p w14:paraId="3844EA73">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rPr>
              <w:t>pH值</w:t>
            </w:r>
          </w:p>
        </w:tc>
        <w:tc>
          <w:tcPr>
            <w:tcW w:w="660" w:type="dxa"/>
            <w:noWrap w:val="0"/>
            <w:vAlign w:val="center"/>
          </w:tcPr>
          <w:p w14:paraId="0C402186">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手动</w:t>
            </w:r>
          </w:p>
          <w:p w14:paraId="67247398">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监测</w:t>
            </w:r>
          </w:p>
        </w:tc>
        <w:tc>
          <w:tcPr>
            <w:tcW w:w="740" w:type="dxa"/>
            <w:noWrap w:val="0"/>
            <w:vAlign w:val="center"/>
          </w:tcPr>
          <w:p w14:paraId="739D4D69">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c>
          <w:tcPr>
            <w:tcW w:w="650" w:type="dxa"/>
            <w:noWrap w:val="0"/>
            <w:vAlign w:val="center"/>
          </w:tcPr>
          <w:p w14:paraId="095915FD">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560" w:type="dxa"/>
            <w:noWrap w:val="0"/>
            <w:vAlign w:val="center"/>
          </w:tcPr>
          <w:p w14:paraId="3C4C2FEB">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1120" w:type="dxa"/>
            <w:noWrap w:val="0"/>
            <w:vAlign w:val="center"/>
          </w:tcPr>
          <w:p w14:paraId="44C5A86A">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847" w:type="dxa"/>
            <w:vMerge w:val="restart"/>
            <w:noWrap w:val="0"/>
            <w:vAlign w:val="center"/>
          </w:tcPr>
          <w:p w14:paraId="56C4C595">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非连续采样</w:t>
            </w:r>
            <w:r>
              <w:rPr>
                <w:rFonts w:hint="default" w:ascii="Times New Roman" w:hAnsi="Times New Roman" w:eastAsia="宋体" w:cs="Times New Roman"/>
                <w:color w:val="auto"/>
              </w:rPr>
              <w:t>，</w:t>
            </w:r>
            <w:r>
              <w:rPr>
                <w:rFonts w:hint="default" w:ascii="Times New Roman" w:hAnsi="Times New Roman" w:eastAsia="宋体" w:cs="Times New Roman"/>
                <w:color w:val="auto"/>
                <w:kern w:val="0"/>
              </w:rPr>
              <w:t>至少</w:t>
            </w:r>
            <w:r>
              <w:rPr>
                <w:rFonts w:hint="default" w:ascii="Times New Roman" w:hAnsi="Times New Roman" w:eastAsia="宋体" w:cs="Times New Roman"/>
                <w:color w:val="auto"/>
              </w:rPr>
              <w:t>3</w:t>
            </w:r>
            <w:r>
              <w:rPr>
                <w:rFonts w:hint="default" w:ascii="Times New Roman" w:hAnsi="Times New Roman" w:eastAsia="宋体" w:cs="Times New Roman"/>
                <w:color w:val="auto"/>
                <w:kern w:val="0"/>
              </w:rPr>
              <w:t>个</w:t>
            </w:r>
          </w:p>
        </w:tc>
        <w:tc>
          <w:tcPr>
            <w:tcW w:w="550" w:type="dxa"/>
            <w:vMerge w:val="restart"/>
            <w:noWrap w:val="0"/>
            <w:vAlign w:val="center"/>
          </w:tcPr>
          <w:p w14:paraId="01859E6B">
            <w:pPr>
              <w:keepNext w:val="0"/>
              <w:keepLines w:val="0"/>
              <w:suppressLineNumbers w:val="0"/>
              <w:tabs>
                <w:tab w:val="left" w:pos="1890"/>
              </w:tabs>
              <w:spacing w:before="0" w:beforeAutospacing="0" w:after="0" w:afterAutospacing="0" w:line="300" w:lineRule="exact"/>
              <w:ind w:left="-63" w:leftChars="-30" w:right="-63" w:rightChars="-30"/>
              <w:jc w:val="center"/>
              <w:rPr>
                <w:rStyle w:val="353"/>
                <w:rFonts w:hint="default" w:ascii="Times New Roman" w:hAnsi="Times New Roman" w:eastAsia="宋体" w:cs="Times New Roman"/>
                <w:color w:val="auto"/>
              </w:rPr>
            </w:pPr>
            <w:r>
              <w:rPr>
                <w:rFonts w:hint="default" w:ascii="Times New Roman" w:hAnsi="Times New Roman" w:eastAsia="宋体" w:cs="Times New Roman"/>
                <w:color w:val="auto"/>
                <w:kern w:val="0"/>
              </w:rPr>
              <w:t>1次/年</w:t>
            </w:r>
          </w:p>
        </w:tc>
        <w:tc>
          <w:tcPr>
            <w:tcW w:w="3940" w:type="dxa"/>
            <w:noWrap w:val="0"/>
            <w:vAlign w:val="center"/>
          </w:tcPr>
          <w:p w14:paraId="448BF40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kern w:val="0"/>
                <w:sz w:val="21"/>
                <w:szCs w:val="21"/>
                <w:lang w:val="en-US" w:eastAsia="zh-CN"/>
              </w:rPr>
              <w:t>《</w:t>
            </w:r>
            <w:r>
              <w:rPr>
                <w:rFonts w:hint="default" w:ascii="Times New Roman" w:hAnsi="Times New Roman" w:eastAsia="宋体" w:cs="Times New Roman"/>
                <w:color w:val="auto"/>
                <w:kern w:val="0"/>
                <w:sz w:val="21"/>
                <w:szCs w:val="21"/>
              </w:rPr>
              <w:t xml:space="preserve">水质 </w:t>
            </w:r>
            <w:r>
              <w:rPr>
                <w:rFonts w:hint="default" w:ascii="Times New Roman" w:hAnsi="Times New Roman" w:eastAsia="宋体" w:cs="Times New Roman"/>
                <w:b w:val="0"/>
                <w:bCs/>
                <w:i w:val="0"/>
                <w:iCs w:val="0"/>
                <w:color w:val="auto"/>
                <w:sz w:val="21"/>
                <w:szCs w:val="21"/>
                <w:highlight w:val="none"/>
              </w:rPr>
              <w:t>pH</w:t>
            </w:r>
            <w:r>
              <w:rPr>
                <w:rFonts w:hint="default" w:ascii="Times New Roman" w:hAnsi="Times New Roman" w:eastAsia="宋体" w:cs="Times New Roman"/>
                <w:color w:val="auto"/>
                <w:kern w:val="0"/>
                <w:sz w:val="21"/>
                <w:szCs w:val="21"/>
                <w:lang w:val="en-US" w:eastAsia="zh-CN"/>
              </w:rPr>
              <w:t>的测定 玻璃电极法》 （GB6920-861）</w:t>
            </w:r>
          </w:p>
        </w:tc>
        <w:tc>
          <w:tcPr>
            <w:tcW w:w="401" w:type="dxa"/>
            <w:noWrap w:val="0"/>
            <w:vAlign w:val="center"/>
          </w:tcPr>
          <w:p w14:paraId="402AB2B1">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r>
      <w:tr w14:paraId="335CE069">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138" w:hRule="atLeast"/>
          <w:jc w:val="center"/>
        </w:trPr>
        <w:tc>
          <w:tcPr>
            <w:tcW w:w="388" w:type="dxa"/>
            <w:vMerge w:val="continue"/>
            <w:noWrap w:val="0"/>
            <w:vAlign w:val="center"/>
          </w:tcPr>
          <w:p w14:paraId="2BC3824E">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p>
        </w:tc>
        <w:tc>
          <w:tcPr>
            <w:tcW w:w="717" w:type="dxa"/>
            <w:vMerge w:val="continue"/>
            <w:noWrap w:val="0"/>
            <w:vAlign w:val="center"/>
          </w:tcPr>
          <w:p w14:paraId="1C186A25">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p>
        </w:tc>
        <w:tc>
          <w:tcPr>
            <w:tcW w:w="850" w:type="dxa"/>
            <w:vMerge w:val="continue"/>
            <w:noWrap w:val="0"/>
            <w:vAlign w:val="center"/>
          </w:tcPr>
          <w:p w14:paraId="14ABFAC2">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p>
        </w:tc>
        <w:tc>
          <w:tcPr>
            <w:tcW w:w="1000" w:type="dxa"/>
            <w:vMerge w:val="continue"/>
            <w:noWrap w:val="0"/>
            <w:vAlign w:val="center"/>
          </w:tcPr>
          <w:p w14:paraId="3B496021">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p>
        </w:tc>
        <w:tc>
          <w:tcPr>
            <w:tcW w:w="1060" w:type="dxa"/>
            <w:vMerge w:val="continue"/>
            <w:noWrap w:val="0"/>
            <w:vAlign w:val="center"/>
          </w:tcPr>
          <w:p w14:paraId="209F428F">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p>
        </w:tc>
        <w:tc>
          <w:tcPr>
            <w:tcW w:w="950" w:type="dxa"/>
            <w:noWrap w:val="0"/>
            <w:vAlign w:val="center"/>
          </w:tcPr>
          <w:p w14:paraId="566D227B">
            <w:pPr>
              <w:keepNext w:val="0"/>
              <w:keepLines w:val="0"/>
              <w:suppressLineNumbers w:val="0"/>
              <w:tabs>
                <w:tab w:val="left" w:pos="1890"/>
              </w:tabs>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rPr>
              <w:t>化学需氧量</w:t>
            </w:r>
          </w:p>
        </w:tc>
        <w:tc>
          <w:tcPr>
            <w:tcW w:w="660" w:type="dxa"/>
            <w:noWrap w:val="0"/>
            <w:vAlign w:val="center"/>
          </w:tcPr>
          <w:p w14:paraId="72714BD7">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手动</w:t>
            </w:r>
          </w:p>
          <w:p w14:paraId="7C0E6D7A">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监测</w:t>
            </w:r>
          </w:p>
        </w:tc>
        <w:tc>
          <w:tcPr>
            <w:tcW w:w="740" w:type="dxa"/>
            <w:noWrap w:val="0"/>
            <w:vAlign w:val="center"/>
          </w:tcPr>
          <w:p w14:paraId="668CBCFD">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c>
          <w:tcPr>
            <w:tcW w:w="650" w:type="dxa"/>
            <w:noWrap w:val="0"/>
            <w:vAlign w:val="center"/>
          </w:tcPr>
          <w:p w14:paraId="43F3C76C">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560" w:type="dxa"/>
            <w:noWrap w:val="0"/>
            <w:vAlign w:val="center"/>
          </w:tcPr>
          <w:p w14:paraId="1927A8CE">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1120" w:type="dxa"/>
            <w:noWrap w:val="0"/>
            <w:vAlign w:val="center"/>
          </w:tcPr>
          <w:p w14:paraId="5CFBD977">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847" w:type="dxa"/>
            <w:vMerge w:val="continue"/>
            <w:noWrap w:val="0"/>
            <w:vAlign w:val="center"/>
          </w:tcPr>
          <w:p w14:paraId="185E1DFF">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kern w:val="0"/>
              </w:rPr>
            </w:pPr>
          </w:p>
        </w:tc>
        <w:tc>
          <w:tcPr>
            <w:tcW w:w="550" w:type="dxa"/>
            <w:vMerge w:val="continue"/>
            <w:noWrap w:val="0"/>
            <w:vAlign w:val="center"/>
          </w:tcPr>
          <w:p w14:paraId="47D3A777">
            <w:pPr>
              <w:keepNext w:val="0"/>
              <w:keepLines w:val="0"/>
              <w:suppressLineNumbers w:val="0"/>
              <w:tabs>
                <w:tab w:val="left" w:pos="1890"/>
              </w:tabs>
              <w:spacing w:before="0" w:beforeAutospacing="0" w:after="0" w:afterAutospacing="0" w:line="300" w:lineRule="exact"/>
              <w:ind w:left="-63" w:leftChars="-30" w:right="-63" w:rightChars="-30"/>
              <w:jc w:val="center"/>
              <w:rPr>
                <w:rStyle w:val="353"/>
                <w:rFonts w:hint="default" w:ascii="Times New Roman" w:hAnsi="Times New Roman" w:eastAsia="宋体" w:cs="Times New Roman"/>
                <w:color w:val="auto"/>
              </w:rPr>
            </w:pPr>
          </w:p>
        </w:tc>
        <w:tc>
          <w:tcPr>
            <w:tcW w:w="3940" w:type="dxa"/>
            <w:noWrap w:val="0"/>
            <w:vAlign w:val="center"/>
          </w:tcPr>
          <w:p w14:paraId="2B75E68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kern w:val="0"/>
                <w:sz w:val="21"/>
                <w:szCs w:val="21"/>
                <w:lang w:val="en-US" w:eastAsia="zh-CN"/>
              </w:rPr>
              <w:t>《</w:t>
            </w:r>
            <w:r>
              <w:rPr>
                <w:rFonts w:hint="default" w:ascii="Times New Roman" w:hAnsi="Times New Roman" w:eastAsia="宋体" w:cs="Times New Roman"/>
                <w:color w:val="auto"/>
                <w:kern w:val="0"/>
                <w:sz w:val="21"/>
                <w:szCs w:val="21"/>
              </w:rPr>
              <w:t xml:space="preserve">水质 </w:t>
            </w:r>
            <w:r>
              <w:rPr>
                <w:rFonts w:hint="default" w:ascii="Times New Roman" w:hAnsi="Times New Roman" w:eastAsia="宋体" w:cs="Times New Roman"/>
                <w:color w:val="auto"/>
                <w:kern w:val="0"/>
                <w:sz w:val="21"/>
                <w:szCs w:val="21"/>
                <w:lang w:val="en-US" w:eastAsia="zh-CN"/>
              </w:rPr>
              <w:t>化学需氧量的测定 快速消解分光光度法》 （HJ/T399-2007）</w:t>
            </w:r>
          </w:p>
        </w:tc>
        <w:tc>
          <w:tcPr>
            <w:tcW w:w="401" w:type="dxa"/>
            <w:noWrap w:val="0"/>
            <w:vAlign w:val="center"/>
          </w:tcPr>
          <w:p w14:paraId="5AE24DE2">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r>
      <w:tr w14:paraId="6F2532F5">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138" w:hRule="atLeast"/>
          <w:jc w:val="center"/>
        </w:trPr>
        <w:tc>
          <w:tcPr>
            <w:tcW w:w="388" w:type="dxa"/>
            <w:vMerge w:val="continue"/>
            <w:noWrap w:val="0"/>
            <w:vAlign w:val="center"/>
          </w:tcPr>
          <w:p w14:paraId="7A93899B">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p>
        </w:tc>
        <w:tc>
          <w:tcPr>
            <w:tcW w:w="717" w:type="dxa"/>
            <w:vMerge w:val="continue"/>
            <w:noWrap w:val="0"/>
            <w:vAlign w:val="center"/>
          </w:tcPr>
          <w:p w14:paraId="149665D3">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p>
        </w:tc>
        <w:tc>
          <w:tcPr>
            <w:tcW w:w="850" w:type="dxa"/>
            <w:vMerge w:val="continue"/>
            <w:noWrap w:val="0"/>
            <w:vAlign w:val="center"/>
          </w:tcPr>
          <w:p w14:paraId="3A126675">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p>
        </w:tc>
        <w:tc>
          <w:tcPr>
            <w:tcW w:w="1000" w:type="dxa"/>
            <w:vMerge w:val="continue"/>
            <w:noWrap w:val="0"/>
            <w:vAlign w:val="center"/>
          </w:tcPr>
          <w:p w14:paraId="7D393809">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p>
        </w:tc>
        <w:tc>
          <w:tcPr>
            <w:tcW w:w="1060" w:type="dxa"/>
            <w:vMerge w:val="continue"/>
            <w:noWrap w:val="0"/>
            <w:vAlign w:val="center"/>
          </w:tcPr>
          <w:p w14:paraId="52929906">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p>
        </w:tc>
        <w:tc>
          <w:tcPr>
            <w:tcW w:w="950" w:type="dxa"/>
            <w:noWrap w:val="0"/>
            <w:vAlign w:val="center"/>
          </w:tcPr>
          <w:p w14:paraId="667731C0">
            <w:pPr>
              <w:keepNext w:val="0"/>
              <w:keepLines w:val="0"/>
              <w:suppressLineNumbers w:val="0"/>
              <w:tabs>
                <w:tab w:val="left" w:pos="1890"/>
              </w:tabs>
              <w:spacing w:before="0" w:beforeAutospacing="0" w:after="0" w:afterAutospacing="0" w:line="300" w:lineRule="exact"/>
              <w:ind w:left="-105" w:leftChars="-50" w:right="-105" w:rightChars="-5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rPr>
              <w:t>BOD</w:t>
            </w:r>
            <w:r>
              <w:rPr>
                <w:rFonts w:hint="default" w:ascii="Times New Roman" w:hAnsi="Times New Roman" w:eastAsia="宋体" w:cs="Times New Roman"/>
                <w:color w:val="auto"/>
                <w:kern w:val="0"/>
                <w:vertAlign w:val="subscript"/>
              </w:rPr>
              <w:t>5</w:t>
            </w:r>
          </w:p>
        </w:tc>
        <w:tc>
          <w:tcPr>
            <w:tcW w:w="660" w:type="dxa"/>
            <w:noWrap w:val="0"/>
            <w:vAlign w:val="center"/>
          </w:tcPr>
          <w:p w14:paraId="43238FD6">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手动</w:t>
            </w:r>
          </w:p>
          <w:p w14:paraId="1395B028">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监测</w:t>
            </w:r>
          </w:p>
        </w:tc>
        <w:tc>
          <w:tcPr>
            <w:tcW w:w="740" w:type="dxa"/>
            <w:noWrap w:val="0"/>
            <w:vAlign w:val="center"/>
          </w:tcPr>
          <w:p w14:paraId="6AFFBA45">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c>
          <w:tcPr>
            <w:tcW w:w="650" w:type="dxa"/>
            <w:noWrap w:val="0"/>
            <w:vAlign w:val="center"/>
          </w:tcPr>
          <w:p w14:paraId="3D67C8F3">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560" w:type="dxa"/>
            <w:noWrap w:val="0"/>
            <w:vAlign w:val="center"/>
          </w:tcPr>
          <w:p w14:paraId="32BA8E20">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1120" w:type="dxa"/>
            <w:noWrap w:val="0"/>
            <w:vAlign w:val="center"/>
          </w:tcPr>
          <w:p w14:paraId="4E6BAD55">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847" w:type="dxa"/>
            <w:vMerge w:val="continue"/>
            <w:noWrap w:val="0"/>
            <w:vAlign w:val="center"/>
          </w:tcPr>
          <w:p w14:paraId="3BC6C07D">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kern w:val="0"/>
              </w:rPr>
            </w:pPr>
          </w:p>
        </w:tc>
        <w:tc>
          <w:tcPr>
            <w:tcW w:w="550" w:type="dxa"/>
            <w:noWrap w:val="0"/>
            <w:vAlign w:val="center"/>
          </w:tcPr>
          <w:p w14:paraId="1104937C">
            <w:pPr>
              <w:keepNext w:val="0"/>
              <w:keepLines w:val="0"/>
              <w:suppressLineNumbers w:val="0"/>
              <w:tabs>
                <w:tab w:val="left" w:pos="1890"/>
              </w:tabs>
              <w:spacing w:before="0" w:beforeAutospacing="0" w:after="0" w:afterAutospacing="0" w:line="300" w:lineRule="exact"/>
              <w:ind w:left="-63" w:leftChars="-30" w:right="-63" w:rightChars="-30"/>
              <w:jc w:val="center"/>
              <w:rPr>
                <w:rStyle w:val="353"/>
                <w:rFonts w:hint="default" w:ascii="Times New Roman" w:hAnsi="Times New Roman" w:eastAsia="宋体" w:cs="Times New Roman"/>
                <w:color w:val="auto"/>
              </w:rPr>
            </w:pPr>
            <w:r>
              <w:rPr>
                <w:rFonts w:hint="default" w:ascii="Times New Roman" w:hAnsi="Times New Roman" w:eastAsia="宋体" w:cs="Times New Roman"/>
                <w:color w:val="auto"/>
                <w:kern w:val="0"/>
              </w:rPr>
              <w:t>1次/年</w:t>
            </w:r>
          </w:p>
        </w:tc>
        <w:tc>
          <w:tcPr>
            <w:tcW w:w="3940" w:type="dxa"/>
            <w:noWrap w:val="0"/>
            <w:vAlign w:val="center"/>
          </w:tcPr>
          <w:p w14:paraId="49B64A4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kern w:val="0"/>
                <w:sz w:val="21"/>
                <w:szCs w:val="21"/>
                <w:lang w:val="en-US" w:eastAsia="zh-CN"/>
              </w:rPr>
              <w:t>《</w:t>
            </w:r>
            <w:r>
              <w:rPr>
                <w:rFonts w:hint="default" w:ascii="Times New Roman" w:hAnsi="Times New Roman" w:eastAsia="宋体" w:cs="Times New Roman"/>
                <w:color w:val="auto"/>
                <w:kern w:val="0"/>
                <w:sz w:val="21"/>
                <w:szCs w:val="21"/>
              </w:rPr>
              <w:t xml:space="preserve">水质 </w:t>
            </w:r>
            <w:r>
              <w:rPr>
                <w:rFonts w:hint="default" w:ascii="Times New Roman" w:hAnsi="Times New Roman" w:eastAsia="宋体" w:cs="Times New Roman"/>
                <w:b w:val="0"/>
                <w:bCs/>
                <w:i w:val="0"/>
                <w:iCs w:val="0"/>
                <w:color w:val="auto"/>
                <w:sz w:val="21"/>
                <w:szCs w:val="21"/>
                <w:highlight w:val="none"/>
                <w:lang w:val="en-US" w:eastAsia="zh-CN"/>
              </w:rPr>
              <w:t>生化需氧量</w:t>
            </w:r>
            <w:r>
              <w:rPr>
                <w:rFonts w:hint="default" w:ascii="Times New Roman" w:hAnsi="Times New Roman" w:eastAsia="宋体" w:cs="Times New Roman"/>
                <w:color w:val="auto"/>
                <w:kern w:val="0"/>
                <w:sz w:val="21"/>
                <w:szCs w:val="21"/>
                <w:lang w:val="en-US" w:eastAsia="zh-CN"/>
              </w:rPr>
              <w:t>的测定 稀释与接种法》（GB7488-87）</w:t>
            </w:r>
          </w:p>
        </w:tc>
        <w:tc>
          <w:tcPr>
            <w:tcW w:w="401" w:type="dxa"/>
            <w:noWrap w:val="0"/>
            <w:vAlign w:val="center"/>
          </w:tcPr>
          <w:p w14:paraId="7C9D0AFD">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r>
      <w:tr w14:paraId="5ACB6F3D">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138" w:hRule="atLeast"/>
          <w:jc w:val="center"/>
        </w:trPr>
        <w:tc>
          <w:tcPr>
            <w:tcW w:w="388" w:type="dxa"/>
            <w:vMerge w:val="continue"/>
            <w:noWrap w:val="0"/>
            <w:vAlign w:val="center"/>
          </w:tcPr>
          <w:p w14:paraId="1119BFB6">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p>
        </w:tc>
        <w:tc>
          <w:tcPr>
            <w:tcW w:w="717" w:type="dxa"/>
            <w:vMerge w:val="continue"/>
            <w:noWrap w:val="0"/>
            <w:vAlign w:val="center"/>
          </w:tcPr>
          <w:p w14:paraId="0F6B48F0">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p>
        </w:tc>
        <w:tc>
          <w:tcPr>
            <w:tcW w:w="850" w:type="dxa"/>
            <w:vMerge w:val="continue"/>
            <w:noWrap w:val="0"/>
            <w:vAlign w:val="center"/>
          </w:tcPr>
          <w:p w14:paraId="00C068E2">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p>
        </w:tc>
        <w:tc>
          <w:tcPr>
            <w:tcW w:w="1000" w:type="dxa"/>
            <w:vMerge w:val="continue"/>
            <w:noWrap w:val="0"/>
            <w:vAlign w:val="center"/>
          </w:tcPr>
          <w:p w14:paraId="0821BF4C">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p>
        </w:tc>
        <w:tc>
          <w:tcPr>
            <w:tcW w:w="1060" w:type="dxa"/>
            <w:vMerge w:val="continue"/>
            <w:noWrap w:val="0"/>
            <w:vAlign w:val="center"/>
          </w:tcPr>
          <w:p w14:paraId="41681168">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p>
        </w:tc>
        <w:tc>
          <w:tcPr>
            <w:tcW w:w="950" w:type="dxa"/>
            <w:noWrap w:val="0"/>
            <w:vAlign w:val="center"/>
          </w:tcPr>
          <w:p w14:paraId="222E5532">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rPr>
              <w:t>氨氮</w:t>
            </w:r>
          </w:p>
        </w:tc>
        <w:tc>
          <w:tcPr>
            <w:tcW w:w="660" w:type="dxa"/>
            <w:noWrap w:val="0"/>
            <w:vAlign w:val="center"/>
          </w:tcPr>
          <w:p w14:paraId="1E41D089">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手动</w:t>
            </w:r>
          </w:p>
          <w:p w14:paraId="583AB349">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监测</w:t>
            </w:r>
          </w:p>
        </w:tc>
        <w:tc>
          <w:tcPr>
            <w:tcW w:w="740" w:type="dxa"/>
            <w:noWrap w:val="0"/>
            <w:vAlign w:val="center"/>
          </w:tcPr>
          <w:p w14:paraId="07DA7E6F">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c>
          <w:tcPr>
            <w:tcW w:w="650" w:type="dxa"/>
            <w:noWrap w:val="0"/>
            <w:vAlign w:val="center"/>
          </w:tcPr>
          <w:p w14:paraId="7E9547DF">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560" w:type="dxa"/>
            <w:noWrap w:val="0"/>
            <w:vAlign w:val="center"/>
          </w:tcPr>
          <w:p w14:paraId="3484560E">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1120" w:type="dxa"/>
            <w:noWrap w:val="0"/>
            <w:vAlign w:val="center"/>
          </w:tcPr>
          <w:p w14:paraId="2AD092B2">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847" w:type="dxa"/>
            <w:vMerge w:val="continue"/>
            <w:noWrap w:val="0"/>
            <w:vAlign w:val="center"/>
          </w:tcPr>
          <w:p w14:paraId="26AE84F7">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kern w:val="0"/>
              </w:rPr>
            </w:pPr>
          </w:p>
        </w:tc>
        <w:tc>
          <w:tcPr>
            <w:tcW w:w="550" w:type="dxa"/>
            <w:noWrap w:val="0"/>
            <w:vAlign w:val="center"/>
          </w:tcPr>
          <w:p w14:paraId="78C48F19">
            <w:pPr>
              <w:keepNext w:val="0"/>
              <w:keepLines w:val="0"/>
              <w:suppressLineNumbers w:val="0"/>
              <w:tabs>
                <w:tab w:val="left" w:pos="1890"/>
              </w:tabs>
              <w:spacing w:before="0" w:beforeAutospacing="0" w:after="0" w:afterAutospacing="0" w:line="300" w:lineRule="exact"/>
              <w:ind w:left="-63" w:leftChars="-30" w:right="-63" w:rightChars="-30"/>
              <w:jc w:val="center"/>
              <w:rPr>
                <w:rStyle w:val="353"/>
                <w:rFonts w:hint="default" w:ascii="Times New Roman" w:hAnsi="Times New Roman" w:eastAsia="宋体" w:cs="Times New Roman"/>
                <w:color w:val="auto"/>
              </w:rPr>
            </w:pPr>
            <w:r>
              <w:rPr>
                <w:rFonts w:hint="default" w:ascii="Times New Roman" w:hAnsi="Times New Roman" w:eastAsia="宋体" w:cs="Times New Roman"/>
                <w:color w:val="auto"/>
                <w:kern w:val="0"/>
              </w:rPr>
              <w:t>1次/年</w:t>
            </w:r>
          </w:p>
        </w:tc>
        <w:tc>
          <w:tcPr>
            <w:tcW w:w="3940" w:type="dxa"/>
            <w:noWrap w:val="0"/>
            <w:vAlign w:val="center"/>
          </w:tcPr>
          <w:p w14:paraId="1B14D52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kern w:val="0"/>
                <w:sz w:val="21"/>
                <w:szCs w:val="21"/>
                <w:lang w:val="en-US" w:eastAsia="zh-CN"/>
              </w:rPr>
              <w:t>《</w:t>
            </w:r>
            <w:r>
              <w:rPr>
                <w:rFonts w:hint="default" w:ascii="Times New Roman" w:hAnsi="Times New Roman" w:eastAsia="宋体" w:cs="Times New Roman"/>
                <w:color w:val="auto"/>
                <w:kern w:val="0"/>
                <w:sz w:val="21"/>
                <w:szCs w:val="21"/>
              </w:rPr>
              <w:t xml:space="preserve">水质 </w:t>
            </w:r>
            <w:r>
              <w:rPr>
                <w:rFonts w:hint="default" w:ascii="Times New Roman" w:hAnsi="Times New Roman" w:eastAsia="宋体" w:cs="Times New Roman"/>
                <w:color w:val="auto"/>
                <w:kern w:val="0"/>
                <w:sz w:val="21"/>
                <w:szCs w:val="21"/>
                <w:lang w:val="en-US" w:eastAsia="zh-CN"/>
              </w:rPr>
              <w:t>悬浮物的测定 重量法》 （GB11901-1989）</w:t>
            </w:r>
          </w:p>
        </w:tc>
        <w:tc>
          <w:tcPr>
            <w:tcW w:w="401" w:type="dxa"/>
            <w:noWrap w:val="0"/>
            <w:vAlign w:val="center"/>
          </w:tcPr>
          <w:p w14:paraId="4AC03574">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r>
      <w:tr w14:paraId="7E1E05D9">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138" w:hRule="atLeast"/>
          <w:jc w:val="center"/>
        </w:trPr>
        <w:tc>
          <w:tcPr>
            <w:tcW w:w="388" w:type="dxa"/>
            <w:vMerge w:val="continue"/>
            <w:noWrap w:val="0"/>
            <w:vAlign w:val="center"/>
          </w:tcPr>
          <w:p w14:paraId="07659B55">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p>
        </w:tc>
        <w:tc>
          <w:tcPr>
            <w:tcW w:w="717" w:type="dxa"/>
            <w:vMerge w:val="continue"/>
            <w:noWrap w:val="0"/>
            <w:vAlign w:val="center"/>
          </w:tcPr>
          <w:p w14:paraId="0DFB19F6">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p>
        </w:tc>
        <w:tc>
          <w:tcPr>
            <w:tcW w:w="850" w:type="dxa"/>
            <w:vMerge w:val="continue"/>
            <w:noWrap w:val="0"/>
            <w:vAlign w:val="center"/>
          </w:tcPr>
          <w:p w14:paraId="6BE95C6C">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p>
        </w:tc>
        <w:tc>
          <w:tcPr>
            <w:tcW w:w="1000" w:type="dxa"/>
            <w:vMerge w:val="continue"/>
            <w:noWrap w:val="0"/>
            <w:vAlign w:val="center"/>
          </w:tcPr>
          <w:p w14:paraId="35EC897B">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p>
        </w:tc>
        <w:tc>
          <w:tcPr>
            <w:tcW w:w="1060" w:type="dxa"/>
            <w:vMerge w:val="continue"/>
            <w:noWrap w:val="0"/>
            <w:vAlign w:val="center"/>
          </w:tcPr>
          <w:p w14:paraId="36DA8FE3">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p>
        </w:tc>
        <w:tc>
          <w:tcPr>
            <w:tcW w:w="950" w:type="dxa"/>
            <w:noWrap w:val="0"/>
            <w:vAlign w:val="center"/>
          </w:tcPr>
          <w:p w14:paraId="2A854EFA">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rPr>
              <w:t>悬浮物</w:t>
            </w:r>
          </w:p>
        </w:tc>
        <w:tc>
          <w:tcPr>
            <w:tcW w:w="660" w:type="dxa"/>
            <w:noWrap w:val="0"/>
            <w:vAlign w:val="center"/>
          </w:tcPr>
          <w:p w14:paraId="0FF94CCF">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手动</w:t>
            </w:r>
          </w:p>
          <w:p w14:paraId="7A34DD30">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监测</w:t>
            </w:r>
          </w:p>
        </w:tc>
        <w:tc>
          <w:tcPr>
            <w:tcW w:w="740" w:type="dxa"/>
            <w:noWrap w:val="0"/>
            <w:vAlign w:val="center"/>
          </w:tcPr>
          <w:p w14:paraId="4D5DB790">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c>
          <w:tcPr>
            <w:tcW w:w="650" w:type="dxa"/>
            <w:noWrap w:val="0"/>
            <w:vAlign w:val="center"/>
          </w:tcPr>
          <w:p w14:paraId="3C035630">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560" w:type="dxa"/>
            <w:noWrap w:val="0"/>
            <w:vAlign w:val="center"/>
          </w:tcPr>
          <w:p w14:paraId="52D97BFE">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1120" w:type="dxa"/>
            <w:noWrap w:val="0"/>
            <w:vAlign w:val="center"/>
          </w:tcPr>
          <w:p w14:paraId="28F408EA">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847" w:type="dxa"/>
            <w:vMerge w:val="continue"/>
            <w:noWrap w:val="0"/>
            <w:vAlign w:val="center"/>
          </w:tcPr>
          <w:p w14:paraId="0555291A">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kern w:val="0"/>
              </w:rPr>
            </w:pPr>
          </w:p>
        </w:tc>
        <w:tc>
          <w:tcPr>
            <w:tcW w:w="550" w:type="dxa"/>
            <w:noWrap w:val="0"/>
            <w:vAlign w:val="center"/>
          </w:tcPr>
          <w:p w14:paraId="5DB9DEC8">
            <w:pPr>
              <w:keepNext w:val="0"/>
              <w:keepLines w:val="0"/>
              <w:suppressLineNumbers w:val="0"/>
              <w:tabs>
                <w:tab w:val="left" w:pos="1890"/>
              </w:tabs>
              <w:spacing w:before="0" w:beforeAutospacing="0" w:after="0" w:afterAutospacing="0" w:line="300" w:lineRule="exact"/>
              <w:ind w:left="-63" w:leftChars="-30" w:right="-63" w:rightChars="-30"/>
              <w:jc w:val="center"/>
              <w:rPr>
                <w:rStyle w:val="353"/>
                <w:rFonts w:hint="default" w:ascii="Times New Roman" w:hAnsi="Times New Roman" w:eastAsia="宋体" w:cs="Times New Roman"/>
                <w:color w:val="auto"/>
              </w:rPr>
            </w:pPr>
            <w:r>
              <w:rPr>
                <w:rFonts w:hint="default" w:ascii="Times New Roman" w:hAnsi="Times New Roman" w:eastAsia="宋体" w:cs="Times New Roman"/>
                <w:color w:val="auto"/>
                <w:kern w:val="0"/>
              </w:rPr>
              <w:t>1次/年</w:t>
            </w:r>
          </w:p>
        </w:tc>
        <w:tc>
          <w:tcPr>
            <w:tcW w:w="3940" w:type="dxa"/>
            <w:noWrap w:val="0"/>
            <w:vAlign w:val="center"/>
          </w:tcPr>
          <w:p w14:paraId="6BE0F92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kern w:val="0"/>
                <w:sz w:val="21"/>
                <w:szCs w:val="21"/>
                <w:lang w:val="en-US" w:eastAsia="zh-CN"/>
              </w:rPr>
              <w:t>《</w:t>
            </w:r>
            <w:r>
              <w:rPr>
                <w:rFonts w:hint="default" w:ascii="Times New Roman" w:hAnsi="Times New Roman" w:eastAsia="宋体" w:cs="Times New Roman"/>
                <w:color w:val="auto"/>
                <w:kern w:val="0"/>
                <w:sz w:val="21"/>
                <w:szCs w:val="21"/>
              </w:rPr>
              <w:t xml:space="preserve">水质 </w:t>
            </w:r>
            <w:r>
              <w:rPr>
                <w:rFonts w:hint="default" w:ascii="Times New Roman" w:hAnsi="Times New Roman" w:eastAsia="宋体" w:cs="Times New Roman"/>
                <w:color w:val="auto"/>
                <w:kern w:val="0"/>
                <w:sz w:val="21"/>
                <w:szCs w:val="21"/>
                <w:lang w:val="en-US" w:eastAsia="zh-CN"/>
              </w:rPr>
              <w:t>氨氮的测定 蒸馏和滴定法》 （GB7478-87）</w:t>
            </w:r>
          </w:p>
        </w:tc>
        <w:tc>
          <w:tcPr>
            <w:tcW w:w="401" w:type="dxa"/>
            <w:noWrap w:val="0"/>
            <w:vAlign w:val="center"/>
          </w:tcPr>
          <w:p w14:paraId="37CEC29D">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r>
      <w:tr w14:paraId="11135D9F">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138" w:hRule="atLeast"/>
          <w:jc w:val="center"/>
        </w:trPr>
        <w:tc>
          <w:tcPr>
            <w:tcW w:w="388" w:type="dxa"/>
            <w:noWrap w:val="0"/>
            <w:vAlign w:val="center"/>
          </w:tcPr>
          <w:p w14:paraId="0916ABEF">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3</w:t>
            </w:r>
          </w:p>
        </w:tc>
        <w:tc>
          <w:tcPr>
            <w:tcW w:w="717" w:type="dxa"/>
            <w:noWrap w:val="0"/>
            <w:vAlign w:val="center"/>
          </w:tcPr>
          <w:p w14:paraId="353C3A9C">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噪声</w:t>
            </w:r>
          </w:p>
        </w:tc>
        <w:tc>
          <w:tcPr>
            <w:tcW w:w="850" w:type="dxa"/>
            <w:noWrap w:val="0"/>
            <w:vAlign w:val="center"/>
          </w:tcPr>
          <w:p w14:paraId="62BB5E66">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厂界</w:t>
            </w:r>
          </w:p>
        </w:tc>
        <w:tc>
          <w:tcPr>
            <w:tcW w:w="1000" w:type="dxa"/>
            <w:noWrap w:val="0"/>
            <w:vAlign w:val="center"/>
          </w:tcPr>
          <w:p w14:paraId="278AF02F">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lang w:val="zh-CN" w:eastAsia="zh-CN"/>
              </w:rPr>
              <w:t>厂界外1m</w:t>
            </w:r>
          </w:p>
        </w:tc>
        <w:tc>
          <w:tcPr>
            <w:tcW w:w="1060" w:type="dxa"/>
            <w:noWrap w:val="0"/>
            <w:vAlign w:val="center"/>
          </w:tcPr>
          <w:p w14:paraId="03CB3665">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950" w:type="dxa"/>
            <w:noWrap w:val="0"/>
            <w:vAlign w:val="center"/>
          </w:tcPr>
          <w:p w14:paraId="271EE9E6">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Leq（A）</w:t>
            </w:r>
          </w:p>
        </w:tc>
        <w:tc>
          <w:tcPr>
            <w:tcW w:w="660" w:type="dxa"/>
            <w:noWrap w:val="0"/>
            <w:vAlign w:val="center"/>
          </w:tcPr>
          <w:p w14:paraId="294CFFAD">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手动监测</w:t>
            </w:r>
          </w:p>
        </w:tc>
        <w:tc>
          <w:tcPr>
            <w:tcW w:w="740" w:type="dxa"/>
            <w:noWrap w:val="0"/>
            <w:vAlign w:val="center"/>
          </w:tcPr>
          <w:p w14:paraId="79876E74">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c>
          <w:tcPr>
            <w:tcW w:w="650" w:type="dxa"/>
            <w:noWrap w:val="0"/>
            <w:vAlign w:val="center"/>
          </w:tcPr>
          <w:p w14:paraId="1CF2DB87">
            <w:pPr>
              <w:keepNext w:val="0"/>
              <w:keepLines w:val="0"/>
              <w:suppressLineNumbers w:val="0"/>
              <w:tabs>
                <w:tab w:val="left" w:pos="1890"/>
              </w:tabs>
              <w:spacing w:before="0" w:beforeAutospacing="0" w:after="0" w:afterAutospacing="0" w:line="300" w:lineRule="exact"/>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560" w:type="dxa"/>
            <w:noWrap w:val="0"/>
            <w:vAlign w:val="center"/>
          </w:tcPr>
          <w:p w14:paraId="309A3116">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1120" w:type="dxa"/>
            <w:noWrap w:val="0"/>
            <w:vAlign w:val="center"/>
          </w:tcPr>
          <w:p w14:paraId="08ADC967">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847" w:type="dxa"/>
            <w:noWrap w:val="0"/>
            <w:vAlign w:val="center"/>
          </w:tcPr>
          <w:p w14:paraId="5D3A1E39">
            <w:pPr>
              <w:keepNext w:val="0"/>
              <w:keepLines w:val="0"/>
              <w:suppressLineNumbers w:val="0"/>
              <w:spacing w:before="0" w:beforeAutospacing="0" w:after="0" w:afterAutospacing="0" w:line="300" w:lineRule="exact"/>
              <w:ind w:left="-105" w:leftChars="-50" w:right="-105" w:rightChars="-50"/>
              <w:jc w:val="center"/>
              <w:rPr>
                <w:rFonts w:hint="default" w:ascii="Times New Roman" w:hAnsi="Times New Roman" w:eastAsia="宋体" w:cs="Times New Roman"/>
                <w:color w:val="auto"/>
                <w:kern w:val="0"/>
                <w:lang w:val="en-US" w:eastAsia="zh-CN"/>
              </w:rPr>
            </w:pPr>
            <w:r>
              <w:rPr>
                <w:rFonts w:hint="default" w:ascii="Times New Roman" w:hAnsi="Times New Roman" w:eastAsia="宋体" w:cs="Times New Roman"/>
                <w:color w:val="auto"/>
              </w:rPr>
              <w:t>昼</w:t>
            </w:r>
            <w:r>
              <w:rPr>
                <w:rFonts w:hint="default" w:ascii="Times New Roman" w:hAnsi="Times New Roman" w:eastAsia="宋体" w:cs="Times New Roman"/>
                <w:color w:val="auto"/>
                <w:lang w:val="en-US" w:eastAsia="zh-CN"/>
              </w:rPr>
              <w:t>间一次</w:t>
            </w:r>
          </w:p>
        </w:tc>
        <w:tc>
          <w:tcPr>
            <w:tcW w:w="550" w:type="dxa"/>
            <w:noWrap w:val="0"/>
            <w:vAlign w:val="center"/>
          </w:tcPr>
          <w:p w14:paraId="78D8C50A">
            <w:pPr>
              <w:keepNext w:val="0"/>
              <w:keepLines w:val="0"/>
              <w:suppressLineNumbers w:val="0"/>
              <w:spacing w:before="0" w:beforeAutospacing="0" w:after="0" w:afterAutospacing="0" w:line="300" w:lineRule="exact"/>
              <w:ind w:left="-105" w:leftChars="-50" w:right="-105" w:rightChars="-50"/>
              <w:jc w:val="center"/>
              <w:rPr>
                <w:rStyle w:val="353"/>
                <w:rFonts w:hint="default" w:ascii="Times New Roman" w:hAnsi="Times New Roman" w:eastAsia="宋体" w:cs="Times New Roman"/>
                <w:color w:val="auto"/>
              </w:rPr>
            </w:pPr>
            <w:r>
              <w:rPr>
                <w:rFonts w:hint="default" w:ascii="Times New Roman" w:hAnsi="Times New Roman" w:eastAsia="宋体" w:cs="Times New Roman"/>
                <w:color w:val="auto"/>
              </w:rPr>
              <w:t>1次/季度</w:t>
            </w:r>
          </w:p>
        </w:tc>
        <w:tc>
          <w:tcPr>
            <w:tcW w:w="3940" w:type="dxa"/>
            <w:noWrap w:val="0"/>
            <w:vAlign w:val="center"/>
          </w:tcPr>
          <w:p w14:paraId="3A763C3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lang w:val="en-US"/>
              </w:rPr>
            </w:pPr>
            <w:r>
              <w:rPr>
                <w:rFonts w:hint="default" w:ascii="Times New Roman" w:hAnsi="Times New Roman" w:eastAsia="宋体" w:cs="Times New Roman"/>
                <w:color w:val="auto"/>
                <w:sz w:val="21"/>
                <w:szCs w:val="21"/>
                <w:lang w:val="zh-CN" w:eastAsia="zh-CN"/>
              </w:rPr>
              <w:t>《</w:t>
            </w:r>
            <w:r>
              <w:rPr>
                <w:rFonts w:hint="default" w:ascii="Times New Roman" w:hAnsi="Times New Roman" w:eastAsia="宋体" w:cs="Times New Roman"/>
                <w:color w:val="auto"/>
                <w:sz w:val="21"/>
                <w:szCs w:val="21"/>
                <w:lang w:val="en-US" w:eastAsia="zh-CN"/>
              </w:rPr>
              <w:t>工业企业厂界环境噪声排放标准</w:t>
            </w:r>
            <w:r>
              <w:rPr>
                <w:rFonts w:hint="default" w:ascii="Times New Roman" w:hAnsi="Times New Roman" w:eastAsia="宋体" w:cs="Times New Roman"/>
                <w:color w:val="auto"/>
                <w:sz w:val="21"/>
                <w:szCs w:val="21"/>
                <w:lang w:val="zh-CN" w:eastAsia="zh-CN"/>
              </w:rPr>
              <w:t>》（</w:t>
            </w:r>
            <w:r>
              <w:rPr>
                <w:rFonts w:hint="default" w:ascii="Times New Roman" w:hAnsi="Times New Roman" w:eastAsia="宋体" w:cs="Times New Roman"/>
                <w:color w:val="auto"/>
                <w:sz w:val="21"/>
                <w:szCs w:val="21"/>
                <w:lang w:val="en-US" w:eastAsia="zh-CN"/>
              </w:rPr>
              <w:t>GB12348-2008</w:t>
            </w:r>
            <w:r>
              <w:rPr>
                <w:rFonts w:hint="default" w:ascii="Times New Roman" w:hAnsi="Times New Roman" w:eastAsia="宋体" w:cs="Times New Roman"/>
                <w:color w:val="auto"/>
                <w:sz w:val="21"/>
                <w:szCs w:val="21"/>
                <w:lang w:val="zh-CN" w:eastAsia="zh-CN"/>
              </w:rPr>
              <w:t>）</w:t>
            </w:r>
            <w:r>
              <w:rPr>
                <w:rFonts w:hint="default" w:ascii="Times New Roman" w:hAnsi="Times New Roman" w:eastAsia="宋体" w:cs="Times New Roman"/>
                <w:color w:val="auto"/>
                <w:sz w:val="21"/>
                <w:szCs w:val="21"/>
                <w:lang w:val="en-US" w:eastAsia="zh-CN"/>
              </w:rPr>
              <w:t>3类标准</w:t>
            </w:r>
          </w:p>
        </w:tc>
        <w:tc>
          <w:tcPr>
            <w:tcW w:w="401" w:type="dxa"/>
            <w:noWrap w:val="0"/>
            <w:vAlign w:val="center"/>
          </w:tcPr>
          <w:p w14:paraId="391F2AFF">
            <w:pPr>
              <w:keepNext w:val="0"/>
              <w:keepLines w:val="0"/>
              <w:suppressLineNumbers w:val="0"/>
              <w:tabs>
                <w:tab w:val="left" w:pos="1890"/>
              </w:tabs>
              <w:spacing w:before="0" w:beforeAutospacing="0" w:after="0" w:afterAutospacing="0"/>
              <w:ind w:left="-63" w:leftChars="-30" w:right="-63" w:rightChars="-3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r>
    </w:tbl>
    <w:p w14:paraId="405A7B41">
      <w:pPr>
        <w:rPr>
          <w:rFonts w:hint="default" w:ascii="Times New Roman" w:hAnsi="Times New Roman" w:eastAsia="宋体" w:cs="Times New Roman"/>
          <w:snapToGrid w:val="0"/>
          <w:color w:val="FF0000"/>
          <w:kern w:val="21"/>
          <w:sz w:val="24"/>
        </w:rPr>
      </w:pPr>
    </w:p>
    <w:p w14:paraId="0106E781">
      <w:pPr>
        <w:pStyle w:val="2"/>
        <w:rPr>
          <w:rFonts w:hint="default"/>
          <w:color w:val="FF0000"/>
        </w:rPr>
      </w:pPr>
    </w:p>
    <w:sectPr>
      <w:headerReference r:id="rId17" w:type="default"/>
      <w:footerReference r:id="rId18" w:type="default"/>
      <w:pgSz w:w="16838" w:h="11906" w:orient="landscape"/>
      <w:pgMar w:top="1417" w:right="1417" w:bottom="1417" w:left="1417" w:header="851" w:footer="850" w:gutter="0"/>
      <w:pgBorders>
        <w:top w:val="none" w:sz="0" w:space="0"/>
        <w:left w:val="none" w:sz="0" w:space="0"/>
        <w:bottom w:val="none" w:sz="0" w:space="0"/>
        <w:right w:val="none" w:sz="0" w:space="0"/>
      </w:pgBorders>
      <w:cols w:space="720" w:num="1"/>
      <w:docGrid w:linePitch="312" w:charSpace="0"/>
    </w:sectPr>
  </w:body>
</w:document>
</file>

<file path=word/customizations.xml><?xml version="1.0" encoding="utf-8"?>
<wne:tcg xmlns:r="http://schemas.openxmlformats.org/officeDocument/2006/relationships" xmlns:wne="http://schemas.microsoft.com/office/word/2006/wordml">
  <wne:keymaps>
    <wne:keymap wne:kcmPrimary="0632">
      <wne:acd wne:acdName="acd0"/>
    </wne:keymap>
    <wne:keymap wne:kcmPrimary="0630">
      <wne:acd wne:acdName="acd1"/>
    </wne:keymap>
  </wne:keymaps>
  <wne:acds>
    <wne:acd wne:argValue="AgBoiDxoNFk=" wne:acdName="acd0" wne:fciIndexBasedOn="0065"/>
    <wne:acd wne:argValue="AgClYkpUZk4tAGNrh2U=" wne:acdName="acd1"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A2A6271-88B7-4021-9E55-5AA53DC14C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西文正文">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中文正文">
    <w:altName w:val="AMGD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KaiTi_GB2312">
    <w:altName w:val="楷体"/>
    <w:panose1 w:val="02010609060101010101"/>
    <w:charset w:val="86"/>
    <w:family w:val="modern"/>
    <w:pitch w:val="default"/>
    <w:sig w:usb0="00000000" w:usb1="00000000" w:usb2="00000016" w:usb3="00000000" w:csb0="00040001" w:csb1="00000000"/>
  </w:font>
  <w:font w:name="楷体">
    <w:panose1 w:val="02010609060101010101"/>
    <w:charset w:val="86"/>
    <w:family w:val="modern"/>
    <w:pitch w:val="default"/>
    <w:sig w:usb0="800002BF" w:usb1="38CF7CFA" w:usb2="00000016" w:usb3="00000000" w:csb0="00040001" w:csb1="00000000"/>
  </w:font>
  <w:font w:name="FangSong_GB2312">
    <w:altName w:val="仿宋"/>
    <w:panose1 w:val="02010609060101010101"/>
    <w:charset w:val="86"/>
    <w:family w:val="modern"/>
    <w:pitch w:val="default"/>
    <w:sig w:usb0="00000000" w:usb1="00000000" w:usb2="00000016" w:usb3="00000000" w:csb0="00040001" w:csb1="00000000"/>
  </w:font>
  <w:font w:name="TimesNewRoman">
    <w:altName w:val="Times New Roman"/>
    <w:panose1 w:val="00000000000000000000"/>
    <w:charset w:val="00"/>
    <w:family w:val="roman"/>
    <w:pitch w:val="default"/>
    <w:sig w:usb0="00000000" w:usb1="00000000" w:usb2="00000010" w:usb3="00000000" w:csb0="00040001" w:csb1="00000000"/>
  </w:font>
  <w:font w:name="华文中宋">
    <w:panose1 w:val="02010600040101010101"/>
    <w:charset w:val="86"/>
    <w:family w:val="auto"/>
    <w:pitch w:val="default"/>
    <w:sig w:usb0="00000287" w:usb1="080F0000" w:usb2="00000000" w:usb3="00000000" w:csb0="0004009F" w:csb1="DFD70000"/>
  </w:font>
  <w:font w:name="ºÚÌå">
    <w:altName w:val="Arial"/>
    <w:panose1 w:val="00000000000000000000"/>
    <w:charset w:val="00"/>
    <w:family w:val="swiss"/>
    <w:pitch w:val="default"/>
    <w:sig w:usb0="00000000" w:usb1="00000000" w:usb2="00000000" w:usb3="00000000" w:csb0="00000001" w:csb1="0000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tim">
    <w:altName w:val="Times New Roman"/>
    <w:panose1 w:val="00000000000000000000"/>
    <w:charset w:val="00"/>
    <w:family w:val="roman"/>
    <w:pitch w:val="default"/>
    <w:sig w:usb0="00000000" w:usb1="00000000" w:usb2="00000000" w:usb3="00000000" w:csb0="0000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Lucida Console">
    <w:panose1 w:val="020B0609040504020204"/>
    <w:charset w:val="00"/>
    <w:family w:val="modern"/>
    <w:pitch w:val="default"/>
    <w:sig w:usb0="8000028F" w:usb1="00001800" w:usb2="00000000" w:usb3="00000000" w:csb0="0000001F" w:csb1="D7D70000"/>
  </w:font>
  <w:font w:name="新宋体">
    <w:panose1 w:val="02010609030101010101"/>
    <w:charset w:val="86"/>
    <w:family w:val="modern"/>
    <w:pitch w:val="default"/>
    <w:sig w:usb0="00000203" w:usb1="288F0000" w:usb2="00000006" w:usb3="00000000" w:csb0="00040001" w:csb1="00000000"/>
  </w:font>
  <w:font w:name="Wingdings 2">
    <w:panose1 w:val="05020102010507070707"/>
    <w:charset w:val="02"/>
    <w:family w:val="auto"/>
    <w:pitch w:val="default"/>
    <w:sig w:usb0="00000000" w:usb1="00000000" w:usb2="00000000" w:usb3="00000000" w:csb0="80000000" w:csb1="00000000"/>
    <w:embedRegular r:id="rId2" w:fontKey="{391EFEDF-2DBD-4B61-9FC5-1F8E4258418C}"/>
  </w:font>
  <w:font w:name="TimesNewRomanPSMT">
    <w:altName w:val="Times New Roman"/>
    <w:panose1 w:val="00000000000000000000"/>
    <w:charset w:val="00"/>
    <w:family w:val="auto"/>
    <w:pitch w:val="default"/>
    <w:sig w:usb0="00000000" w:usb1="00000000" w:usb2="00000000" w:usb3="00000000" w:csb0="00040001" w:csb1="00000000"/>
    <w:embedRegular r:id="rId3" w:fontKey="{23F71687-F24A-47AB-B0F6-A23C8C03BE2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69B28">
    <w:pPr>
      <w:pStyle w:val="32"/>
    </w:pPr>
    <w:r>
      <w:pict>
        <v:shape id="文本框 8202" o:spid="_x0000_s9226" o:spt="202" type="#_x0000_t202" style="position:absolute;left:0pt;margin-top:-18.5pt;height:18.45pt;width:2.3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w:txbxContent>
              <w:p w14:paraId="6F51E41B">
                <w:pPr>
                  <w:pStyle w:val="32"/>
                  <w:rPr>
                    <w:rStyle w:val="56"/>
                  </w:rPr>
                </w:pPr>
                <w:r>
                  <w:rPr>
                    <w:rStyle w:val="56"/>
                  </w:rPr>
                  <w:fldChar w:fldCharType="begin"/>
                </w:r>
                <w:r>
                  <w:rPr>
                    <w:rStyle w:val="56"/>
                  </w:rPr>
                  <w:instrText xml:space="preserve">PAGE  </w:instrText>
                </w:r>
                <w:r>
                  <w:rPr>
                    <w:rStyle w:val="56"/>
                  </w:rPr>
                  <w:fldChar w:fldCharType="separate"/>
                </w:r>
                <w:r>
                  <w:rPr>
                    <w:rStyle w:val="56"/>
                  </w:rPr>
                  <w:t>I</w:t>
                </w:r>
                <w:r>
                  <w:rPr>
                    <w:rStyle w:val="56"/>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46029">
    <w:pPr>
      <w:pStyle w:val="32"/>
    </w:pPr>
    <w:r>
      <w:pict>
        <v:shape id="文本框 8201" o:spid="_x0000_s9225" o:spt="202" type="#_x0000_t202" style="position:absolute;left:0pt;margin-top:-18.5pt;height:18.45pt;width:14.15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w:txbxContent>
              <w:p w14:paraId="3165D2A8">
                <w:pPr>
                  <w:pStyle w:val="32"/>
                  <w:rPr>
                    <w:rStyle w:val="56"/>
                  </w:rPr>
                </w:pPr>
                <w:r>
                  <w:rPr>
                    <w:rStyle w:val="56"/>
                  </w:rPr>
                  <w:fldChar w:fldCharType="begin"/>
                </w:r>
                <w:r>
                  <w:rPr>
                    <w:rStyle w:val="56"/>
                  </w:rPr>
                  <w:instrText xml:space="preserve">PAGE  </w:instrText>
                </w:r>
                <w:r>
                  <w:rPr>
                    <w:rStyle w:val="56"/>
                  </w:rPr>
                  <w:fldChar w:fldCharType="separate"/>
                </w:r>
                <w:r>
                  <w:rPr>
                    <w:rStyle w:val="56"/>
                  </w:rPr>
                  <w:t>- 9 -</w:t>
                </w:r>
                <w:r>
                  <w:rPr>
                    <w:rStyle w:val="56"/>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2E271">
    <w:pPr>
      <w:pStyle w:val="32"/>
    </w:pPr>
    <w:r>
      <w:pict>
        <v:shape id="文本框 8198" o:spid="_x0000_s9222" o:spt="202" type="#_x0000_t202" style="position:absolute;left:0pt;margin-top:-18.5pt;height:21.95pt;width:18.75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70DC7356">
                <w:pPr>
                  <w:pStyle w:val="32"/>
                  <w:rPr>
                    <w:rStyle w:val="56"/>
                  </w:rPr>
                </w:pPr>
                <w:r>
                  <w:rPr>
                    <w:rStyle w:val="56"/>
                  </w:rPr>
                  <w:fldChar w:fldCharType="begin"/>
                </w:r>
                <w:r>
                  <w:rPr>
                    <w:rStyle w:val="56"/>
                  </w:rPr>
                  <w:instrText xml:space="preserve">PAGE  </w:instrText>
                </w:r>
                <w:r>
                  <w:rPr>
                    <w:rStyle w:val="56"/>
                  </w:rPr>
                  <w:fldChar w:fldCharType="separate"/>
                </w:r>
                <w:r>
                  <w:rPr>
                    <w:rStyle w:val="56"/>
                  </w:rPr>
                  <w:t>- 21 -</w:t>
                </w:r>
                <w:r>
                  <w:rPr>
                    <w:rStyle w:val="56"/>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C45E3">
    <w:pPr>
      <w:pStyle w:val="32"/>
    </w:pPr>
    <w:r>
      <w:pict>
        <v:shape id="文本框 8199" o:spid="_x0000_s9223" o:spt="202" type="#_x0000_t202" style="position:absolute;left:0pt;margin-left:215.95pt;margin-top:-14.55pt;height:13.35pt;width:18.75pt;mso-position-horizontal-relative:margin;mso-wrap-style:none;z-index:251661312;mso-width-relative:page;mso-height-relative:page;" filled="f" stroked="f" coordsize="21600,21600">
          <v:path/>
          <v:fill on="f" focussize="0,0"/>
          <v:stroke on="f"/>
          <v:imagedata o:title=""/>
          <o:lock v:ext="edit" aspectratio="f"/>
          <v:textbox inset="0mm,0mm,0mm,0mm">
            <w:txbxContent>
              <w:p w14:paraId="4CF8EDE4">
                <w:pPr>
                  <w:pStyle w:val="32"/>
                  <w:rPr>
                    <w:rStyle w:val="56"/>
                  </w:rPr>
                </w:pPr>
                <w:r>
                  <w:rPr>
                    <w:rStyle w:val="56"/>
                  </w:rPr>
                  <w:fldChar w:fldCharType="begin"/>
                </w:r>
                <w:r>
                  <w:rPr>
                    <w:rStyle w:val="56"/>
                  </w:rPr>
                  <w:instrText xml:space="preserve">PAGE  </w:instrText>
                </w:r>
                <w:r>
                  <w:rPr>
                    <w:rStyle w:val="56"/>
                  </w:rPr>
                  <w:fldChar w:fldCharType="separate"/>
                </w:r>
                <w:r>
                  <w:rPr>
                    <w:rStyle w:val="56"/>
                  </w:rPr>
                  <w:t>- 65 -</w:t>
                </w:r>
                <w:r>
                  <w:rPr>
                    <w:rStyle w:val="56"/>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ED24B">
    <w:pPr>
      <w:pStyle w:val="32"/>
      <w:ind w:right="360" w:firstLine="360"/>
      <w:jc w:val="both"/>
    </w:pPr>
    <w:r>
      <w:pict>
        <v:shape id="文本框 8203" o:spid="_x0000_s9227" o:spt="202" type="#_x0000_t202" style="position:absolute;left:0pt;margin-left:345.6pt;margin-top:-14.5pt;height:21.95pt;width:9.15pt;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7232D37F">
                <w:pPr>
                  <w:pStyle w:val="32"/>
                </w:pPr>
                <w:r>
                  <w:fldChar w:fldCharType="begin"/>
                </w:r>
                <w:r>
                  <w:instrText xml:space="preserve"> PAGE  \* MERGEFORMAT </w:instrText>
                </w:r>
                <w:r>
                  <w:fldChar w:fldCharType="separate"/>
                </w:r>
                <w:r>
                  <w:t>73</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61CB8">
    <w:pPr>
      <w:pStyle w:val="32"/>
      <w:ind w:right="360" w:firstLine="360"/>
      <w:jc w:val="both"/>
    </w:pPr>
    <w:r>
      <w:pict>
        <v:shape id="文本框 8200" o:spid="_x0000_s11264" o:spt="202" type="#_x0000_t202" style="position:absolute;left:0pt;margin-top:-18.5pt;height:21.95pt;width:18.75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14:paraId="4F05A9D8">
                <w:pPr>
                  <w:pStyle w:val="32"/>
                  <w:rPr>
                    <w:rStyle w:val="56"/>
                  </w:rPr>
                </w:pPr>
                <w:r>
                  <w:rPr>
                    <w:rStyle w:val="56"/>
                  </w:rPr>
                  <w:fldChar w:fldCharType="begin"/>
                </w:r>
                <w:r>
                  <w:rPr>
                    <w:rStyle w:val="56"/>
                  </w:rPr>
                  <w:instrText xml:space="preserve">PAGE  </w:instrText>
                </w:r>
                <w:r>
                  <w:rPr>
                    <w:rStyle w:val="56"/>
                  </w:rPr>
                  <w:fldChar w:fldCharType="separate"/>
                </w:r>
                <w:r>
                  <w:rPr>
                    <w:rStyle w:val="56"/>
                  </w:rPr>
                  <w:t>- 67 -</w:t>
                </w:r>
                <w:r>
                  <w:rPr>
                    <w:rStyle w:val="56"/>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CAACD">
    <w:pPr>
      <w:pStyle w:val="32"/>
      <w:ind w:right="360" w:firstLine="360"/>
      <w:jc w:val="both"/>
    </w:pPr>
    <w:r>
      <w:pict>
        <v:shape id="_x0000_s11265" o:spid="_x0000_s11265" o:spt="202" type="#_x0000_t202" style="position:absolute;left:0pt;margin-left:345.6pt;margin-top:-14.5pt;height:21.95pt;width:9.15pt;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14:paraId="5CA0159F">
                <w:pPr>
                  <w:pStyle w:val="32"/>
                </w:pPr>
                <w:r>
                  <w:fldChar w:fldCharType="begin"/>
                </w:r>
                <w:r>
                  <w:instrText xml:space="preserve"> PAGE  \* MERGEFORMAT </w:instrText>
                </w:r>
                <w:r>
                  <w:fldChar w:fldCharType="separate"/>
                </w:r>
                <w:r>
                  <w:t>73</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1FE1A">
    <w:pPr>
      <w:pStyle w:val="34"/>
      <w:pBdr>
        <w:bottom w:val="single" w:color="auto" w:sz="6" w:space="4"/>
      </w:pBdr>
      <w:jc w:val="right"/>
    </w:pPr>
    <w:r>
      <w:rPr>
        <w:rFonts w:hint="eastAsia"/>
      </w:rPr>
      <w:t>一、项目基本情况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BCEB1">
    <w:pPr>
      <w:pStyle w:val="34"/>
      <w:pBdr>
        <w:bottom w:val="single" w:color="auto" w:sz="6" w:space="4"/>
      </w:pBdr>
      <w:wordWrap w:val="0"/>
      <w:jc w:val="right"/>
    </w:pPr>
    <w:r>
      <w:rPr>
        <w:rFonts w:hint="eastAsia"/>
      </w:rPr>
      <w:t xml:space="preserve">   二、建设项目工程分析</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A13E1">
    <w:pPr>
      <w:pStyle w:val="34"/>
      <w:pBdr>
        <w:bottom w:val="single" w:color="auto" w:sz="6" w:space="4"/>
      </w:pBdr>
      <w:spacing w:line="200" w:lineRule="exact"/>
      <w:jc w:val="right"/>
    </w:pPr>
    <w:r>
      <w:rPr>
        <w:rFonts w:hint="eastAsia"/>
      </w:rPr>
      <w:t xml:space="preserve">                 三、区域环境质量现状、环境保护目标及评价标准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96334">
    <w:pPr>
      <w:pStyle w:val="34"/>
      <w:pBdr>
        <w:bottom w:val="single" w:color="auto" w:sz="6" w:space="4"/>
      </w:pBdr>
      <w:jc w:val="right"/>
    </w:pPr>
    <w:r>
      <w:rPr>
        <w:rFonts w:hint="eastAsia"/>
      </w:rPr>
      <w:t xml:space="preserve">   四、主要环境影响和保护措施</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23335">
    <w:pPr>
      <w:pStyle w:val="34"/>
      <w:pBdr>
        <w:bottom w:val="single" w:color="auto" w:sz="6" w:space="4"/>
      </w:pBdr>
      <w:jc w:val="right"/>
    </w:pPr>
    <w:r>
      <w:rPr>
        <w:rFonts w:hint="eastAsia"/>
      </w:rPr>
      <w:t>五、环境保护措施监督检查清单</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F94F2">
    <w:pPr>
      <w:pStyle w:val="34"/>
      <w:pBdr>
        <w:bottom w:val="single" w:color="auto" w:sz="6" w:space="4"/>
      </w:pBdr>
      <w:jc w:val="right"/>
    </w:pPr>
    <w:r>
      <w:rPr>
        <w:rFonts w:hint="eastAsia"/>
      </w:rPr>
      <w:t>六、结论</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2036E">
    <w:pPr>
      <w:pStyle w:val="34"/>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1987D">
    <w:pPr>
      <w:pStyle w:val="34"/>
      <w:pBdr>
        <w:bottom w:val="single" w:color="auto" w:sz="6" w:space="4"/>
      </w:pBdr>
      <w:jc w:val="right"/>
    </w:pPr>
    <w:r>
      <w:rPr>
        <w:rFonts w:hint="eastAsia"/>
      </w:rPr>
      <w:t xml:space="preserve">      环评与排污许可联动内容</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02F0D">
    <w:pPr>
      <w:pStyle w:val="34"/>
    </w:pPr>
    <w:r>
      <w:rPr>
        <w:rFonts w:hint="eastAsia"/>
      </w:rPr>
      <w:t xml:space="preserve"> 环评与排污许可联动内容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AF4B2B"/>
    <w:multiLevelType w:val="singleLevel"/>
    <w:tmpl w:val="C0AF4B2B"/>
    <w:lvl w:ilvl="0" w:tentative="0">
      <w:start w:val="1"/>
      <w:numFmt w:val="lowerLetter"/>
      <w:pStyle w:val="16"/>
      <w:suff w:val="nothing"/>
      <w:lvlText w:val="%1）"/>
      <w:lvlJc w:val="left"/>
    </w:lvl>
  </w:abstractNum>
  <w:abstractNum w:abstractNumId="1">
    <w:nsid w:val="60321DF8"/>
    <w:multiLevelType w:val="multilevel"/>
    <w:tmpl w:val="60321DF8"/>
    <w:lvl w:ilvl="0" w:tentative="0">
      <w:start w:val="2"/>
      <w:numFmt w:val="decimal"/>
      <w:pStyle w:val="461"/>
      <w:suff w:val="nothing"/>
      <w:lvlText w:val="%1、"/>
      <w:lvlJc w:val="left"/>
      <w:pPr>
        <w:ind w:left="0" w:firstLine="0"/>
      </w:pPr>
      <w:rPr>
        <w:rFonts w:hint="eastAsia" w:ascii="Times New Roman" w:hAnsi="Times New Roman" w:cs="Times New Roman"/>
        <w:b/>
        <w:bCs w:val="0"/>
        <w:i w:val="0"/>
        <w:iCs w:val="0"/>
        <w:caps w:val="0"/>
        <w:smallCaps w:val="0"/>
        <w:strike w:val="0"/>
        <w:dstrike w:val="0"/>
        <w:outline w:val="0"/>
        <w:shadow w:val="0"/>
        <w:emboss w:val="0"/>
        <w:imprint w:val="0"/>
        <w:vanish w:val="0"/>
        <w:color w:val="auto"/>
        <w:spacing w:val="0"/>
        <w:position w:val="0"/>
        <w:u w:val="none"/>
        <w:vertAlign w:val="baseline"/>
      </w:rPr>
    </w:lvl>
    <w:lvl w:ilvl="1" w:tentative="0">
      <w:start w:val="1"/>
      <w:numFmt w:val="lowerLetter"/>
      <w:lvlText w:val="%2)"/>
      <w:lvlJc w:val="left"/>
      <w:pPr>
        <w:ind w:left="982" w:hanging="420"/>
      </w:pPr>
      <w:rPr>
        <w:rFonts w:hint="eastAsia"/>
      </w:rPr>
    </w:lvl>
    <w:lvl w:ilvl="2" w:tentative="0">
      <w:start w:val="1"/>
      <w:numFmt w:val="lowerRoman"/>
      <w:lvlText w:val="%3."/>
      <w:lvlJc w:val="right"/>
      <w:pPr>
        <w:ind w:left="1402" w:hanging="420"/>
      </w:pPr>
      <w:rPr>
        <w:rFonts w:hint="eastAsia"/>
      </w:rPr>
    </w:lvl>
    <w:lvl w:ilvl="3" w:tentative="0">
      <w:start w:val="1"/>
      <w:numFmt w:val="decimal"/>
      <w:lvlText w:val="%4."/>
      <w:lvlJc w:val="left"/>
      <w:pPr>
        <w:ind w:left="1822" w:hanging="420"/>
      </w:pPr>
      <w:rPr>
        <w:rFonts w:hint="eastAsia"/>
      </w:rPr>
    </w:lvl>
    <w:lvl w:ilvl="4" w:tentative="0">
      <w:start w:val="1"/>
      <w:numFmt w:val="lowerLetter"/>
      <w:lvlText w:val="%5)"/>
      <w:lvlJc w:val="left"/>
      <w:pPr>
        <w:ind w:left="2242" w:hanging="420"/>
      </w:pPr>
      <w:rPr>
        <w:rFonts w:hint="eastAsia"/>
      </w:rPr>
    </w:lvl>
    <w:lvl w:ilvl="5" w:tentative="0">
      <w:start w:val="1"/>
      <w:numFmt w:val="lowerRoman"/>
      <w:lvlText w:val="%6."/>
      <w:lvlJc w:val="right"/>
      <w:pPr>
        <w:ind w:left="2662" w:hanging="420"/>
      </w:pPr>
      <w:rPr>
        <w:rFonts w:hint="eastAsia"/>
      </w:rPr>
    </w:lvl>
    <w:lvl w:ilvl="6" w:tentative="0">
      <w:start w:val="1"/>
      <w:numFmt w:val="decimal"/>
      <w:lvlText w:val="%7."/>
      <w:lvlJc w:val="left"/>
      <w:pPr>
        <w:ind w:left="3082" w:hanging="420"/>
      </w:pPr>
      <w:rPr>
        <w:rFonts w:hint="eastAsia"/>
      </w:rPr>
    </w:lvl>
    <w:lvl w:ilvl="7" w:tentative="0">
      <w:start w:val="1"/>
      <w:numFmt w:val="lowerLetter"/>
      <w:lvlText w:val="%8)"/>
      <w:lvlJc w:val="left"/>
      <w:pPr>
        <w:ind w:left="3502" w:hanging="420"/>
      </w:pPr>
      <w:rPr>
        <w:rFonts w:hint="eastAsia"/>
      </w:rPr>
    </w:lvl>
    <w:lvl w:ilvl="8" w:tentative="0">
      <w:start w:val="1"/>
      <w:numFmt w:val="lowerRoman"/>
      <w:lvlText w:val="%9."/>
      <w:lvlJc w:val="right"/>
      <w:pPr>
        <w:ind w:left="3922" w:hanging="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398"/>
  <w:hyphenationZone w:val="360"/>
  <w:doNotHyphenateCaps/>
  <w:drawingGridVerticalSpacing w:val="156"/>
  <w:displayHorizontalDrawingGridEvery w:val="1"/>
  <w:displayVerticalDrawingGridEvery w:val="1"/>
  <w:noPunctuationKerning w:val="1"/>
  <w:characterSpacingControl w:val="doNotCompress"/>
  <w:noLineBreaksAfter w:lang="zh-CN" w:val="([{·‘“〈《「『【〔〖（．［｛￡￥"/>
  <w:noLineBreaksBefore w:lang="zh-CN" w:val="!),.:;?]}¨·ˇˉ―‖’”…∶、。〃々〉》」』】〕〗！＂＇），．：；？］｀｜｝～￠"/>
  <w:doNotValidateAgainstSchema/>
  <w:doNotDemarcateInvalidXml/>
  <w:hdrShapeDefaults>
    <o:shapelayout v:ext="edit">
      <o:idmap v:ext="edit" data="9,11"/>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jExNjQ1N2M3NWI3MDI1N2NlYzQyOTEyNjhjOTRmZGMifQ=="/>
  </w:docVars>
  <w:rsids>
    <w:rsidRoot w:val="00172A27"/>
    <w:rsid w:val="000036CD"/>
    <w:rsid w:val="00004754"/>
    <w:rsid w:val="000060B3"/>
    <w:rsid w:val="00011942"/>
    <w:rsid w:val="00022082"/>
    <w:rsid w:val="00024CD5"/>
    <w:rsid w:val="00024DFC"/>
    <w:rsid w:val="00024ED1"/>
    <w:rsid w:val="00025D97"/>
    <w:rsid w:val="0002651C"/>
    <w:rsid w:val="00031B10"/>
    <w:rsid w:val="000357F1"/>
    <w:rsid w:val="00036729"/>
    <w:rsid w:val="00037A61"/>
    <w:rsid w:val="0004364B"/>
    <w:rsid w:val="00044F02"/>
    <w:rsid w:val="00045502"/>
    <w:rsid w:val="00054070"/>
    <w:rsid w:val="000550E6"/>
    <w:rsid w:val="00055C7A"/>
    <w:rsid w:val="000566B5"/>
    <w:rsid w:val="0006020C"/>
    <w:rsid w:val="00061B1F"/>
    <w:rsid w:val="00063E6C"/>
    <w:rsid w:val="00065BC2"/>
    <w:rsid w:val="000663E2"/>
    <w:rsid w:val="00070795"/>
    <w:rsid w:val="00072415"/>
    <w:rsid w:val="000733C4"/>
    <w:rsid w:val="00074506"/>
    <w:rsid w:val="00074783"/>
    <w:rsid w:val="00076393"/>
    <w:rsid w:val="00076936"/>
    <w:rsid w:val="0007699A"/>
    <w:rsid w:val="0008070B"/>
    <w:rsid w:val="00080A06"/>
    <w:rsid w:val="000810AC"/>
    <w:rsid w:val="00081A02"/>
    <w:rsid w:val="00082231"/>
    <w:rsid w:val="000823F7"/>
    <w:rsid w:val="000924E7"/>
    <w:rsid w:val="0009276C"/>
    <w:rsid w:val="00092D38"/>
    <w:rsid w:val="0009377B"/>
    <w:rsid w:val="00095615"/>
    <w:rsid w:val="0009656C"/>
    <w:rsid w:val="000A20C9"/>
    <w:rsid w:val="000A4B31"/>
    <w:rsid w:val="000A4FFB"/>
    <w:rsid w:val="000A58AD"/>
    <w:rsid w:val="000A6F1D"/>
    <w:rsid w:val="000A7C3C"/>
    <w:rsid w:val="000A7E40"/>
    <w:rsid w:val="000B058F"/>
    <w:rsid w:val="000B4467"/>
    <w:rsid w:val="000B4DB9"/>
    <w:rsid w:val="000B53B7"/>
    <w:rsid w:val="000B77EF"/>
    <w:rsid w:val="000C09AC"/>
    <w:rsid w:val="000C0D60"/>
    <w:rsid w:val="000C131D"/>
    <w:rsid w:val="000C198D"/>
    <w:rsid w:val="000C37C1"/>
    <w:rsid w:val="000C4404"/>
    <w:rsid w:val="000C47B1"/>
    <w:rsid w:val="000C4B2C"/>
    <w:rsid w:val="000C4EDF"/>
    <w:rsid w:val="000C5737"/>
    <w:rsid w:val="000C767F"/>
    <w:rsid w:val="000C7AE5"/>
    <w:rsid w:val="000D0839"/>
    <w:rsid w:val="000D5A44"/>
    <w:rsid w:val="000E0A25"/>
    <w:rsid w:val="000E1787"/>
    <w:rsid w:val="000E29A8"/>
    <w:rsid w:val="000E2BB4"/>
    <w:rsid w:val="000E3ED2"/>
    <w:rsid w:val="000E55D1"/>
    <w:rsid w:val="000E5E1E"/>
    <w:rsid w:val="000F1D7D"/>
    <w:rsid w:val="000F2081"/>
    <w:rsid w:val="000F3E7F"/>
    <w:rsid w:val="0010153A"/>
    <w:rsid w:val="00106121"/>
    <w:rsid w:val="0010738C"/>
    <w:rsid w:val="001118DB"/>
    <w:rsid w:val="0011260E"/>
    <w:rsid w:val="00112ACA"/>
    <w:rsid w:val="0011320F"/>
    <w:rsid w:val="001147F8"/>
    <w:rsid w:val="00116E78"/>
    <w:rsid w:val="0011763D"/>
    <w:rsid w:val="0011779F"/>
    <w:rsid w:val="00120E0E"/>
    <w:rsid w:val="00122D14"/>
    <w:rsid w:val="001259D6"/>
    <w:rsid w:val="00125E81"/>
    <w:rsid w:val="001301AF"/>
    <w:rsid w:val="00131F42"/>
    <w:rsid w:val="001324B0"/>
    <w:rsid w:val="00133B7D"/>
    <w:rsid w:val="001345F5"/>
    <w:rsid w:val="001346AF"/>
    <w:rsid w:val="001357F1"/>
    <w:rsid w:val="00140059"/>
    <w:rsid w:val="00140640"/>
    <w:rsid w:val="00140793"/>
    <w:rsid w:val="00140FA8"/>
    <w:rsid w:val="001419C4"/>
    <w:rsid w:val="00142FEB"/>
    <w:rsid w:val="00143A2D"/>
    <w:rsid w:val="00145A41"/>
    <w:rsid w:val="00145A8F"/>
    <w:rsid w:val="00147D21"/>
    <w:rsid w:val="00150757"/>
    <w:rsid w:val="00150BD2"/>
    <w:rsid w:val="00151675"/>
    <w:rsid w:val="001528F3"/>
    <w:rsid w:val="00155667"/>
    <w:rsid w:val="00157435"/>
    <w:rsid w:val="001610F6"/>
    <w:rsid w:val="00163AFF"/>
    <w:rsid w:val="0016462F"/>
    <w:rsid w:val="00167F2A"/>
    <w:rsid w:val="00173171"/>
    <w:rsid w:val="001733EB"/>
    <w:rsid w:val="0017504D"/>
    <w:rsid w:val="001766C6"/>
    <w:rsid w:val="0017671A"/>
    <w:rsid w:val="00177422"/>
    <w:rsid w:val="001835C0"/>
    <w:rsid w:val="00184590"/>
    <w:rsid w:val="001870D1"/>
    <w:rsid w:val="0018781E"/>
    <w:rsid w:val="0019262D"/>
    <w:rsid w:val="0019540F"/>
    <w:rsid w:val="00197050"/>
    <w:rsid w:val="001A1B35"/>
    <w:rsid w:val="001A4314"/>
    <w:rsid w:val="001A48A2"/>
    <w:rsid w:val="001A5E1F"/>
    <w:rsid w:val="001A6F61"/>
    <w:rsid w:val="001B374C"/>
    <w:rsid w:val="001B72B8"/>
    <w:rsid w:val="001C0656"/>
    <w:rsid w:val="001C1407"/>
    <w:rsid w:val="001C15E1"/>
    <w:rsid w:val="001C37DF"/>
    <w:rsid w:val="001C69B3"/>
    <w:rsid w:val="001C6B82"/>
    <w:rsid w:val="001D217D"/>
    <w:rsid w:val="001D5561"/>
    <w:rsid w:val="001D5595"/>
    <w:rsid w:val="001D7874"/>
    <w:rsid w:val="001D7F22"/>
    <w:rsid w:val="001E271B"/>
    <w:rsid w:val="001E6C23"/>
    <w:rsid w:val="001F0D33"/>
    <w:rsid w:val="001F0F17"/>
    <w:rsid w:val="001F3347"/>
    <w:rsid w:val="001F448B"/>
    <w:rsid w:val="001F45C5"/>
    <w:rsid w:val="001F69E4"/>
    <w:rsid w:val="001F75B7"/>
    <w:rsid w:val="00200D30"/>
    <w:rsid w:val="00202111"/>
    <w:rsid w:val="00202CFE"/>
    <w:rsid w:val="00203369"/>
    <w:rsid w:val="00203836"/>
    <w:rsid w:val="00205E62"/>
    <w:rsid w:val="002068C0"/>
    <w:rsid w:val="00211095"/>
    <w:rsid w:val="002120C2"/>
    <w:rsid w:val="00212103"/>
    <w:rsid w:val="002125B4"/>
    <w:rsid w:val="002155B8"/>
    <w:rsid w:val="0021629B"/>
    <w:rsid w:val="00217A71"/>
    <w:rsid w:val="00217C13"/>
    <w:rsid w:val="00222268"/>
    <w:rsid w:val="002229AE"/>
    <w:rsid w:val="002244E7"/>
    <w:rsid w:val="00224839"/>
    <w:rsid w:val="00224943"/>
    <w:rsid w:val="002249B2"/>
    <w:rsid w:val="002252AB"/>
    <w:rsid w:val="00226574"/>
    <w:rsid w:val="00226DAD"/>
    <w:rsid w:val="002278EC"/>
    <w:rsid w:val="0022796C"/>
    <w:rsid w:val="00230739"/>
    <w:rsid w:val="00231ECC"/>
    <w:rsid w:val="0023280E"/>
    <w:rsid w:val="00233EF5"/>
    <w:rsid w:val="0023624A"/>
    <w:rsid w:val="002377D1"/>
    <w:rsid w:val="00240904"/>
    <w:rsid w:val="00240E38"/>
    <w:rsid w:val="00243603"/>
    <w:rsid w:val="002442FD"/>
    <w:rsid w:val="00244E0A"/>
    <w:rsid w:val="002506BC"/>
    <w:rsid w:val="00250938"/>
    <w:rsid w:val="00254345"/>
    <w:rsid w:val="00257366"/>
    <w:rsid w:val="0026017E"/>
    <w:rsid w:val="00261306"/>
    <w:rsid w:val="00264198"/>
    <w:rsid w:val="00264557"/>
    <w:rsid w:val="00264FCD"/>
    <w:rsid w:val="00266725"/>
    <w:rsid w:val="002715A0"/>
    <w:rsid w:val="0027267C"/>
    <w:rsid w:val="00272D1E"/>
    <w:rsid w:val="002731FD"/>
    <w:rsid w:val="0027540A"/>
    <w:rsid w:val="002759A9"/>
    <w:rsid w:val="00275E9D"/>
    <w:rsid w:val="00276F28"/>
    <w:rsid w:val="0027720F"/>
    <w:rsid w:val="002805AB"/>
    <w:rsid w:val="0028288F"/>
    <w:rsid w:val="00284204"/>
    <w:rsid w:val="00291773"/>
    <w:rsid w:val="002964DD"/>
    <w:rsid w:val="002974C6"/>
    <w:rsid w:val="002A065D"/>
    <w:rsid w:val="002A168C"/>
    <w:rsid w:val="002A25F9"/>
    <w:rsid w:val="002A2991"/>
    <w:rsid w:val="002A3DC7"/>
    <w:rsid w:val="002A468B"/>
    <w:rsid w:val="002B49E2"/>
    <w:rsid w:val="002B5D4B"/>
    <w:rsid w:val="002B6279"/>
    <w:rsid w:val="002B6F8A"/>
    <w:rsid w:val="002B7B00"/>
    <w:rsid w:val="002B7C44"/>
    <w:rsid w:val="002C2B17"/>
    <w:rsid w:val="002C33A4"/>
    <w:rsid w:val="002C5320"/>
    <w:rsid w:val="002C5B5D"/>
    <w:rsid w:val="002C5D6B"/>
    <w:rsid w:val="002C79D5"/>
    <w:rsid w:val="002C7D9B"/>
    <w:rsid w:val="002D0A0F"/>
    <w:rsid w:val="002D3DD0"/>
    <w:rsid w:val="002D6E1B"/>
    <w:rsid w:val="002D7587"/>
    <w:rsid w:val="002E10CA"/>
    <w:rsid w:val="002E1F3A"/>
    <w:rsid w:val="002E298A"/>
    <w:rsid w:val="002E37E8"/>
    <w:rsid w:val="002E4552"/>
    <w:rsid w:val="002E4ACF"/>
    <w:rsid w:val="002E585B"/>
    <w:rsid w:val="002E7941"/>
    <w:rsid w:val="002F6F12"/>
    <w:rsid w:val="003002D5"/>
    <w:rsid w:val="00300D52"/>
    <w:rsid w:val="00301978"/>
    <w:rsid w:val="00303032"/>
    <w:rsid w:val="0030332C"/>
    <w:rsid w:val="00303386"/>
    <w:rsid w:val="00305056"/>
    <w:rsid w:val="003051C2"/>
    <w:rsid w:val="003069CB"/>
    <w:rsid w:val="00306CB2"/>
    <w:rsid w:val="003079F0"/>
    <w:rsid w:val="0031017C"/>
    <w:rsid w:val="00310FCD"/>
    <w:rsid w:val="00312296"/>
    <w:rsid w:val="00314D69"/>
    <w:rsid w:val="00314F0E"/>
    <w:rsid w:val="00317886"/>
    <w:rsid w:val="00320FB1"/>
    <w:rsid w:val="00321D8E"/>
    <w:rsid w:val="00324C16"/>
    <w:rsid w:val="00325595"/>
    <w:rsid w:val="00325928"/>
    <w:rsid w:val="00325CC2"/>
    <w:rsid w:val="003279D9"/>
    <w:rsid w:val="00332863"/>
    <w:rsid w:val="0033684D"/>
    <w:rsid w:val="00337B42"/>
    <w:rsid w:val="00340C93"/>
    <w:rsid w:val="00341193"/>
    <w:rsid w:val="00341B42"/>
    <w:rsid w:val="00341F0D"/>
    <w:rsid w:val="00342F34"/>
    <w:rsid w:val="0034348F"/>
    <w:rsid w:val="00343C3B"/>
    <w:rsid w:val="00344B5F"/>
    <w:rsid w:val="00345C59"/>
    <w:rsid w:val="00347AEF"/>
    <w:rsid w:val="00356653"/>
    <w:rsid w:val="00356DE6"/>
    <w:rsid w:val="00357326"/>
    <w:rsid w:val="0035743F"/>
    <w:rsid w:val="00357BE2"/>
    <w:rsid w:val="0036170C"/>
    <w:rsid w:val="00361F3F"/>
    <w:rsid w:val="003663DE"/>
    <w:rsid w:val="00366E0F"/>
    <w:rsid w:val="00374109"/>
    <w:rsid w:val="003743B3"/>
    <w:rsid w:val="00377B9A"/>
    <w:rsid w:val="003811C6"/>
    <w:rsid w:val="00381A72"/>
    <w:rsid w:val="003826A6"/>
    <w:rsid w:val="00383414"/>
    <w:rsid w:val="00384676"/>
    <w:rsid w:val="00384A18"/>
    <w:rsid w:val="00385230"/>
    <w:rsid w:val="00390857"/>
    <w:rsid w:val="00390D78"/>
    <w:rsid w:val="00391AB9"/>
    <w:rsid w:val="003921DE"/>
    <w:rsid w:val="003A095D"/>
    <w:rsid w:val="003A2A11"/>
    <w:rsid w:val="003A4BF3"/>
    <w:rsid w:val="003A62C4"/>
    <w:rsid w:val="003A7814"/>
    <w:rsid w:val="003A78FD"/>
    <w:rsid w:val="003B2D73"/>
    <w:rsid w:val="003B420D"/>
    <w:rsid w:val="003B5146"/>
    <w:rsid w:val="003B5220"/>
    <w:rsid w:val="003B592C"/>
    <w:rsid w:val="003B7A03"/>
    <w:rsid w:val="003C0E1E"/>
    <w:rsid w:val="003C1E31"/>
    <w:rsid w:val="003C53B5"/>
    <w:rsid w:val="003C56DF"/>
    <w:rsid w:val="003C6C16"/>
    <w:rsid w:val="003C7245"/>
    <w:rsid w:val="003D543E"/>
    <w:rsid w:val="003D6B07"/>
    <w:rsid w:val="003D794D"/>
    <w:rsid w:val="003E0FA0"/>
    <w:rsid w:val="003E193F"/>
    <w:rsid w:val="003E3058"/>
    <w:rsid w:val="003E76A9"/>
    <w:rsid w:val="003F0809"/>
    <w:rsid w:val="003F098E"/>
    <w:rsid w:val="003F1246"/>
    <w:rsid w:val="003F305B"/>
    <w:rsid w:val="003F6A8C"/>
    <w:rsid w:val="003F755C"/>
    <w:rsid w:val="004006AD"/>
    <w:rsid w:val="0040271B"/>
    <w:rsid w:val="00402F98"/>
    <w:rsid w:val="0040554D"/>
    <w:rsid w:val="00406F01"/>
    <w:rsid w:val="00410192"/>
    <w:rsid w:val="004117D4"/>
    <w:rsid w:val="00416924"/>
    <w:rsid w:val="00416D50"/>
    <w:rsid w:val="00416FD5"/>
    <w:rsid w:val="00417772"/>
    <w:rsid w:val="00420E6A"/>
    <w:rsid w:val="004211CB"/>
    <w:rsid w:val="00421455"/>
    <w:rsid w:val="00421F20"/>
    <w:rsid w:val="004229CA"/>
    <w:rsid w:val="00425A9E"/>
    <w:rsid w:val="00425CB0"/>
    <w:rsid w:val="004262D5"/>
    <w:rsid w:val="00426D6B"/>
    <w:rsid w:val="004306C6"/>
    <w:rsid w:val="00430EB0"/>
    <w:rsid w:val="00431175"/>
    <w:rsid w:val="00431E6C"/>
    <w:rsid w:val="00433CE7"/>
    <w:rsid w:val="0043649A"/>
    <w:rsid w:val="00440D18"/>
    <w:rsid w:val="00443568"/>
    <w:rsid w:val="0045070E"/>
    <w:rsid w:val="00452738"/>
    <w:rsid w:val="00454B8D"/>
    <w:rsid w:val="00455E87"/>
    <w:rsid w:val="00456091"/>
    <w:rsid w:val="004567E5"/>
    <w:rsid w:val="0045769A"/>
    <w:rsid w:val="004601E5"/>
    <w:rsid w:val="00462D9B"/>
    <w:rsid w:val="00466321"/>
    <w:rsid w:val="004664F3"/>
    <w:rsid w:val="00466D2C"/>
    <w:rsid w:val="004673DB"/>
    <w:rsid w:val="00471590"/>
    <w:rsid w:val="00474009"/>
    <w:rsid w:val="004741BD"/>
    <w:rsid w:val="00474537"/>
    <w:rsid w:val="00481168"/>
    <w:rsid w:val="00481AE7"/>
    <w:rsid w:val="0048253F"/>
    <w:rsid w:val="00482BDD"/>
    <w:rsid w:val="00484B9B"/>
    <w:rsid w:val="004855F6"/>
    <w:rsid w:val="0048661E"/>
    <w:rsid w:val="0049448A"/>
    <w:rsid w:val="00494670"/>
    <w:rsid w:val="0049739D"/>
    <w:rsid w:val="004A0958"/>
    <w:rsid w:val="004A2584"/>
    <w:rsid w:val="004A3823"/>
    <w:rsid w:val="004A5017"/>
    <w:rsid w:val="004A70BE"/>
    <w:rsid w:val="004B2982"/>
    <w:rsid w:val="004B4474"/>
    <w:rsid w:val="004C0C7C"/>
    <w:rsid w:val="004C53F1"/>
    <w:rsid w:val="004C7FAA"/>
    <w:rsid w:val="004E2738"/>
    <w:rsid w:val="004E2BD8"/>
    <w:rsid w:val="004E3887"/>
    <w:rsid w:val="004E6946"/>
    <w:rsid w:val="004F191F"/>
    <w:rsid w:val="004F1AD8"/>
    <w:rsid w:val="004F29FE"/>
    <w:rsid w:val="004F3FAD"/>
    <w:rsid w:val="004F61D4"/>
    <w:rsid w:val="00502134"/>
    <w:rsid w:val="005039CB"/>
    <w:rsid w:val="00503EA9"/>
    <w:rsid w:val="0050403C"/>
    <w:rsid w:val="0050558F"/>
    <w:rsid w:val="00505C5B"/>
    <w:rsid w:val="00506286"/>
    <w:rsid w:val="00506484"/>
    <w:rsid w:val="00507773"/>
    <w:rsid w:val="00510813"/>
    <w:rsid w:val="0051155F"/>
    <w:rsid w:val="00511990"/>
    <w:rsid w:val="00511DE0"/>
    <w:rsid w:val="00514870"/>
    <w:rsid w:val="00514B9B"/>
    <w:rsid w:val="005175D8"/>
    <w:rsid w:val="00517F02"/>
    <w:rsid w:val="00524303"/>
    <w:rsid w:val="005258A2"/>
    <w:rsid w:val="005266EE"/>
    <w:rsid w:val="00531772"/>
    <w:rsid w:val="00531ABE"/>
    <w:rsid w:val="00532745"/>
    <w:rsid w:val="00533ADC"/>
    <w:rsid w:val="00534476"/>
    <w:rsid w:val="005364A1"/>
    <w:rsid w:val="00536917"/>
    <w:rsid w:val="00537C49"/>
    <w:rsid w:val="005401AE"/>
    <w:rsid w:val="00540445"/>
    <w:rsid w:val="00542E07"/>
    <w:rsid w:val="005436A4"/>
    <w:rsid w:val="005438A9"/>
    <w:rsid w:val="00545424"/>
    <w:rsid w:val="00545D0F"/>
    <w:rsid w:val="00546CAE"/>
    <w:rsid w:val="00547DEC"/>
    <w:rsid w:val="005510F0"/>
    <w:rsid w:val="005539D1"/>
    <w:rsid w:val="00554875"/>
    <w:rsid w:val="00554A7B"/>
    <w:rsid w:val="00554DA1"/>
    <w:rsid w:val="00554F70"/>
    <w:rsid w:val="00554FD5"/>
    <w:rsid w:val="0055546E"/>
    <w:rsid w:val="0055572C"/>
    <w:rsid w:val="005561EE"/>
    <w:rsid w:val="0056106A"/>
    <w:rsid w:val="0056387F"/>
    <w:rsid w:val="0056409D"/>
    <w:rsid w:val="00570652"/>
    <w:rsid w:val="005720AE"/>
    <w:rsid w:val="00574427"/>
    <w:rsid w:val="005777C0"/>
    <w:rsid w:val="00577B1E"/>
    <w:rsid w:val="00580294"/>
    <w:rsid w:val="00581527"/>
    <w:rsid w:val="00585C6C"/>
    <w:rsid w:val="00585E2D"/>
    <w:rsid w:val="00586457"/>
    <w:rsid w:val="00587ED8"/>
    <w:rsid w:val="00591648"/>
    <w:rsid w:val="00594031"/>
    <w:rsid w:val="00594D77"/>
    <w:rsid w:val="005969E4"/>
    <w:rsid w:val="005A06B7"/>
    <w:rsid w:val="005A1759"/>
    <w:rsid w:val="005A6044"/>
    <w:rsid w:val="005A68A7"/>
    <w:rsid w:val="005A701B"/>
    <w:rsid w:val="005B268A"/>
    <w:rsid w:val="005B3A9F"/>
    <w:rsid w:val="005B647D"/>
    <w:rsid w:val="005B7E4B"/>
    <w:rsid w:val="005C160C"/>
    <w:rsid w:val="005C2BFC"/>
    <w:rsid w:val="005C3787"/>
    <w:rsid w:val="005C53A0"/>
    <w:rsid w:val="005C6CC7"/>
    <w:rsid w:val="005D2A0D"/>
    <w:rsid w:val="005D36AB"/>
    <w:rsid w:val="005D37EF"/>
    <w:rsid w:val="005E120E"/>
    <w:rsid w:val="005E16BE"/>
    <w:rsid w:val="005E1C65"/>
    <w:rsid w:val="005E2C7C"/>
    <w:rsid w:val="005E6C06"/>
    <w:rsid w:val="005E6FE6"/>
    <w:rsid w:val="005E7F97"/>
    <w:rsid w:val="005F1043"/>
    <w:rsid w:val="005F1E3E"/>
    <w:rsid w:val="005F1FEB"/>
    <w:rsid w:val="005F218A"/>
    <w:rsid w:val="005F4585"/>
    <w:rsid w:val="005F4C53"/>
    <w:rsid w:val="005F4C76"/>
    <w:rsid w:val="005F78CD"/>
    <w:rsid w:val="005F7DFB"/>
    <w:rsid w:val="006000A6"/>
    <w:rsid w:val="006004C0"/>
    <w:rsid w:val="006021A8"/>
    <w:rsid w:val="006028CA"/>
    <w:rsid w:val="006037D0"/>
    <w:rsid w:val="00603889"/>
    <w:rsid w:val="00604454"/>
    <w:rsid w:val="00606A45"/>
    <w:rsid w:val="00606A7E"/>
    <w:rsid w:val="00606B9F"/>
    <w:rsid w:val="006104D9"/>
    <w:rsid w:val="00611DB7"/>
    <w:rsid w:val="00613E49"/>
    <w:rsid w:val="00616306"/>
    <w:rsid w:val="00617CC3"/>
    <w:rsid w:val="00617E8A"/>
    <w:rsid w:val="00627D07"/>
    <w:rsid w:val="00631884"/>
    <w:rsid w:val="00631A64"/>
    <w:rsid w:val="00631EFB"/>
    <w:rsid w:val="00632483"/>
    <w:rsid w:val="00634232"/>
    <w:rsid w:val="00634FE5"/>
    <w:rsid w:val="006377A6"/>
    <w:rsid w:val="00637A3D"/>
    <w:rsid w:val="006411EF"/>
    <w:rsid w:val="00645440"/>
    <w:rsid w:val="00646BAA"/>
    <w:rsid w:val="00653A0E"/>
    <w:rsid w:val="00654170"/>
    <w:rsid w:val="00656763"/>
    <w:rsid w:val="00663E33"/>
    <w:rsid w:val="0066779D"/>
    <w:rsid w:val="00671255"/>
    <w:rsid w:val="006713CB"/>
    <w:rsid w:val="00672002"/>
    <w:rsid w:val="006748B8"/>
    <w:rsid w:val="00675164"/>
    <w:rsid w:val="00676DF4"/>
    <w:rsid w:val="006775C3"/>
    <w:rsid w:val="006805E5"/>
    <w:rsid w:val="00680B82"/>
    <w:rsid w:val="00682375"/>
    <w:rsid w:val="006922EF"/>
    <w:rsid w:val="0069290A"/>
    <w:rsid w:val="00696315"/>
    <w:rsid w:val="006975FB"/>
    <w:rsid w:val="0069775A"/>
    <w:rsid w:val="00697813"/>
    <w:rsid w:val="006A21C1"/>
    <w:rsid w:val="006A2E59"/>
    <w:rsid w:val="006A3EE8"/>
    <w:rsid w:val="006A72BF"/>
    <w:rsid w:val="006B03F2"/>
    <w:rsid w:val="006B28BD"/>
    <w:rsid w:val="006B37DC"/>
    <w:rsid w:val="006B4F68"/>
    <w:rsid w:val="006C0592"/>
    <w:rsid w:val="006C0D16"/>
    <w:rsid w:val="006C10D0"/>
    <w:rsid w:val="006C154B"/>
    <w:rsid w:val="006C1720"/>
    <w:rsid w:val="006C272E"/>
    <w:rsid w:val="006C36C2"/>
    <w:rsid w:val="006C5479"/>
    <w:rsid w:val="006C668D"/>
    <w:rsid w:val="006C7B3F"/>
    <w:rsid w:val="006C7EBE"/>
    <w:rsid w:val="006D13B5"/>
    <w:rsid w:val="006E12FF"/>
    <w:rsid w:val="006E3A27"/>
    <w:rsid w:val="006E44A8"/>
    <w:rsid w:val="006E4693"/>
    <w:rsid w:val="006E4FF9"/>
    <w:rsid w:val="006E550E"/>
    <w:rsid w:val="006E607E"/>
    <w:rsid w:val="006E684C"/>
    <w:rsid w:val="006F1E56"/>
    <w:rsid w:val="006F3220"/>
    <w:rsid w:val="00702313"/>
    <w:rsid w:val="00704B16"/>
    <w:rsid w:val="00706B3F"/>
    <w:rsid w:val="00706C5D"/>
    <w:rsid w:val="007118B3"/>
    <w:rsid w:val="00715991"/>
    <w:rsid w:val="007171C2"/>
    <w:rsid w:val="0072512A"/>
    <w:rsid w:val="00727078"/>
    <w:rsid w:val="00727FD6"/>
    <w:rsid w:val="00731732"/>
    <w:rsid w:val="00731932"/>
    <w:rsid w:val="00732922"/>
    <w:rsid w:val="0073400B"/>
    <w:rsid w:val="00735B20"/>
    <w:rsid w:val="00735BB6"/>
    <w:rsid w:val="00737FA8"/>
    <w:rsid w:val="007418FC"/>
    <w:rsid w:val="00746073"/>
    <w:rsid w:val="00746077"/>
    <w:rsid w:val="0075148B"/>
    <w:rsid w:val="0075162E"/>
    <w:rsid w:val="00754034"/>
    <w:rsid w:val="007563A8"/>
    <w:rsid w:val="00756556"/>
    <w:rsid w:val="00756A56"/>
    <w:rsid w:val="007600D8"/>
    <w:rsid w:val="007618C4"/>
    <w:rsid w:val="0076784C"/>
    <w:rsid w:val="00767980"/>
    <w:rsid w:val="007704C1"/>
    <w:rsid w:val="00770B19"/>
    <w:rsid w:val="0077103C"/>
    <w:rsid w:val="00771C65"/>
    <w:rsid w:val="00773AE4"/>
    <w:rsid w:val="007741B7"/>
    <w:rsid w:val="0077463F"/>
    <w:rsid w:val="00774656"/>
    <w:rsid w:val="0078241B"/>
    <w:rsid w:val="007836EA"/>
    <w:rsid w:val="0078380F"/>
    <w:rsid w:val="00784CDA"/>
    <w:rsid w:val="007868B6"/>
    <w:rsid w:val="00786E25"/>
    <w:rsid w:val="0078741C"/>
    <w:rsid w:val="00787B1A"/>
    <w:rsid w:val="00787F05"/>
    <w:rsid w:val="007906C4"/>
    <w:rsid w:val="00790ABC"/>
    <w:rsid w:val="00790E27"/>
    <w:rsid w:val="00792609"/>
    <w:rsid w:val="00792ED6"/>
    <w:rsid w:val="0079325E"/>
    <w:rsid w:val="007940EA"/>
    <w:rsid w:val="00794544"/>
    <w:rsid w:val="007966C1"/>
    <w:rsid w:val="007967E8"/>
    <w:rsid w:val="00797998"/>
    <w:rsid w:val="007A2170"/>
    <w:rsid w:val="007A22BF"/>
    <w:rsid w:val="007A3234"/>
    <w:rsid w:val="007A3323"/>
    <w:rsid w:val="007A3914"/>
    <w:rsid w:val="007A51C2"/>
    <w:rsid w:val="007A55F3"/>
    <w:rsid w:val="007B108B"/>
    <w:rsid w:val="007B1899"/>
    <w:rsid w:val="007B422D"/>
    <w:rsid w:val="007B5254"/>
    <w:rsid w:val="007B6771"/>
    <w:rsid w:val="007B72B8"/>
    <w:rsid w:val="007B74B0"/>
    <w:rsid w:val="007B7A58"/>
    <w:rsid w:val="007C0AC0"/>
    <w:rsid w:val="007C103D"/>
    <w:rsid w:val="007C21B5"/>
    <w:rsid w:val="007C287A"/>
    <w:rsid w:val="007D40F6"/>
    <w:rsid w:val="007D6AD7"/>
    <w:rsid w:val="007E19D9"/>
    <w:rsid w:val="007E21FF"/>
    <w:rsid w:val="007E3E8D"/>
    <w:rsid w:val="007E4BD2"/>
    <w:rsid w:val="007E50B8"/>
    <w:rsid w:val="007F1025"/>
    <w:rsid w:val="007F3A29"/>
    <w:rsid w:val="007F4633"/>
    <w:rsid w:val="007F58A2"/>
    <w:rsid w:val="007F7B0D"/>
    <w:rsid w:val="007F7ECC"/>
    <w:rsid w:val="00800FCC"/>
    <w:rsid w:val="00801393"/>
    <w:rsid w:val="0080273B"/>
    <w:rsid w:val="0080285C"/>
    <w:rsid w:val="00802F88"/>
    <w:rsid w:val="008037B7"/>
    <w:rsid w:val="00804DD7"/>
    <w:rsid w:val="00805708"/>
    <w:rsid w:val="008105CD"/>
    <w:rsid w:val="00810E9A"/>
    <w:rsid w:val="0081293E"/>
    <w:rsid w:val="00814033"/>
    <w:rsid w:val="00814141"/>
    <w:rsid w:val="00814E24"/>
    <w:rsid w:val="00815465"/>
    <w:rsid w:val="00817E9A"/>
    <w:rsid w:val="00817FCE"/>
    <w:rsid w:val="008217C1"/>
    <w:rsid w:val="008239C0"/>
    <w:rsid w:val="0082461D"/>
    <w:rsid w:val="008306BD"/>
    <w:rsid w:val="00831A80"/>
    <w:rsid w:val="00833743"/>
    <w:rsid w:val="008340A4"/>
    <w:rsid w:val="00843DD7"/>
    <w:rsid w:val="00847F3C"/>
    <w:rsid w:val="00850160"/>
    <w:rsid w:val="00850741"/>
    <w:rsid w:val="00852592"/>
    <w:rsid w:val="00853C5D"/>
    <w:rsid w:val="00855324"/>
    <w:rsid w:val="00860818"/>
    <w:rsid w:val="00860D64"/>
    <w:rsid w:val="00865D9F"/>
    <w:rsid w:val="00866EDD"/>
    <w:rsid w:val="00867753"/>
    <w:rsid w:val="0087135F"/>
    <w:rsid w:val="00871AA0"/>
    <w:rsid w:val="00872013"/>
    <w:rsid w:val="00872D94"/>
    <w:rsid w:val="00873C19"/>
    <w:rsid w:val="00875059"/>
    <w:rsid w:val="00880364"/>
    <w:rsid w:val="008809CA"/>
    <w:rsid w:val="00880D33"/>
    <w:rsid w:val="00881833"/>
    <w:rsid w:val="0088398A"/>
    <w:rsid w:val="00886AEE"/>
    <w:rsid w:val="00886D35"/>
    <w:rsid w:val="00890DF2"/>
    <w:rsid w:val="00891592"/>
    <w:rsid w:val="00891E9E"/>
    <w:rsid w:val="00896EA1"/>
    <w:rsid w:val="00897BC3"/>
    <w:rsid w:val="008A0466"/>
    <w:rsid w:val="008A1C5F"/>
    <w:rsid w:val="008A2F68"/>
    <w:rsid w:val="008A3D53"/>
    <w:rsid w:val="008A6479"/>
    <w:rsid w:val="008A6E71"/>
    <w:rsid w:val="008A7218"/>
    <w:rsid w:val="008B1F4D"/>
    <w:rsid w:val="008B2D7F"/>
    <w:rsid w:val="008B4FA6"/>
    <w:rsid w:val="008B5282"/>
    <w:rsid w:val="008B5FCC"/>
    <w:rsid w:val="008B6C62"/>
    <w:rsid w:val="008B7C17"/>
    <w:rsid w:val="008C0383"/>
    <w:rsid w:val="008C06FA"/>
    <w:rsid w:val="008C15D5"/>
    <w:rsid w:val="008C1644"/>
    <w:rsid w:val="008C2D01"/>
    <w:rsid w:val="008C3C19"/>
    <w:rsid w:val="008C3C5F"/>
    <w:rsid w:val="008C40E6"/>
    <w:rsid w:val="008C4130"/>
    <w:rsid w:val="008D017C"/>
    <w:rsid w:val="008D0F7A"/>
    <w:rsid w:val="008D68E4"/>
    <w:rsid w:val="008D6F85"/>
    <w:rsid w:val="008E0506"/>
    <w:rsid w:val="008E0CFF"/>
    <w:rsid w:val="008E26F4"/>
    <w:rsid w:val="008E3DEB"/>
    <w:rsid w:val="008E46D3"/>
    <w:rsid w:val="008E4EB5"/>
    <w:rsid w:val="008E5D6B"/>
    <w:rsid w:val="008E6D33"/>
    <w:rsid w:val="008E76F0"/>
    <w:rsid w:val="008F07C9"/>
    <w:rsid w:val="008F15FE"/>
    <w:rsid w:val="008F2B0E"/>
    <w:rsid w:val="008F2D29"/>
    <w:rsid w:val="008F3645"/>
    <w:rsid w:val="008F5187"/>
    <w:rsid w:val="008F60D8"/>
    <w:rsid w:val="00900DF0"/>
    <w:rsid w:val="009018A2"/>
    <w:rsid w:val="00901909"/>
    <w:rsid w:val="00902727"/>
    <w:rsid w:val="00902A05"/>
    <w:rsid w:val="0090312B"/>
    <w:rsid w:val="00904303"/>
    <w:rsid w:val="00906203"/>
    <w:rsid w:val="00906E6D"/>
    <w:rsid w:val="009108E4"/>
    <w:rsid w:val="009110BF"/>
    <w:rsid w:val="00911837"/>
    <w:rsid w:val="00911AE2"/>
    <w:rsid w:val="0091474D"/>
    <w:rsid w:val="00916421"/>
    <w:rsid w:val="0091736D"/>
    <w:rsid w:val="00917F6F"/>
    <w:rsid w:val="00926C82"/>
    <w:rsid w:val="0093037A"/>
    <w:rsid w:val="00931EE1"/>
    <w:rsid w:val="0093233E"/>
    <w:rsid w:val="00933163"/>
    <w:rsid w:val="0093578F"/>
    <w:rsid w:val="00936C00"/>
    <w:rsid w:val="00936ED3"/>
    <w:rsid w:val="00937522"/>
    <w:rsid w:val="00940423"/>
    <w:rsid w:val="0094154D"/>
    <w:rsid w:val="00942E17"/>
    <w:rsid w:val="009454E5"/>
    <w:rsid w:val="0095155F"/>
    <w:rsid w:val="00951B55"/>
    <w:rsid w:val="0095336D"/>
    <w:rsid w:val="00954429"/>
    <w:rsid w:val="009563CE"/>
    <w:rsid w:val="00956B77"/>
    <w:rsid w:val="00957FA1"/>
    <w:rsid w:val="009640D5"/>
    <w:rsid w:val="00966CAF"/>
    <w:rsid w:val="0097151B"/>
    <w:rsid w:val="00975D92"/>
    <w:rsid w:val="00976328"/>
    <w:rsid w:val="0097680D"/>
    <w:rsid w:val="00977732"/>
    <w:rsid w:val="00981253"/>
    <w:rsid w:val="00981FF8"/>
    <w:rsid w:val="009821E5"/>
    <w:rsid w:val="00982438"/>
    <w:rsid w:val="00983080"/>
    <w:rsid w:val="0098404C"/>
    <w:rsid w:val="009840DE"/>
    <w:rsid w:val="00985283"/>
    <w:rsid w:val="0099245C"/>
    <w:rsid w:val="0099419C"/>
    <w:rsid w:val="00995992"/>
    <w:rsid w:val="009A03E5"/>
    <w:rsid w:val="009A0F3B"/>
    <w:rsid w:val="009A1BB4"/>
    <w:rsid w:val="009A2628"/>
    <w:rsid w:val="009A3200"/>
    <w:rsid w:val="009A74C7"/>
    <w:rsid w:val="009B04CD"/>
    <w:rsid w:val="009B0897"/>
    <w:rsid w:val="009B505F"/>
    <w:rsid w:val="009B797A"/>
    <w:rsid w:val="009B7BD9"/>
    <w:rsid w:val="009C4227"/>
    <w:rsid w:val="009C477F"/>
    <w:rsid w:val="009C5B30"/>
    <w:rsid w:val="009C7DD5"/>
    <w:rsid w:val="009D15C8"/>
    <w:rsid w:val="009D2B8C"/>
    <w:rsid w:val="009D3887"/>
    <w:rsid w:val="009D4CBF"/>
    <w:rsid w:val="009D4CCC"/>
    <w:rsid w:val="009D59CC"/>
    <w:rsid w:val="009E0994"/>
    <w:rsid w:val="009E227D"/>
    <w:rsid w:val="009E5019"/>
    <w:rsid w:val="009E5BC1"/>
    <w:rsid w:val="009E5E3F"/>
    <w:rsid w:val="009F0286"/>
    <w:rsid w:val="009F038C"/>
    <w:rsid w:val="009F4B97"/>
    <w:rsid w:val="009F7AC3"/>
    <w:rsid w:val="00A00A14"/>
    <w:rsid w:val="00A01E3E"/>
    <w:rsid w:val="00A036BB"/>
    <w:rsid w:val="00A04F1B"/>
    <w:rsid w:val="00A0501B"/>
    <w:rsid w:val="00A07F7E"/>
    <w:rsid w:val="00A07FA4"/>
    <w:rsid w:val="00A106F2"/>
    <w:rsid w:val="00A1466C"/>
    <w:rsid w:val="00A14947"/>
    <w:rsid w:val="00A15997"/>
    <w:rsid w:val="00A20038"/>
    <w:rsid w:val="00A203FD"/>
    <w:rsid w:val="00A2050B"/>
    <w:rsid w:val="00A2099D"/>
    <w:rsid w:val="00A224DC"/>
    <w:rsid w:val="00A25840"/>
    <w:rsid w:val="00A26688"/>
    <w:rsid w:val="00A32A83"/>
    <w:rsid w:val="00A343D6"/>
    <w:rsid w:val="00A34C45"/>
    <w:rsid w:val="00A368DB"/>
    <w:rsid w:val="00A37F94"/>
    <w:rsid w:val="00A423AA"/>
    <w:rsid w:val="00A42A91"/>
    <w:rsid w:val="00A4524B"/>
    <w:rsid w:val="00A4544B"/>
    <w:rsid w:val="00A53D51"/>
    <w:rsid w:val="00A53EC6"/>
    <w:rsid w:val="00A54685"/>
    <w:rsid w:val="00A55C0F"/>
    <w:rsid w:val="00A56A2D"/>
    <w:rsid w:val="00A62CE7"/>
    <w:rsid w:val="00A649A7"/>
    <w:rsid w:val="00A64F4B"/>
    <w:rsid w:val="00A6682A"/>
    <w:rsid w:val="00A67ED9"/>
    <w:rsid w:val="00A73EEC"/>
    <w:rsid w:val="00A74332"/>
    <w:rsid w:val="00A77519"/>
    <w:rsid w:val="00A8040A"/>
    <w:rsid w:val="00A82B82"/>
    <w:rsid w:val="00A86322"/>
    <w:rsid w:val="00A86BFA"/>
    <w:rsid w:val="00A8713F"/>
    <w:rsid w:val="00A87F60"/>
    <w:rsid w:val="00A90BA1"/>
    <w:rsid w:val="00A914E2"/>
    <w:rsid w:val="00A93580"/>
    <w:rsid w:val="00A97A9A"/>
    <w:rsid w:val="00AA043D"/>
    <w:rsid w:val="00AA0530"/>
    <w:rsid w:val="00AA053B"/>
    <w:rsid w:val="00AA0671"/>
    <w:rsid w:val="00AA1F56"/>
    <w:rsid w:val="00AA2531"/>
    <w:rsid w:val="00AA3988"/>
    <w:rsid w:val="00AA47DF"/>
    <w:rsid w:val="00AB1E09"/>
    <w:rsid w:val="00AB3821"/>
    <w:rsid w:val="00AB3F27"/>
    <w:rsid w:val="00AB49C9"/>
    <w:rsid w:val="00AB5330"/>
    <w:rsid w:val="00AB53F6"/>
    <w:rsid w:val="00AB73D1"/>
    <w:rsid w:val="00AB7747"/>
    <w:rsid w:val="00AB7F37"/>
    <w:rsid w:val="00AC0C0D"/>
    <w:rsid w:val="00AC14CE"/>
    <w:rsid w:val="00AC1C68"/>
    <w:rsid w:val="00AC2A56"/>
    <w:rsid w:val="00AC673E"/>
    <w:rsid w:val="00AD055E"/>
    <w:rsid w:val="00AD1FDB"/>
    <w:rsid w:val="00AD47A7"/>
    <w:rsid w:val="00AD4D56"/>
    <w:rsid w:val="00AD60DD"/>
    <w:rsid w:val="00AD6707"/>
    <w:rsid w:val="00AE2262"/>
    <w:rsid w:val="00AE50D6"/>
    <w:rsid w:val="00AE638A"/>
    <w:rsid w:val="00AF08E5"/>
    <w:rsid w:val="00AF0CBF"/>
    <w:rsid w:val="00AF257F"/>
    <w:rsid w:val="00AF33CF"/>
    <w:rsid w:val="00AF4D50"/>
    <w:rsid w:val="00AF6179"/>
    <w:rsid w:val="00AF6B6C"/>
    <w:rsid w:val="00B06834"/>
    <w:rsid w:val="00B11038"/>
    <w:rsid w:val="00B11896"/>
    <w:rsid w:val="00B11D60"/>
    <w:rsid w:val="00B1295A"/>
    <w:rsid w:val="00B14F91"/>
    <w:rsid w:val="00B15E88"/>
    <w:rsid w:val="00B16629"/>
    <w:rsid w:val="00B20A45"/>
    <w:rsid w:val="00B21BD0"/>
    <w:rsid w:val="00B22C5C"/>
    <w:rsid w:val="00B24BB2"/>
    <w:rsid w:val="00B24E3F"/>
    <w:rsid w:val="00B24F30"/>
    <w:rsid w:val="00B25031"/>
    <w:rsid w:val="00B272ED"/>
    <w:rsid w:val="00B27AB7"/>
    <w:rsid w:val="00B30E4F"/>
    <w:rsid w:val="00B31ABF"/>
    <w:rsid w:val="00B322CA"/>
    <w:rsid w:val="00B33BE3"/>
    <w:rsid w:val="00B346ED"/>
    <w:rsid w:val="00B350AF"/>
    <w:rsid w:val="00B376A0"/>
    <w:rsid w:val="00B4087A"/>
    <w:rsid w:val="00B413AB"/>
    <w:rsid w:val="00B42438"/>
    <w:rsid w:val="00B44331"/>
    <w:rsid w:val="00B45E35"/>
    <w:rsid w:val="00B52407"/>
    <w:rsid w:val="00B535FC"/>
    <w:rsid w:val="00B53B5D"/>
    <w:rsid w:val="00B565F7"/>
    <w:rsid w:val="00B6055E"/>
    <w:rsid w:val="00B62179"/>
    <w:rsid w:val="00B62778"/>
    <w:rsid w:val="00B6317D"/>
    <w:rsid w:val="00B6585C"/>
    <w:rsid w:val="00B6652B"/>
    <w:rsid w:val="00B67266"/>
    <w:rsid w:val="00B6733B"/>
    <w:rsid w:val="00B712FF"/>
    <w:rsid w:val="00B75D96"/>
    <w:rsid w:val="00B7723F"/>
    <w:rsid w:val="00B77D3F"/>
    <w:rsid w:val="00B77D4B"/>
    <w:rsid w:val="00B80534"/>
    <w:rsid w:val="00B80578"/>
    <w:rsid w:val="00B811E4"/>
    <w:rsid w:val="00B829D9"/>
    <w:rsid w:val="00B8433C"/>
    <w:rsid w:val="00B85C06"/>
    <w:rsid w:val="00B86FCB"/>
    <w:rsid w:val="00B87491"/>
    <w:rsid w:val="00B900B7"/>
    <w:rsid w:val="00B949EF"/>
    <w:rsid w:val="00B95A66"/>
    <w:rsid w:val="00BA0F82"/>
    <w:rsid w:val="00BA15FC"/>
    <w:rsid w:val="00BA1D1D"/>
    <w:rsid w:val="00BA29E9"/>
    <w:rsid w:val="00BA3282"/>
    <w:rsid w:val="00BA3CA7"/>
    <w:rsid w:val="00BA3E13"/>
    <w:rsid w:val="00BA623B"/>
    <w:rsid w:val="00BA7142"/>
    <w:rsid w:val="00BB237C"/>
    <w:rsid w:val="00BB41A3"/>
    <w:rsid w:val="00BB4F11"/>
    <w:rsid w:val="00BB6F86"/>
    <w:rsid w:val="00BC2C8C"/>
    <w:rsid w:val="00BC32DC"/>
    <w:rsid w:val="00BC35B6"/>
    <w:rsid w:val="00BC53A0"/>
    <w:rsid w:val="00BD0638"/>
    <w:rsid w:val="00BD1117"/>
    <w:rsid w:val="00BD1B51"/>
    <w:rsid w:val="00BD2EFD"/>
    <w:rsid w:val="00BD444E"/>
    <w:rsid w:val="00BD4596"/>
    <w:rsid w:val="00BD4BEE"/>
    <w:rsid w:val="00BE1405"/>
    <w:rsid w:val="00BE2DC8"/>
    <w:rsid w:val="00BE312D"/>
    <w:rsid w:val="00BE4EAC"/>
    <w:rsid w:val="00BE6566"/>
    <w:rsid w:val="00BF1C20"/>
    <w:rsid w:val="00BF288B"/>
    <w:rsid w:val="00BF5A1D"/>
    <w:rsid w:val="00BF6ADB"/>
    <w:rsid w:val="00C01F3E"/>
    <w:rsid w:val="00C07CEC"/>
    <w:rsid w:val="00C10578"/>
    <w:rsid w:val="00C1131A"/>
    <w:rsid w:val="00C12815"/>
    <w:rsid w:val="00C135BC"/>
    <w:rsid w:val="00C14643"/>
    <w:rsid w:val="00C14E15"/>
    <w:rsid w:val="00C15C95"/>
    <w:rsid w:val="00C16900"/>
    <w:rsid w:val="00C17511"/>
    <w:rsid w:val="00C214A9"/>
    <w:rsid w:val="00C223C3"/>
    <w:rsid w:val="00C2596A"/>
    <w:rsid w:val="00C27537"/>
    <w:rsid w:val="00C27A98"/>
    <w:rsid w:val="00C328FE"/>
    <w:rsid w:val="00C33507"/>
    <w:rsid w:val="00C3624B"/>
    <w:rsid w:val="00C366ED"/>
    <w:rsid w:val="00C40089"/>
    <w:rsid w:val="00C402C3"/>
    <w:rsid w:val="00C42544"/>
    <w:rsid w:val="00C42B77"/>
    <w:rsid w:val="00C42F2A"/>
    <w:rsid w:val="00C4321E"/>
    <w:rsid w:val="00C4409D"/>
    <w:rsid w:val="00C44E72"/>
    <w:rsid w:val="00C44F30"/>
    <w:rsid w:val="00C45A06"/>
    <w:rsid w:val="00C474B7"/>
    <w:rsid w:val="00C476FB"/>
    <w:rsid w:val="00C47E5B"/>
    <w:rsid w:val="00C51522"/>
    <w:rsid w:val="00C5240D"/>
    <w:rsid w:val="00C5252A"/>
    <w:rsid w:val="00C53387"/>
    <w:rsid w:val="00C55AD6"/>
    <w:rsid w:val="00C5656F"/>
    <w:rsid w:val="00C56A5C"/>
    <w:rsid w:val="00C61708"/>
    <w:rsid w:val="00C61E4B"/>
    <w:rsid w:val="00C62911"/>
    <w:rsid w:val="00C63F59"/>
    <w:rsid w:val="00C64619"/>
    <w:rsid w:val="00C64BFF"/>
    <w:rsid w:val="00C663EE"/>
    <w:rsid w:val="00C704E9"/>
    <w:rsid w:val="00C754CF"/>
    <w:rsid w:val="00C763C9"/>
    <w:rsid w:val="00C76D16"/>
    <w:rsid w:val="00C80057"/>
    <w:rsid w:val="00C81B16"/>
    <w:rsid w:val="00C82232"/>
    <w:rsid w:val="00C82913"/>
    <w:rsid w:val="00C82A9D"/>
    <w:rsid w:val="00C84FA6"/>
    <w:rsid w:val="00C85EFE"/>
    <w:rsid w:val="00C87E53"/>
    <w:rsid w:val="00C93C43"/>
    <w:rsid w:val="00C945EB"/>
    <w:rsid w:val="00C95687"/>
    <w:rsid w:val="00C966F9"/>
    <w:rsid w:val="00C972B1"/>
    <w:rsid w:val="00C97FB6"/>
    <w:rsid w:val="00CA2CCE"/>
    <w:rsid w:val="00CA43FD"/>
    <w:rsid w:val="00CA7EF8"/>
    <w:rsid w:val="00CB5337"/>
    <w:rsid w:val="00CB6079"/>
    <w:rsid w:val="00CC3336"/>
    <w:rsid w:val="00CC489B"/>
    <w:rsid w:val="00CD140D"/>
    <w:rsid w:val="00CD240A"/>
    <w:rsid w:val="00CD2BCD"/>
    <w:rsid w:val="00CD31AA"/>
    <w:rsid w:val="00CD3A4C"/>
    <w:rsid w:val="00CD5F62"/>
    <w:rsid w:val="00CE10E9"/>
    <w:rsid w:val="00CE112B"/>
    <w:rsid w:val="00CE2910"/>
    <w:rsid w:val="00CE381A"/>
    <w:rsid w:val="00CE3DAE"/>
    <w:rsid w:val="00CE4329"/>
    <w:rsid w:val="00CE5393"/>
    <w:rsid w:val="00CE78E1"/>
    <w:rsid w:val="00CE7CC9"/>
    <w:rsid w:val="00CF14AE"/>
    <w:rsid w:val="00CF200B"/>
    <w:rsid w:val="00CF2BDA"/>
    <w:rsid w:val="00CF36BE"/>
    <w:rsid w:val="00CF37C9"/>
    <w:rsid w:val="00CF4B10"/>
    <w:rsid w:val="00CF57BD"/>
    <w:rsid w:val="00CF6000"/>
    <w:rsid w:val="00D003F3"/>
    <w:rsid w:val="00D0270D"/>
    <w:rsid w:val="00D0364F"/>
    <w:rsid w:val="00D0559A"/>
    <w:rsid w:val="00D0608B"/>
    <w:rsid w:val="00D06834"/>
    <w:rsid w:val="00D1213C"/>
    <w:rsid w:val="00D13DEB"/>
    <w:rsid w:val="00D14A04"/>
    <w:rsid w:val="00D152A4"/>
    <w:rsid w:val="00D15A41"/>
    <w:rsid w:val="00D20CD3"/>
    <w:rsid w:val="00D213F8"/>
    <w:rsid w:val="00D22179"/>
    <w:rsid w:val="00D23FF5"/>
    <w:rsid w:val="00D25F67"/>
    <w:rsid w:val="00D308ED"/>
    <w:rsid w:val="00D31078"/>
    <w:rsid w:val="00D31476"/>
    <w:rsid w:val="00D33A7F"/>
    <w:rsid w:val="00D35745"/>
    <w:rsid w:val="00D36D86"/>
    <w:rsid w:val="00D37FB2"/>
    <w:rsid w:val="00D428AA"/>
    <w:rsid w:val="00D4323D"/>
    <w:rsid w:val="00D45E6A"/>
    <w:rsid w:val="00D50A34"/>
    <w:rsid w:val="00D51889"/>
    <w:rsid w:val="00D52212"/>
    <w:rsid w:val="00D52B91"/>
    <w:rsid w:val="00D53EFA"/>
    <w:rsid w:val="00D608D4"/>
    <w:rsid w:val="00D622BC"/>
    <w:rsid w:val="00D629F1"/>
    <w:rsid w:val="00D654D7"/>
    <w:rsid w:val="00D679DF"/>
    <w:rsid w:val="00D72FB7"/>
    <w:rsid w:val="00D76E00"/>
    <w:rsid w:val="00D77677"/>
    <w:rsid w:val="00D84493"/>
    <w:rsid w:val="00D8567D"/>
    <w:rsid w:val="00D9404A"/>
    <w:rsid w:val="00D94A7C"/>
    <w:rsid w:val="00D95896"/>
    <w:rsid w:val="00D96E9B"/>
    <w:rsid w:val="00D97382"/>
    <w:rsid w:val="00DA02D8"/>
    <w:rsid w:val="00DA09B6"/>
    <w:rsid w:val="00DA1CA2"/>
    <w:rsid w:val="00DA4056"/>
    <w:rsid w:val="00DA6D2F"/>
    <w:rsid w:val="00DA74BB"/>
    <w:rsid w:val="00DB0F01"/>
    <w:rsid w:val="00DB2983"/>
    <w:rsid w:val="00DB32BB"/>
    <w:rsid w:val="00DB5325"/>
    <w:rsid w:val="00DB784A"/>
    <w:rsid w:val="00DB788E"/>
    <w:rsid w:val="00DC1257"/>
    <w:rsid w:val="00DC371A"/>
    <w:rsid w:val="00DC3DC0"/>
    <w:rsid w:val="00DC5B2B"/>
    <w:rsid w:val="00DC60FE"/>
    <w:rsid w:val="00DC620B"/>
    <w:rsid w:val="00DC6297"/>
    <w:rsid w:val="00DC6436"/>
    <w:rsid w:val="00DC7D8C"/>
    <w:rsid w:val="00DD1005"/>
    <w:rsid w:val="00DD318D"/>
    <w:rsid w:val="00DD404D"/>
    <w:rsid w:val="00DD4858"/>
    <w:rsid w:val="00DD769C"/>
    <w:rsid w:val="00DE138F"/>
    <w:rsid w:val="00DE208E"/>
    <w:rsid w:val="00DE6485"/>
    <w:rsid w:val="00DE77E6"/>
    <w:rsid w:val="00DE7D8C"/>
    <w:rsid w:val="00DF2376"/>
    <w:rsid w:val="00DF2E0D"/>
    <w:rsid w:val="00DF2E12"/>
    <w:rsid w:val="00DF4B8A"/>
    <w:rsid w:val="00DF514A"/>
    <w:rsid w:val="00DF6162"/>
    <w:rsid w:val="00DF6690"/>
    <w:rsid w:val="00DF6804"/>
    <w:rsid w:val="00DF692A"/>
    <w:rsid w:val="00E00F4F"/>
    <w:rsid w:val="00E0358D"/>
    <w:rsid w:val="00E04323"/>
    <w:rsid w:val="00E066C5"/>
    <w:rsid w:val="00E06B79"/>
    <w:rsid w:val="00E070A2"/>
    <w:rsid w:val="00E07E7C"/>
    <w:rsid w:val="00E10615"/>
    <w:rsid w:val="00E10CEB"/>
    <w:rsid w:val="00E22D75"/>
    <w:rsid w:val="00E26470"/>
    <w:rsid w:val="00E2656A"/>
    <w:rsid w:val="00E26668"/>
    <w:rsid w:val="00E26908"/>
    <w:rsid w:val="00E2716F"/>
    <w:rsid w:val="00E3177F"/>
    <w:rsid w:val="00E332E0"/>
    <w:rsid w:val="00E339AF"/>
    <w:rsid w:val="00E35B68"/>
    <w:rsid w:val="00E401A6"/>
    <w:rsid w:val="00E412D0"/>
    <w:rsid w:val="00E424FA"/>
    <w:rsid w:val="00E43FD2"/>
    <w:rsid w:val="00E47CE1"/>
    <w:rsid w:val="00E504E0"/>
    <w:rsid w:val="00E53DCC"/>
    <w:rsid w:val="00E55431"/>
    <w:rsid w:val="00E56322"/>
    <w:rsid w:val="00E60982"/>
    <w:rsid w:val="00E62C62"/>
    <w:rsid w:val="00E647EB"/>
    <w:rsid w:val="00E654C1"/>
    <w:rsid w:val="00E65D97"/>
    <w:rsid w:val="00E67020"/>
    <w:rsid w:val="00E70B0D"/>
    <w:rsid w:val="00E72A5A"/>
    <w:rsid w:val="00E73354"/>
    <w:rsid w:val="00E736E6"/>
    <w:rsid w:val="00E8023F"/>
    <w:rsid w:val="00E8439E"/>
    <w:rsid w:val="00E86846"/>
    <w:rsid w:val="00E86D57"/>
    <w:rsid w:val="00E86D88"/>
    <w:rsid w:val="00E90914"/>
    <w:rsid w:val="00E9242D"/>
    <w:rsid w:val="00E92CBD"/>
    <w:rsid w:val="00E93765"/>
    <w:rsid w:val="00E9606E"/>
    <w:rsid w:val="00E96D80"/>
    <w:rsid w:val="00EA01E5"/>
    <w:rsid w:val="00EA120D"/>
    <w:rsid w:val="00EA21DE"/>
    <w:rsid w:val="00EA483F"/>
    <w:rsid w:val="00EA49E1"/>
    <w:rsid w:val="00EB0151"/>
    <w:rsid w:val="00EB5255"/>
    <w:rsid w:val="00EB5C47"/>
    <w:rsid w:val="00EB5EB4"/>
    <w:rsid w:val="00EB5F4D"/>
    <w:rsid w:val="00EC18DF"/>
    <w:rsid w:val="00EC242B"/>
    <w:rsid w:val="00EC2C0D"/>
    <w:rsid w:val="00EC44E2"/>
    <w:rsid w:val="00EC639F"/>
    <w:rsid w:val="00EC7EB6"/>
    <w:rsid w:val="00ED0639"/>
    <w:rsid w:val="00ED5079"/>
    <w:rsid w:val="00EE13FA"/>
    <w:rsid w:val="00EE1425"/>
    <w:rsid w:val="00EE4B90"/>
    <w:rsid w:val="00EE53D5"/>
    <w:rsid w:val="00EE72D2"/>
    <w:rsid w:val="00EE781F"/>
    <w:rsid w:val="00EF285F"/>
    <w:rsid w:val="00EF38D3"/>
    <w:rsid w:val="00EF4755"/>
    <w:rsid w:val="00EF4E3D"/>
    <w:rsid w:val="00EF60F3"/>
    <w:rsid w:val="00EF7135"/>
    <w:rsid w:val="00EF7E8E"/>
    <w:rsid w:val="00F009EC"/>
    <w:rsid w:val="00F02120"/>
    <w:rsid w:val="00F027DB"/>
    <w:rsid w:val="00F03A39"/>
    <w:rsid w:val="00F03A40"/>
    <w:rsid w:val="00F05477"/>
    <w:rsid w:val="00F059F6"/>
    <w:rsid w:val="00F07509"/>
    <w:rsid w:val="00F102D0"/>
    <w:rsid w:val="00F11609"/>
    <w:rsid w:val="00F1435E"/>
    <w:rsid w:val="00F14A7A"/>
    <w:rsid w:val="00F1673E"/>
    <w:rsid w:val="00F17355"/>
    <w:rsid w:val="00F204BF"/>
    <w:rsid w:val="00F21CAE"/>
    <w:rsid w:val="00F22985"/>
    <w:rsid w:val="00F2370B"/>
    <w:rsid w:val="00F26CD2"/>
    <w:rsid w:val="00F30CA7"/>
    <w:rsid w:val="00F318C0"/>
    <w:rsid w:val="00F3383E"/>
    <w:rsid w:val="00F34264"/>
    <w:rsid w:val="00F34846"/>
    <w:rsid w:val="00F34DE5"/>
    <w:rsid w:val="00F3552D"/>
    <w:rsid w:val="00F36163"/>
    <w:rsid w:val="00F40010"/>
    <w:rsid w:val="00F42272"/>
    <w:rsid w:val="00F447B6"/>
    <w:rsid w:val="00F465A7"/>
    <w:rsid w:val="00F46792"/>
    <w:rsid w:val="00F46CC5"/>
    <w:rsid w:val="00F50B7C"/>
    <w:rsid w:val="00F515FB"/>
    <w:rsid w:val="00F5280D"/>
    <w:rsid w:val="00F52FAF"/>
    <w:rsid w:val="00F550E6"/>
    <w:rsid w:val="00F573F3"/>
    <w:rsid w:val="00F60496"/>
    <w:rsid w:val="00F60513"/>
    <w:rsid w:val="00F60962"/>
    <w:rsid w:val="00F6113D"/>
    <w:rsid w:val="00F61507"/>
    <w:rsid w:val="00F62247"/>
    <w:rsid w:val="00F62976"/>
    <w:rsid w:val="00F62F2C"/>
    <w:rsid w:val="00F63F95"/>
    <w:rsid w:val="00F645A1"/>
    <w:rsid w:val="00F704F3"/>
    <w:rsid w:val="00F718AF"/>
    <w:rsid w:val="00F72327"/>
    <w:rsid w:val="00F72E67"/>
    <w:rsid w:val="00F74345"/>
    <w:rsid w:val="00F7707C"/>
    <w:rsid w:val="00F80A0A"/>
    <w:rsid w:val="00F82684"/>
    <w:rsid w:val="00F82B19"/>
    <w:rsid w:val="00F87A9F"/>
    <w:rsid w:val="00F910E0"/>
    <w:rsid w:val="00F9212D"/>
    <w:rsid w:val="00F92A92"/>
    <w:rsid w:val="00F965DA"/>
    <w:rsid w:val="00F96871"/>
    <w:rsid w:val="00FA19EB"/>
    <w:rsid w:val="00FA406A"/>
    <w:rsid w:val="00FB04DA"/>
    <w:rsid w:val="00FB3B63"/>
    <w:rsid w:val="00FB503A"/>
    <w:rsid w:val="00FB516C"/>
    <w:rsid w:val="00FC0DDD"/>
    <w:rsid w:val="00FC4AB5"/>
    <w:rsid w:val="00FD0236"/>
    <w:rsid w:val="00FD0781"/>
    <w:rsid w:val="00FD0E02"/>
    <w:rsid w:val="00FD18F4"/>
    <w:rsid w:val="00FD236E"/>
    <w:rsid w:val="00FD4DF4"/>
    <w:rsid w:val="00FD54DB"/>
    <w:rsid w:val="00FD619F"/>
    <w:rsid w:val="00FE54CF"/>
    <w:rsid w:val="00FE5950"/>
    <w:rsid w:val="00FE5E23"/>
    <w:rsid w:val="00FF16B1"/>
    <w:rsid w:val="00FF35BC"/>
    <w:rsid w:val="00FF3B64"/>
    <w:rsid w:val="00FF41AF"/>
    <w:rsid w:val="00FF4C6B"/>
    <w:rsid w:val="00FF5879"/>
    <w:rsid w:val="00FF5999"/>
    <w:rsid w:val="00FF6708"/>
    <w:rsid w:val="01290F7E"/>
    <w:rsid w:val="015955CB"/>
    <w:rsid w:val="015D1E09"/>
    <w:rsid w:val="01633E9B"/>
    <w:rsid w:val="01E23011"/>
    <w:rsid w:val="01F3521E"/>
    <w:rsid w:val="01FF3BC3"/>
    <w:rsid w:val="02697903"/>
    <w:rsid w:val="0281562D"/>
    <w:rsid w:val="029702A0"/>
    <w:rsid w:val="02C30465"/>
    <w:rsid w:val="02EB2DE5"/>
    <w:rsid w:val="02F96569"/>
    <w:rsid w:val="03236AC3"/>
    <w:rsid w:val="03280EF8"/>
    <w:rsid w:val="032D29B2"/>
    <w:rsid w:val="03622DD1"/>
    <w:rsid w:val="0370464D"/>
    <w:rsid w:val="03771E7F"/>
    <w:rsid w:val="03992697"/>
    <w:rsid w:val="03A32C74"/>
    <w:rsid w:val="03D1158F"/>
    <w:rsid w:val="03EA7B21"/>
    <w:rsid w:val="03EE0393"/>
    <w:rsid w:val="04094FF2"/>
    <w:rsid w:val="043B10FF"/>
    <w:rsid w:val="043F474B"/>
    <w:rsid w:val="04B54A0D"/>
    <w:rsid w:val="04BD55EB"/>
    <w:rsid w:val="04D23811"/>
    <w:rsid w:val="04EB48D3"/>
    <w:rsid w:val="05096B07"/>
    <w:rsid w:val="053718C6"/>
    <w:rsid w:val="05A36F5B"/>
    <w:rsid w:val="05F83EAE"/>
    <w:rsid w:val="06020126"/>
    <w:rsid w:val="061538E2"/>
    <w:rsid w:val="062C51A3"/>
    <w:rsid w:val="063E7D85"/>
    <w:rsid w:val="065C29FB"/>
    <w:rsid w:val="06A37841"/>
    <w:rsid w:val="06AB2B98"/>
    <w:rsid w:val="06AF2290"/>
    <w:rsid w:val="06F35CC1"/>
    <w:rsid w:val="07293586"/>
    <w:rsid w:val="07295285"/>
    <w:rsid w:val="073C31C4"/>
    <w:rsid w:val="07574BE2"/>
    <w:rsid w:val="07636392"/>
    <w:rsid w:val="07770C56"/>
    <w:rsid w:val="0797489E"/>
    <w:rsid w:val="07C338E5"/>
    <w:rsid w:val="07C74A74"/>
    <w:rsid w:val="0822060B"/>
    <w:rsid w:val="084A5DB4"/>
    <w:rsid w:val="08534C40"/>
    <w:rsid w:val="085602B5"/>
    <w:rsid w:val="087A0447"/>
    <w:rsid w:val="088C60C0"/>
    <w:rsid w:val="08903514"/>
    <w:rsid w:val="08940DDD"/>
    <w:rsid w:val="08C6543B"/>
    <w:rsid w:val="08E65ADD"/>
    <w:rsid w:val="08ED6E6B"/>
    <w:rsid w:val="08F55D20"/>
    <w:rsid w:val="092217DD"/>
    <w:rsid w:val="093A7294"/>
    <w:rsid w:val="093D3223"/>
    <w:rsid w:val="095F13EB"/>
    <w:rsid w:val="098E3A7F"/>
    <w:rsid w:val="0A157CFC"/>
    <w:rsid w:val="0A263993"/>
    <w:rsid w:val="0A2D3AC2"/>
    <w:rsid w:val="0A3463D4"/>
    <w:rsid w:val="0A456833"/>
    <w:rsid w:val="0A73514E"/>
    <w:rsid w:val="0A801619"/>
    <w:rsid w:val="0AA755DF"/>
    <w:rsid w:val="0AC92FC0"/>
    <w:rsid w:val="0AEE0C79"/>
    <w:rsid w:val="0B04224A"/>
    <w:rsid w:val="0B120D44"/>
    <w:rsid w:val="0BC11EE9"/>
    <w:rsid w:val="0BD27BF6"/>
    <w:rsid w:val="0C006EB6"/>
    <w:rsid w:val="0C3B3C7D"/>
    <w:rsid w:val="0C607954"/>
    <w:rsid w:val="0CAB2EAE"/>
    <w:rsid w:val="0CB317D5"/>
    <w:rsid w:val="0CCC4FEA"/>
    <w:rsid w:val="0CD10852"/>
    <w:rsid w:val="0CFB767D"/>
    <w:rsid w:val="0D42705A"/>
    <w:rsid w:val="0D621C7D"/>
    <w:rsid w:val="0D907DC5"/>
    <w:rsid w:val="0DE93979"/>
    <w:rsid w:val="0DFA3CE3"/>
    <w:rsid w:val="0DFE5677"/>
    <w:rsid w:val="0DFF319D"/>
    <w:rsid w:val="0E364E11"/>
    <w:rsid w:val="0E4017EB"/>
    <w:rsid w:val="0E6F20D1"/>
    <w:rsid w:val="0E707BF7"/>
    <w:rsid w:val="0E73034D"/>
    <w:rsid w:val="0E927B6D"/>
    <w:rsid w:val="0EB21FBD"/>
    <w:rsid w:val="0EB317AA"/>
    <w:rsid w:val="0EF97BEC"/>
    <w:rsid w:val="0F0C0835"/>
    <w:rsid w:val="0F13775A"/>
    <w:rsid w:val="0F2E5AE8"/>
    <w:rsid w:val="0F5F45FE"/>
    <w:rsid w:val="0F9A112B"/>
    <w:rsid w:val="0F9C6EF5"/>
    <w:rsid w:val="0FA20284"/>
    <w:rsid w:val="0FA335CE"/>
    <w:rsid w:val="0FA47B58"/>
    <w:rsid w:val="0FBB4046"/>
    <w:rsid w:val="0FBD6E6C"/>
    <w:rsid w:val="102B465B"/>
    <w:rsid w:val="103E7B99"/>
    <w:rsid w:val="10413E2E"/>
    <w:rsid w:val="106D2F64"/>
    <w:rsid w:val="10891CD5"/>
    <w:rsid w:val="10B63710"/>
    <w:rsid w:val="10D426BF"/>
    <w:rsid w:val="10F10820"/>
    <w:rsid w:val="111A2F67"/>
    <w:rsid w:val="111C2F7A"/>
    <w:rsid w:val="11360C84"/>
    <w:rsid w:val="115050FF"/>
    <w:rsid w:val="11665CA1"/>
    <w:rsid w:val="118A54F7"/>
    <w:rsid w:val="11B76268"/>
    <w:rsid w:val="11BF336F"/>
    <w:rsid w:val="11C95F9C"/>
    <w:rsid w:val="11DB182B"/>
    <w:rsid w:val="11EB7CC0"/>
    <w:rsid w:val="120174E4"/>
    <w:rsid w:val="1209283C"/>
    <w:rsid w:val="123C7DE4"/>
    <w:rsid w:val="12560D4D"/>
    <w:rsid w:val="125B2318"/>
    <w:rsid w:val="126A23B4"/>
    <w:rsid w:val="127C4DBC"/>
    <w:rsid w:val="12883761"/>
    <w:rsid w:val="12C30C3D"/>
    <w:rsid w:val="12C56763"/>
    <w:rsid w:val="12F31522"/>
    <w:rsid w:val="13147927"/>
    <w:rsid w:val="13394A5B"/>
    <w:rsid w:val="137C148E"/>
    <w:rsid w:val="13951726"/>
    <w:rsid w:val="13AD7D91"/>
    <w:rsid w:val="13B30CB1"/>
    <w:rsid w:val="13B64010"/>
    <w:rsid w:val="14346628"/>
    <w:rsid w:val="14382F65"/>
    <w:rsid w:val="14396509"/>
    <w:rsid w:val="1475334D"/>
    <w:rsid w:val="14860174"/>
    <w:rsid w:val="14884CCE"/>
    <w:rsid w:val="148F527B"/>
    <w:rsid w:val="14C60571"/>
    <w:rsid w:val="14C66A45"/>
    <w:rsid w:val="14DD2C3C"/>
    <w:rsid w:val="150C0679"/>
    <w:rsid w:val="151614F8"/>
    <w:rsid w:val="152F6116"/>
    <w:rsid w:val="1543240B"/>
    <w:rsid w:val="155142DE"/>
    <w:rsid w:val="158A17DB"/>
    <w:rsid w:val="15F953DF"/>
    <w:rsid w:val="16087E1D"/>
    <w:rsid w:val="16135A37"/>
    <w:rsid w:val="16351E52"/>
    <w:rsid w:val="16BC7E7D"/>
    <w:rsid w:val="16EB3191"/>
    <w:rsid w:val="17321EED"/>
    <w:rsid w:val="17641D60"/>
    <w:rsid w:val="17701D14"/>
    <w:rsid w:val="17735226"/>
    <w:rsid w:val="177A0C83"/>
    <w:rsid w:val="179B3F36"/>
    <w:rsid w:val="179B5CE4"/>
    <w:rsid w:val="17B5798E"/>
    <w:rsid w:val="17D631C0"/>
    <w:rsid w:val="17D711C3"/>
    <w:rsid w:val="17F12FD3"/>
    <w:rsid w:val="17F57D89"/>
    <w:rsid w:val="18160B13"/>
    <w:rsid w:val="185D11EC"/>
    <w:rsid w:val="186B56B7"/>
    <w:rsid w:val="18730A0F"/>
    <w:rsid w:val="189A5F9C"/>
    <w:rsid w:val="189F624C"/>
    <w:rsid w:val="18A62B93"/>
    <w:rsid w:val="18BC4164"/>
    <w:rsid w:val="18CB64E1"/>
    <w:rsid w:val="192B3098"/>
    <w:rsid w:val="192D5062"/>
    <w:rsid w:val="194B7296"/>
    <w:rsid w:val="19A15E90"/>
    <w:rsid w:val="19AE61A3"/>
    <w:rsid w:val="19C646FE"/>
    <w:rsid w:val="19CD0141"/>
    <w:rsid w:val="19DB686C"/>
    <w:rsid w:val="19EE5823"/>
    <w:rsid w:val="1A0C76AF"/>
    <w:rsid w:val="1A143B2C"/>
    <w:rsid w:val="1A1C66C0"/>
    <w:rsid w:val="1A2E4BEE"/>
    <w:rsid w:val="1A310B82"/>
    <w:rsid w:val="1A404921"/>
    <w:rsid w:val="1A42393B"/>
    <w:rsid w:val="1A495ECC"/>
    <w:rsid w:val="1A7A7C40"/>
    <w:rsid w:val="1AA03612"/>
    <w:rsid w:val="1AA90718"/>
    <w:rsid w:val="1AAD45DE"/>
    <w:rsid w:val="1ADF6AC1"/>
    <w:rsid w:val="1AEB6F83"/>
    <w:rsid w:val="1B046F80"/>
    <w:rsid w:val="1B0D0CA7"/>
    <w:rsid w:val="1B0E2C71"/>
    <w:rsid w:val="1B2D759B"/>
    <w:rsid w:val="1B304996"/>
    <w:rsid w:val="1B3267B5"/>
    <w:rsid w:val="1B40161D"/>
    <w:rsid w:val="1B441859"/>
    <w:rsid w:val="1B544B28"/>
    <w:rsid w:val="1B6050F1"/>
    <w:rsid w:val="1B6606B1"/>
    <w:rsid w:val="1B6F1962"/>
    <w:rsid w:val="1BDA6869"/>
    <w:rsid w:val="1BE44ABA"/>
    <w:rsid w:val="1C00080C"/>
    <w:rsid w:val="1C5E7925"/>
    <w:rsid w:val="1CFD070F"/>
    <w:rsid w:val="1D34075E"/>
    <w:rsid w:val="1D5F6196"/>
    <w:rsid w:val="1D6132A5"/>
    <w:rsid w:val="1D6D0123"/>
    <w:rsid w:val="1D8E20C1"/>
    <w:rsid w:val="1D8E56D5"/>
    <w:rsid w:val="1D9E208B"/>
    <w:rsid w:val="1DBF350C"/>
    <w:rsid w:val="1DF11742"/>
    <w:rsid w:val="1E0A7720"/>
    <w:rsid w:val="1E0D0FBE"/>
    <w:rsid w:val="1E5D4FF0"/>
    <w:rsid w:val="1E640B6C"/>
    <w:rsid w:val="1E7A43DA"/>
    <w:rsid w:val="1EAE60B0"/>
    <w:rsid w:val="1EDF0BAD"/>
    <w:rsid w:val="1F1E1E98"/>
    <w:rsid w:val="1F4E7AE0"/>
    <w:rsid w:val="1F617814"/>
    <w:rsid w:val="1F7E6617"/>
    <w:rsid w:val="1F9E3512"/>
    <w:rsid w:val="1FA47700"/>
    <w:rsid w:val="1FB65DB1"/>
    <w:rsid w:val="1FE7539E"/>
    <w:rsid w:val="203B62B7"/>
    <w:rsid w:val="20474C5B"/>
    <w:rsid w:val="204D5FEA"/>
    <w:rsid w:val="20671BE0"/>
    <w:rsid w:val="20702A3A"/>
    <w:rsid w:val="20735A50"/>
    <w:rsid w:val="20745325"/>
    <w:rsid w:val="209634ED"/>
    <w:rsid w:val="20963CB8"/>
    <w:rsid w:val="20A81A1B"/>
    <w:rsid w:val="20B07FB6"/>
    <w:rsid w:val="20B646FB"/>
    <w:rsid w:val="20E73D48"/>
    <w:rsid w:val="211C7E96"/>
    <w:rsid w:val="2120725A"/>
    <w:rsid w:val="2136082C"/>
    <w:rsid w:val="213B74B1"/>
    <w:rsid w:val="21472A39"/>
    <w:rsid w:val="214D485C"/>
    <w:rsid w:val="215443FF"/>
    <w:rsid w:val="215A2310"/>
    <w:rsid w:val="216241AE"/>
    <w:rsid w:val="21661328"/>
    <w:rsid w:val="21A25EC1"/>
    <w:rsid w:val="21D82BDC"/>
    <w:rsid w:val="21DE318A"/>
    <w:rsid w:val="21E85FCA"/>
    <w:rsid w:val="21EF5B80"/>
    <w:rsid w:val="21F7620D"/>
    <w:rsid w:val="222334A6"/>
    <w:rsid w:val="223B434C"/>
    <w:rsid w:val="22576990"/>
    <w:rsid w:val="225D0766"/>
    <w:rsid w:val="22733E28"/>
    <w:rsid w:val="22AF6AE8"/>
    <w:rsid w:val="22E155E9"/>
    <w:rsid w:val="22F00C6B"/>
    <w:rsid w:val="22F47480"/>
    <w:rsid w:val="22F97D63"/>
    <w:rsid w:val="22FE2929"/>
    <w:rsid w:val="230179D1"/>
    <w:rsid w:val="231828DF"/>
    <w:rsid w:val="231B2CCD"/>
    <w:rsid w:val="23235943"/>
    <w:rsid w:val="23847F75"/>
    <w:rsid w:val="238E0DF3"/>
    <w:rsid w:val="23DE1C48"/>
    <w:rsid w:val="240210CD"/>
    <w:rsid w:val="24581F91"/>
    <w:rsid w:val="245A2A83"/>
    <w:rsid w:val="246F29D3"/>
    <w:rsid w:val="24833D88"/>
    <w:rsid w:val="24997A50"/>
    <w:rsid w:val="249E6E14"/>
    <w:rsid w:val="24BB5C18"/>
    <w:rsid w:val="24BF09F7"/>
    <w:rsid w:val="24EF20F8"/>
    <w:rsid w:val="25021151"/>
    <w:rsid w:val="252D53FE"/>
    <w:rsid w:val="256736AA"/>
    <w:rsid w:val="259D6BE8"/>
    <w:rsid w:val="25BA1A2C"/>
    <w:rsid w:val="25DF5936"/>
    <w:rsid w:val="25EC2D81"/>
    <w:rsid w:val="260809E9"/>
    <w:rsid w:val="265433F0"/>
    <w:rsid w:val="26DA3B4A"/>
    <w:rsid w:val="26EC31B7"/>
    <w:rsid w:val="26FD2518"/>
    <w:rsid w:val="27233601"/>
    <w:rsid w:val="27343A60"/>
    <w:rsid w:val="277057A2"/>
    <w:rsid w:val="278C73F8"/>
    <w:rsid w:val="279D5E11"/>
    <w:rsid w:val="27E11543"/>
    <w:rsid w:val="27EF21BD"/>
    <w:rsid w:val="280F26E4"/>
    <w:rsid w:val="281A4A03"/>
    <w:rsid w:val="282B4E63"/>
    <w:rsid w:val="28500425"/>
    <w:rsid w:val="285223EF"/>
    <w:rsid w:val="28722A91"/>
    <w:rsid w:val="28C72DDD"/>
    <w:rsid w:val="28E57ADD"/>
    <w:rsid w:val="291E0523"/>
    <w:rsid w:val="29206EB8"/>
    <w:rsid w:val="292F3CCA"/>
    <w:rsid w:val="29595666"/>
    <w:rsid w:val="297C3ECC"/>
    <w:rsid w:val="29874881"/>
    <w:rsid w:val="299B7DC6"/>
    <w:rsid w:val="29C15A7E"/>
    <w:rsid w:val="29C4731D"/>
    <w:rsid w:val="29D42FA7"/>
    <w:rsid w:val="29DA4CF5"/>
    <w:rsid w:val="29E325E0"/>
    <w:rsid w:val="2A2F36F3"/>
    <w:rsid w:val="2A452503"/>
    <w:rsid w:val="2A472FCB"/>
    <w:rsid w:val="2A4B5348"/>
    <w:rsid w:val="2A56720B"/>
    <w:rsid w:val="2A8D2261"/>
    <w:rsid w:val="2A954F45"/>
    <w:rsid w:val="2AA131BA"/>
    <w:rsid w:val="2B0A5203"/>
    <w:rsid w:val="2B1B11BE"/>
    <w:rsid w:val="2B545D46"/>
    <w:rsid w:val="2B6011F8"/>
    <w:rsid w:val="2B8F250B"/>
    <w:rsid w:val="2BA2543C"/>
    <w:rsid w:val="2BA936A8"/>
    <w:rsid w:val="2BB63A7B"/>
    <w:rsid w:val="2BE27F2E"/>
    <w:rsid w:val="2BEF7875"/>
    <w:rsid w:val="2BFD08C4"/>
    <w:rsid w:val="2BFF4DBC"/>
    <w:rsid w:val="2C0003B4"/>
    <w:rsid w:val="2C1005F7"/>
    <w:rsid w:val="2C26606D"/>
    <w:rsid w:val="2C302A48"/>
    <w:rsid w:val="2C315A5A"/>
    <w:rsid w:val="2C491D5B"/>
    <w:rsid w:val="2C4B1C25"/>
    <w:rsid w:val="2CC969F8"/>
    <w:rsid w:val="2CD930DF"/>
    <w:rsid w:val="2CE7730B"/>
    <w:rsid w:val="2CF06FB3"/>
    <w:rsid w:val="2CF33A75"/>
    <w:rsid w:val="2D962D7E"/>
    <w:rsid w:val="2D9E56F5"/>
    <w:rsid w:val="2DB256DE"/>
    <w:rsid w:val="2DB66F7C"/>
    <w:rsid w:val="2E222864"/>
    <w:rsid w:val="2E2C28FD"/>
    <w:rsid w:val="2E2F0736"/>
    <w:rsid w:val="2E3362D7"/>
    <w:rsid w:val="2E3B7BF9"/>
    <w:rsid w:val="2E436C28"/>
    <w:rsid w:val="2E667F96"/>
    <w:rsid w:val="2E6F6E5D"/>
    <w:rsid w:val="2E8226AB"/>
    <w:rsid w:val="2ED0406E"/>
    <w:rsid w:val="2ED578D6"/>
    <w:rsid w:val="2F230642"/>
    <w:rsid w:val="2FA07EE4"/>
    <w:rsid w:val="2FAD2601"/>
    <w:rsid w:val="2FD065E6"/>
    <w:rsid w:val="2FD91648"/>
    <w:rsid w:val="2FD96870"/>
    <w:rsid w:val="30185CCC"/>
    <w:rsid w:val="302F1268"/>
    <w:rsid w:val="303D1BD7"/>
    <w:rsid w:val="30580BC9"/>
    <w:rsid w:val="30FC114A"/>
    <w:rsid w:val="311E2ED7"/>
    <w:rsid w:val="312602D7"/>
    <w:rsid w:val="315619EE"/>
    <w:rsid w:val="315C449C"/>
    <w:rsid w:val="31653193"/>
    <w:rsid w:val="31A35047"/>
    <w:rsid w:val="31B82709"/>
    <w:rsid w:val="31C2464C"/>
    <w:rsid w:val="31CB7D03"/>
    <w:rsid w:val="31D05482"/>
    <w:rsid w:val="31F664E1"/>
    <w:rsid w:val="31F938DC"/>
    <w:rsid w:val="32164336"/>
    <w:rsid w:val="32400B34"/>
    <w:rsid w:val="324C6101"/>
    <w:rsid w:val="32632B01"/>
    <w:rsid w:val="327204B7"/>
    <w:rsid w:val="329E6876"/>
    <w:rsid w:val="32D042EC"/>
    <w:rsid w:val="32D63C1D"/>
    <w:rsid w:val="32D67E8D"/>
    <w:rsid w:val="32E26A66"/>
    <w:rsid w:val="32ED1692"/>
    <w:rsid w:val="32F72511"/>
    <w:rsid w:val="33134E71"/>
    <w:rsid w:val="332E1CAB"/>
    <w:rsid w:val="333015F2"/>
    <w:rsid w:val="33323549"/>
    <w:rsid w:val="33354DE7"/>
    <w:rsid w:val="333F17C2"/>
    <w:rsid w:val="333F2E0A"/>
    <w:rsid w:val="3341553A"/>
    <w:rsid w:val="33437504"/>
    <w:rsid w:val="334B6320"/>
    <w:rsid w:val="33877148"/>
    <w:rsid w:val="33CB12A8"/>
    <w:rsid w:val="33D934D4"/>
    <w:rsid w:val="33E73CEB"/>
    <w:rsid w:val="33FE2F6A"/>
    <w:rsid w:val="340E07E5"/>
    <w:rsid w:val="34235BF7"/>
    <w:rsid w:val="343F51C4"/>
    <w:rsid w:val="34425A0E"/>
    <w:rsid w:val="344C063B"/>
    <w:rsid w:val="34A30568"/>
    <w:rsid w:val="34B8182C"/>
    <w:rsid w:val="34CA155F"/>
    <w:rsid w:val="34D05B1E"/>
    <w:rsid w:val="34E474AA"/>
    <w:rsid w:val="351078BA"/>
    <w:rsid w:val="351C000D"/>
    <w:rsid w:val="357754B5"/>
    <w:rsid w:val="357F059C"/>
    <w:rsid w:val="358C5FA8"/>
    <w:rsid w:val="359758E5"/>
    <w:rsid w:val="35C15DF1"/>
    <w:rsid w:val="35C2661E"/>
    <w:rsid w:val="36074A7F"/>
    <w:rsid w:val="36201D7F"/>
    <w:rsid w:val="362C0724"/>
    <w:rsid w:val="36331C73"/>
    <w:rsid w:val="36557C1C"/>
    <w:rsid w:val="36716136"/>
    <w:rsid w:val="368513AA"/>
    <w:rsid w:val="36923549"/>
    <w:rsid w:val="369342FF"/>
    <w:rsid w:val="36B75FBF"/>
    <w:rsid w:val="36BD0C45"/>
    <w:rsid w:val="36C24BE4"/>
    <w:rsid w:val="36D77887"/>
    <w:rsid w:val="36E7289C"/>
    <w:rsid w:val="36FC6348"/>
    <w:rsid w:val="370C5E5F"/>
    <w:rsid w:val="37137D4A"/>
    <w:rsid w:val="371A4A20"/>
    <w:rsid w:val="372431A9"/>
    <w:rsid w:val="378B76CC"/>
    <w:rsid w:val="3793032E"/>
    <w:rsid w:val="37936580"/>
    <w:rsid w:val="37960F2C"/>
    <w:rsid w:val="379F6CD3"/>
    <w:rsid w:val="37B14004"/>
    <w:rsid w:val="37BE184F"/>
    <w:rsid w:val="37DE297F"/>
    <w:rsid w:val="37E00298"/>
    <w:rsid w:val="37E62B54"/>
    <w:rsid w:val="37F963E3"/>
    <w:rsid w:val="382E0E33"/>
    <w:rsid w:val="383E029A"/>
    <w:rsid w:val="387B14EE"/>
    <w:rsid w:val="388D4D7E"/>
    <w:rsid w:val="38A10829"/>
    <w:rsid w:val="38B302F9"/>
    <w:rsid w:val="38C06F01"/>
    <w:rsid w:val="38E2331B"/>
    <w:rsid w:val="38EF6C00"/>
    <w:rsid w:val="38F12CD3"/>
    <w:rsid w:val="38F94775"/>
    <w:rsid w:val="39074B30"/>
    <w:rsid w:val="392971ED"/>
    <w:rsid w:val="39325651"/>
    <w:rsid w:val="394352D1"/>
    <w:rsid w:val="39445D84"/>
    <w:rsid w:val="39754190"/>
    <w:rsid w:val="39AC4D26"/>
    <w:rsid w:val="39FC21BB"/>
    <w:rsid w:val="3A192D6D"/>
    <w:rsid w:val="3A2339BD"/>
    <w:rsid w:val="3A347BA7"/>
    <w:rsid w:val="3A36638E"/>
    <w:rsid w:val="3A437DEA"/>
    <w:rsid w:val="3A813028"/>
    <w:rsid w:val="3A872856"/>
    <w:rsid w:val="3ABC194A"/>
    <w:rsid w:val="3AC16F61"/>
    <w:rsid w:val="3AD77F2A"/>
    <w:rsid w:val="3ADD1FEC"/>
    <w:rsid w:val="3AEE41FA"/>
    <w:rsid w:val="3B092832"/>
    <w:rsid w:val="3B3360B0"/>
    <w:rsid w:val="3B3763D1"/>
    <w:rsid w:val="3B4C4A40"/>
    <w:rsid w:val="3B762441"/>
    <w:rsid w:val="3BB014AF"/>
    <w:rsid w:val="3BB84807"/>
    <w:rsid w:val="3C065573"/>
    <w:rsid w:val="3C1C4D96"/>
    <w:rsid w:val="3C21392D"/>
    <w:rsid w:val="3C2F6E1E"/>
    <w:rsid w:val="3C320116"/>
    <w:rsid w:val="3C4F64BA"/>
    <w:rsid w:val="3C4F6F1A"/>
    <w:rsid w:val="3C5502A8"/>
    <w:rsid w:val="3C737CAE"/>
    <w:rsid w:val="3C7544A7"/>
    <w:rsid w:val="3C88358F"/>
    <w:rsid w:val="3CAA4150"/>
    <w:rsid w:val="3CDA245A"/>
    <w:rsid w:val="3D1E06B7"/>
    <w:rsid w:val="3D271C45"/>
    <w:rsid w:val="3D4A148F"/>
    <w:rsid w:val="3D69605D"/>
    <w:rsid w:val="3DC079A3"/>
    <w:rsid w:val="3DCE20C0"/>
    <w:rsid w:val="3DFD4754"/>
    <w:rsid w:val="3E09759C"/>
    <w:rsid w:val="3E147EFD"/>
    <w:rsid w:val="3E3A1C24"/>
    <w:rsid w:val="3E6E11AD"/>
    <w:rsid w:val="3E854E75"/>
    <w:rsid w:val="3E99447C"/>
    <w:rsid w:val="3ED90D1D"/>
    <w:rsid w:val="3EDA0523"/>
    <w:rsid w:val="3EDC2B5C"/>
    <w:rsid w:val="3EEF0920"/>
    <w:rsid w:val="3F2C3542"/>
    <w:rsid w:val="3F3866AF"/>
    <w:rsid w:val="3F3B19D7"/>
    <w:rsid w:val="3F4343E8"/>
    <w:rsid w:val="3F8E5FAB"/>
    <w:rsid w:val="402A32D9"/>
    <w:rsid w:val="407A6407"/>
    <w:rsid w:val="40827192"/>
    <w:rsid w:val="40864ED4"/>
    <w:rsid w:val="408E5B37"/>
    <w:rsid w:val="408F2FEE"/>
    <w:rsid w:val="40BF2194"/>
    <w:rsid w:val="40C2171E"/>
    <w:rsid w:val="40F36E0B"/>
    <w:rsid w:val="40F97454"/>
    <w:rsid w:val="410B53D9"/>
    <w:rsid w:val="41263FC1"/>
    <w:rsid w:val="41483F38"/>
    <w:rsid w:val="415C4406"/>
    <w:rsid w:val="41760AA5"/>
    <w:rsid w:val="418C2076"/>
    <w:rsid w:val="41CD6FD8"/>
    <w:rsid w:val="41DB79A1"/>
    <w:rsid w:val="41E81277"/>
    <w:rsid w:val="4200449D"/>
    <w:rsid w:val="423A3BCC"/>
    <w:rsid w:val="424E57D2"/>
    <w:rsid w:val="42554B5E"/>
    <w:rsid w:val="425E4E06"/>
    <w:rsid w:val="427B36F4"/>
    <w:rsid w:val="42823479"/>
    <w:rsid w:val="428B0580"/>
    <w:rsid w:val="42AE426E"/>
    <w:rsid w:val="42B26C49"/>
    <w:rsid w:val="42DD6902"/>
    <w:rsid w:val="43374264"/>
    <w:rsid w:val="433A6FE6"/>
    <w:rsid w:val="43480868"/>
    <w:rsid w:val="4350713C"/>
    <w:rsid w:val="436653E0"/>
    <w:rsid w:val="43A044FF"/>
    <w:rsid w:val="43B12268"/>
    <w:rsid w:val="43C4431A"/>
    <w:rsid w:val="43F201FB"/>
    <w:rsid w:val="43F87E97"/>
    <w:rsid w:val="441D78FE"/>
    <w:rsid w:val="44B951CC"/>
    <w:rsid w:val="44BD4DAB"/>
    <w:rsid w:val="44C45FCB"/>
    <w:rsid w:val="44C61D43"/>
    <w:rsid w:val="44CD14E0"/>
    <w:rsid w:val="44F20B0B"/>
    <w:rsid w:val="45013B88"/>
    <w:rsid w:val="45280308"/>
    <w:rsid w:val="452E5F4C"/>
    <w:rsid w:val="45361A1A"/>
    <w:rsid w:val="45433394"/>
    <w:rsid w:val="45612018"/>
    <w:rsid w:val="4574179F"/>
    <w:rsid w:val="458946E9"/>
    <w:rsid w:val="45A47C0E"/>
    <w:rsid w:val="45AC718B"/>
    <w:rsid w:val="45CF2E79"/>
    <w:rsid w:val="45D97B03"/>
    <w:rsid w:val="45FD79E7"/>
    <w:rsid w:val="46307B3F"/>
    <w:rsid w:val="463D3834"/>
    <w:rsid w:val="464A0752"/>
    <w:rsid w:val="46577FD6"/>
    <w:rsid w:val="46582E6F"/>
    <w:rsid w:val="465A0995"/>
    <w:rsid w:val="46804174"/>
    <w:rsid w:val="46B67B95"/>
    <w:rsid w:val="46B9565C"/>
    <w:rsid w:val="46D955A7"/>
    <w:rsid w:val="46DA7D28"/>
    <w:rsid w:val="46DB13AA"/>
    <w:rsid w:val="46DF70EC"/>
    <w:rsid w:val="46F801AE"/>
    <w:rsid w:val="47133957"/>
    <w:rsid w:val="471C3E9C"/>
    <w:rsid w:val="47307948"/>
    <w:rsid w:val="473F5DDD"/>
    <w:rsid w:val="47513DBA"/>
    <w:rsid w:val="47777325"/>
    <w:rsid w:val="47887784"/>
    <w:rsid w:val="47943CFE"/>
    <w:rsid w:val="47A07E0C"/>
    <w:rsid w:val="47AF46A0"/>
    <w:rsid w:val="47D74267"/>
    <w:rsid w:val="47EB2BBE"/>
    <w:rsid w:val="47F15329"/>
    <w:rsid w:val="482E1FB6"/>
    <w:rsid w:val="483416BA"/>
    <w:rsid w:val="4870272E"/>
    <w:rsid w:val="48723EAB"/>
    <w:rsid w:val="48A5359E"/>
    <w:rsid w:val="496438D9"/>
    <w:rsid w:val="49B91E77"/>
    <w:rsid w:val="49DC7715"/>
    <w:rsid w:val="4A023139"/>
    <w:rsid w:val="4A4554B8"/>
    <w:rsid w:val="4A7B576F"/>
    <w:rsid w:val="4A871F75"/>
    <w:rsid w:val="4ADF554C"/>
    <w:rsid w:val="4AF561A9"/>
    <w:rsid w:val="4B5F25AA"/>
    <w:rsid w:val="4B6E6C91"/>
    <w:rsid w:val="4BB80932"/>
    <w:rsid w:val="4BBA0128"/>
    <w:rsid w:val="4BBE19C6"/>
    <w:rsid w:val="4C220FE3"/>
    <w:rsid w:val="4C485734"/>
    <w:rsid w:val="4C4A0649"/>
    <w:rsid w:val="4C793B3F"/>
    <w:rsid w:val="4C7E5ECA"/>
    <w:rsid w:val="4C876AA5"/>
    <w:rsid w:val="4CCC0368"/>
    <w:rsid w:val="4CFB27A6"/>
    <w:rsid w:val="4D0E00FB"/>
    <w:rsid w:val="4D176606"/>
    <w:rsid w:val="4D4667EE"/>
    <w:rsid w:val="4D671BE9"/>
    <w:rsid w:val="4D986247"/>
    <w:rsid w:val="4DBA7F6B"/>
    <w:rsid w:val="4DC66910"/>
    <w:rsid w:val="4DEC4FB0"/>
    <w:rsid w:val="4DEF230B"/>
    <w:rsid w:val="4DF55447"/>
    <w:rsid w:val="4E075D8A"/>
    <w:rsid w:val="4E0F1468"/>
    <w:rsid w:val="4E2B5C0E"/>
    <w:rsid w:val="4E5B79A0"/>
    <w:rsid w:val="4EB62E28"/>
    <w:rsid w:val="4EC00FAD"/>
    <w:rsid w:val="4EF13E61"/>
    <w:rsid w:val="4F1813ED"/>
    <w:rsid w:val="4F187E90"/>
    <w:rsid w:val="4F1D07B2"/>
    <w:rsid w:val="4F9843DC"/>
    <w:rsid w:val="4FA72771"/>
    <w:rsid w:val="4FB235F0"/>
    <w:rsid w:val="4FC275AB"/>
    <w:rsid w:val="4FC62A8C"/>
    <w:rsid w:val="4FE20F0D"/>
    <w:rsid w:val="4FE51552"/>
    <w:rsid w:val="50105158"/>
    <w:rsid w:val="5023004A"/>
    <w:rsid w:val="503C110B"/>
    <w:rsid w:val="50504C4B"/>
    <w:rsid w:val="5066262C"/>
    <w:rsid w:val="507F56E1"/>
    <w:rsid w:val="50836D3A"/>
    <w:rsid w:val="509C6E7C"/>
    <w:rsid w:val="50D2381E"/>
    <w:rsid w:val="50E33C7D"/>
    <w:rsid w:val="50EC48E0"/>
    <w:rsid w:val="50EE4AFC"/>
    <w:rsid w:val="51022355"/>
    <w:rsid w:val="511107EA"/>
    <w:rsid w:val="51402E7D"/>
    <w:rsid w:val="51530495"/>
    <w:rsid w:val="5153670D"/>
    <w:rsid w:val="51581F75"/>
    <w:rsid w:val="5162104E"/>
    <w:rsid w:val="51624B84"/>
    <w:rsid w:val="51915487"/>
    <w:rsid w:val="51AB6549"/>
    <w:rsid w:val="51BF0246"/>
    <w:rsid w:val="51E97071"/>
    <w:rsid w:val="52224331"/>
    <w:rsid w:val="52701540"/>
    <w:rsid w:val="52D54975"/>
    <w:rsid w:val="52DE46FC"/>
    <w:rsid w:val="52EC6E19"/>
    <w:rsid w:val="52F67C97"/>
    <w:rsid w:val="53241198"/>
    <w:rsid w:val="532A7941"/>
    <w:rsid w:val="53486019"/>
    <w:rsid w:val="535B0578"/>
    <w:rsid w:val="53824C98"/>
    <w:rsid w:val="53A039CC"/>
    <w:rsid w:val="53A1505A"/>
    <w:rsid w:val="53CA14A5"/>
    <w:rsid w:val="53E21B76"/>
    <w:rsid w:val="54063E08"/>
    <w:rsid w:val="540E1011"/>
    <w:rsid w:val="543437E8"/>
    <w:rsid w:val="54520EFE"/>
    <w:rsid w:val="5463135D"/>
    <w:rsid w:val="5483555B"/>
    <w:rsid w:val="54AD25D8"/>
    <w:rsid w:val="54B01D36"/>
    <w:rsid w:val="54F73313"/>
    <w:rsid w:val="54F80955"/>
    <w:rsid w:val="54F975CB"/>
    <w:rsid w:val="55085BDC"/>
    <w:rsid w:val="55376345"/>
    <w:rsid w:val="555170A7"/>
    <w:rsid w:val="557172E3"/>
    <w:rsid w:val="55717AA9"/>
    <w:rsid w:val="55734C05"/>
    <w:rsid w:val="5576537A"/>
    <w:rsid w:val="5587536D"/>
    <w:rsid w:val="559B174B"/>
    <w:rsid w:val="55A74CC3"/>
    <w:rsid w:val="55AE6607"/>
    <w:rsid w:val="55BB6F76"/>
    <w:rsid w:val="55C20305"/>
    <w:rsid w:val="55CD20C1"/>
    <w:rsid w:val="55CE0CF4"/>
    <w:rsid w:val="55E03A1D"/>
    <w:rsid w:val="560A6D3E"/>
    <w:rsid w:val="56327239"/>
    <w:rsid w:val="564776F5"/>
    <w:rsid w:val="56586573"/>
    <w:rsid w:val="56AF6ADB"/>
    <w:rsid w:val="56B22A9C"/>
    <w:rsid w:val="56E801F8"/>
    <w:rsid w:val="571B4E11"/>
    <w:rsid w:val="571B7CCD"/>
    <w:rsid w:val="572B0A10"/>
    <w:rsid w:val="57346FE0"/>
    <w:rsid w:val="574134AB"/>
    <w:rsid w:val="575B27BF"/>
    <w:rsid w:val="577675F9"/>
    <w:rsid w:val="57A97AC7"/>
    <w:rsid w:val="57B43C7D"/>
    <w:rsid w:val="57B72A76"/>
    <w:rsid w:val="57BB14B0"/>
    <w:rsid w:val="57C3426C"/>
    <w:rsid w:val="57CE1F93"/>
    <w:rsid w:val="57CE2F91"/>
    <w:rsid w:val="57F56770"/>
    <w:rsid w:val="58227EB9"/>
    <w:rsid w:val="5826427F"/>
    <w:rsid w:val="582A4136"/>
    <w:rsid w:val="588743D1"/>
    <w:rsid w:val="5887701A"/>
    <w:rsid w:val="58B00ABE"/>
    <w:rsid w:val="59154BEF"/>
    <w:rsid w:val="59215342"/>
    <w:rsid w:val="592941F7"/>
    <w:rsid w:val="59301A29"/>
    <w:rsid w:val="593672F1"/>
    <w:rsid w:val="59C0439F"/>
    <w:rsid w:val="59F50119"/>
    <w:rsid w:val="5A1D7E58"/>
    <w:rsid w:val="5A5C0D28"/>
    <w:rsid w:val="5A604DB4"/>
    <w:rsid w:val="5A830343"/>
    <w:rsid w:val="5AB77E27"/>
    <w:rsid w:val="5ABE2233"/>
    <w:rsid w:val="5AC95C92"/>
    <w:rsid w:val="5AF32D0E"/>
    <w:rsid w:val="5B084A0C"/>
    <w:rsid w:val="5B2D6220"/>
    <w:rsid w:val="5B631C42"/>
    <w:rsid w:val="5B766812"/>
    <w:rsid w:val="5B81031A"/>
    <w:rsid w:val="5B8322E4"/>
    <w:rsid w:val="5BB97AB4"/>
    <w:rsid w:val="5BC052E6"/>
    <w:rsid w:val="5BDF5D95"/>
    <w:rsid w:val="5BF3746A"/>
    <w:rsid w:val="5BFE7528"/>
    <w:rsid w:val="5C25514A"/>
    <w:rsid w:val="5C337866"/>
    <w:rsid w:val="5C3929A3"/>
    <w:rsid w:val="5CD86660"/>
    <w:rsid w:val="5CE172C2"/>
    <w:rsid w:val="5CE768A3"/>
    <w:rsid w:val="5CF36FF6"/>
    <w:rsid w:val="5D5B4F37"/>
    <w:rsid w:val="5D897ABF"/>
    <w:rsid w:val="5D9A56C3"/>
    <w:rsid w:val="5DFE5E92"/>
    <w:rsid w:val="5E167440"/>
    <w:rsid w:val="5E2467F1"/>
    <w:rsid w:val="5E282CCF"/>
    <w:rsid w:val="5E734892"/>
    <w:rsid w:val="5ED342F7"/>
    <w:rsid w:val="5EE64BC7"/>
    <w:rsid w:val="5EEC1F4F"/>
    <w:rsid w:val="5F162807"/>
    <w:rsid w:val="5F1A2B43"/>
    <w:rsid w:val="5F6146EB"/>
    <w:rsid w:val="5F702B80"/>
    <w:rsid w:val="5FAB005C"/>
    <w:rsid w:val="5FB837BB"/>
    <w:rsid w:val="60436A69"/>
    <w:rsid w:val="608E7761"/>
    <w:rsid w:val="608F7035"/>
    <w:rsid w:val="60B62814"/>
    <w:rsid w:val="60CC405A"/>
    <w:rsid w:val="60E47381"/>
    <w:rsid w:val="60F021CA"/>
    <w:rsid w:val="60FB291D"/>
    <w:rsid w:val="6105226D"/>
    <w:rsid w:val="612B6C21"/>
    <w:rsid w:val="615A5895"/>
    <w:rsid w:val="61690D8A"/>
    <w:rsid w:val="617A5F38"/>
    <w:rsid w:val="61907509"/>
    <w:rsid w:val="61D2367E"/>
    <w:rsid w:val="61DA0784"/>
    <w:rsid w:val="61E215D8"/>
    <w:rsid w:val="621B3775"/>
    <w:rsid w:val="621C0D9D"/>
    <w:rsid w:val="621C2B4B"/>
    <w:rsid w:val="62364782"/>
    <w:rsid w:val="62576AB1"/>
    <w:rsid w:val="62846597"/>
    <w:rsid w:val="62AA45FB"/>
    <w:rsid w:val="62B92A90"/>
    <w:rsid w:val="62FA10DE"/>
    <w:rsid w:val="630E06E5"/>
    <w:rsid w:val="631B2E02"/>
    <w:rsid w:val="632443AD"/>
    <w:rsid w:val="6394356A"/>
    <w:rsid w:val="63A252D2"/>
    <w:rsid w:val="63BD210C"/>
    <w:rsid w:val="63C61B2C"/>
    <w:rsid w:val="63D40BE9"/>
    <w:rsid w:val="63D556A7"/>
    <w:rsid w:val="63E63410"/>
    <w:rsid w:val="63FE69AC"/>
    <w:rsid w:val="64017602"/>
    <w:rsid w:val="64095351"/>
    <w:rsid w:val="640D3093"/>
    <w:rsid w:val="64102431"/>
    <w:rsid w:val="644131D7"/>
    <w:rsid w:val="644F5459"/>
    <w:rsid w:val="6470078E"/>
    <w:rsid w:val="649317EA"/>
    <w:rsid w:val="649C421C"/>
    <w:rsid w:val="64A5243A"/>
    <w:rsid w:val="64AA08E2"/>
    <w:rsid w:val="64AF4897"/>
    <w:rsid w:val="64C51278"/>
    <w:rsid w:val="64E21E2A"/>
    <w:rsid w:val="64EF4547"/>
    <w:rsid w:val="64F531DE"/>
    <w:rsid w:val="65373578"/>
    <w:rsid w:val="657607C4"/>
    <w:rsid w:val="65BD63F3"/>
    <w:rsid w:val="65EC0A86"/>
    <w:rsid w:val="664069D2"/>
    <w:rsid w:val="66507267"/>
    <w:rsid w:val="66595EAF"/>
    <w:rsid w:val="668D04BB"/>
    <w:rsid w:val="669C06FE"/>
    <w:rsid w:val="66CD08B8"/>
    <w:rsid w:val="66D63C10"/>
    <w:rsid w:val="6703252B"/>
    <w:rsid w:val="671F124A"/>
    <w:rsid w:val="67220C03"/>
    <w:rsid w:val="67283D40"/>
    <w:rsid w:val="674F751F"/>
    <w:rsid w:val="677A33C6"/>
    <w:rsid w:val="679364E6"/>
    <w:rsid w:val="67DC14D2"/>
    <w:rsid w:val="681F6961"/>
    <w:rsid w:val="683C5CF5"/>
    <w:rsid w:val="68610A2F"/>
    <w:rsid w:val="686F7E78"/>
    <w:rsid w:val="687E630D"/>
    <w:rsid w:val="68805514"/>
    <w:rsid w:val="68C61A62"/>
    <w:rsid w:val="68C63810"/>
    <w:rsid w:val="68D4669C"/>
    <w:rsid w:val="68F13A05"/>
    <w:rsid w:val="692844CB"/>
    <w:rsid w:val="69316E2F"/>
    <w:rsid w:val="69336C03"/>
    <w:rsid w:val="693D709C"/>
    <w:rsid w:val="694E2071"/>
    <w:rsid w:val="6954706E"/>
    <w:rsid w:val="69547833"/>
    <w:rsid w:val="69586B5E"/>
    <w:rsid w:val="69766163"/>
    <w:rsid w:val="697A3B33"/>
    <w:rsid w:val="69807E63"/>
    <w:rsid w:val="69821E2D"/>
    <w:rsid w:val="69D44760"/>
    <w:rsid w:val="69E323F2"/>
    <w:rsid w:val="6A152CA1"/>
    <w:rsid w:val="6A333127"/>
    <w:rsid w:val="6A3C1FDC"/>
    <w:rsid w:val="6A520EC7"/>
    <w:rsid w:val="6A5D1F52"/>
    <w:rsid w:val="6A95767F"/>
    <w:rsid w:val="6A9A2CFB"/>
    <w:rsid w:val="6AF64881"/>
    <w:rsid w:val="6AF723A7"/>
    <w:rsid w:val="6AF87E20"/>
    <w:rsid w:val="6B017521"/>
    <w:rsid w:val="6B120F8F"/>
    <w:rsid w:val="6B322639"/>
    <w:rsid w:val="6B460C38"/>
    <w:rsid w:val="6B500671"/>
    <w:rsid w:val="6B80414A"/>
    <w:rsid w:val="6B8A4FC9"/>
    <w:rsid w:val="6BF15048"/>
    <w:rsid w:val="6C055A6B"/>
    <w:rsid w:val="6C327B3B"/>
    <w:rsid w:val="6C4B29AA"/>
    <w:rsid w:val="6C557385"/>
    <w:rsid w:val="6C636C38"/>
    <w:rsid w:val="6CE54BAD"/>
    <w:rsid w:val="6DA951ED"/>
    <w:rsid w:val="6DB34098"/>
    <w:rsid w:val="6DB545B6"/>
    <w:rsid w:val="6DB602F7"/>
    <w:rsid w:val="6DBB3B60"/>
    <w:rsid w:val="6DC2228D"/>
    <w:rsid w:val="6DE02FB4"/>
    <w:rsid w:val="6DF71476"/>
    <w:rsid w:val="6E10287F"/>
    <w:rsid w:val="6E160D96"/>
    <w:rsid w:val="6E284A08"/>
    <w:rsid w:val="6E293316"/>
    <w:rsid w:val="6E427F2E"/>
    <w:rsid w:val="6E514CED"/>
    <w:rsid w:val="6E7B6E4B"/>
    <w:rsid w:val="6EB563D5"/>
    <w:rsid w:val="6EC32CCC"/>
    <w:rsid w:val="6ED92677"/>
    <w:rsid w:val="6EF94940"/>
    <w:rsid w:val="6EFA2466"/>
    <w:rsid w:val="6F225983"/>
    <w:rsid w:val="6F2A79D1"/>
    <w:rsid w:val="6F9C52CB"/>
    <w:rsid w:val="6FC34F4E"/>
    <w:rsid w:val="6FEA072C"/>
    <w:rsid w:val="6FFC5590"/>
    <w:rsid w:val="700C06A3"/>
    <w:rsid w:val="702B4077"/>
    <w:rsid w:val="703C4E51"/>
    <w:rsid w:val="703C5AEF"/>
    <w:rsid w:val="70407DBF"/>
    <w:rsid w:val="706D1DD0"/>
    <w:rsid w:val="70856B87"/>
    <w:rsid w:val="709A3F00"/>
    <w:rsid w:val="70BD7BEF"/>
    <w:rsid w:val="70D527EE"/>
    <w:rsid w:val="70D72A5F"/>
    <w:rsid w:val="70E43A78"/>
    <w:rsid w:val="710870BC"/>
    <w:rsid w:val="71184E25"/>
    <w:rsid w:val="71235CA4"/>
    <w:rsid w:val="71267542"/>
    <w:rsid w:val="7128150C"/>
    <w:rsid w:val="71294EAE"/>
    <w:rsid w:val="71431EA2"/>
    <w:rsid w:val="71453E6C"/>
    <w:rsid w:val="715B5300"/>
    <w:rsid w:val="718524BB"/>
    <w:rsid w:val="718A7AD1"/>
    <w:rsid w:val="71A62431"/>
    <w:rsid w:val="71BE013D"/>
    <w:rsid w:val="71D27F8A"/>
    <w:rsid w:val="71EA4A14"/>
    <w:rsid w:val="721E46BD"/>
    <w:rsid w:val="724759C2"/>
    <w:rsid w:val="72553024"/>
    <w:rsid w:val="726A094F"/>
    <w:rsid w:val="726B5B54"/>
    <w:rsid w:val="72917D52"/>
    <w:rsid w:val="729606F7"/>
    <w:rsid w:val="7298621E"/>
    <w:rsid w:val="72A050D2"/>
    <w:rsid w:val="72BB015E"/>
    <w:rsid w:val="72E651DB"/>
    <w:rsid w:val="730838E9"/>
    <w:rsid w:val="73122968"/>
    <w:rsid w:val="731F5D5E"/>
    <w:rsid w:val="73261A7B"/>
    <w:rsid w:val="734D525A"/>
    <w:rsid w:val="73652B9E"/>
    <w:rsid w:val="738549F4"/>
    <w:rsid w:val="739E1612"/>
    <w:rsid w:val="73C51AD5"/>
    <w:rsid w:val="73FC458A"/>
    <w:rsid w:val="74055B35"/>
    <w:rsid w:val="74177616"/>
    <w:rsid w:val="741E793C"/>
    <w:rsid w:val="742667B9"/>
    <w:rsid w:val="743561FF"/>
    <w:rsid w:val="745E3944"/>
    <w:rsid w:val="74844CAB"/>
    <w:rsid w:val="74857D64"/>
    <w:rsid w:val="748849EE"/>
    <w:rsid w:val="74AB289A"/>
    <w:rsid w:val="74C77977"/>
    <w:rsid w:val="74DF6386"/>
    <w:rsid w:val="750822D9"/>
    <w:rsid w:val="75093403"/>
    <w:rsid w:val="7516167C"/>
    <w:rsid w:val="754D1541"/>
    <w:rsid w:val="75524DAA"/>
    <w:rsid w:val="7577036C"/>
    <w:rsid w:val="75B82733"/>
    <w:rsid w:val="75FB166E"/>
    <w:rsid w:val="7635099D"/>
    <w:rsid w:val="763E0E8A"/>
    <w:rsid w:val="76627727"/>
    <w:rsid w:val="76674885"/>
    <w:rsid w:val="76962A74"/>
    <w:rsid w:val="76A2766B"/>
    <w:rsid w:val="76AF1D88"/>
    <w:rsid w:val="76AF3B36"/>
    <w:rsid w:val="76BE1FCB"/>
    <w:rsid w:val="76EF3D2C"/>
    <w:rsid w:val="77091498"/>
    <w:rsid w:val="773504DF"/>
    <w:rsid w:val="77762421"/>
    <w:rsid w:val="77764653"/>
    <w:rsid w:val="7778661E"/>
    <w:rsid w:val="77845C0B"/>
    <w:rsid w:val="77974CF6"/>
    <w:rsid w:val="77AA0F4D"/>
    <w:rsid w:val="77B56B1F"/>
    <w:rsid w:val="780F09F4"/>
    <w:rsid w:val="785D5F3F"/>
    <w:rsid w:val="786D1EFA"/>
    <w:rsid w:val="78743289"/>
    <w:rsid w:val="789B5E56"/>
    <w:rsid w:val="78A90480"/>
    <w:rsid w:val="78C935D5"/>
    <w:rsid w:val="78D12489"/>
    <w:rsid w:val="78D608B0"/>
    <w:rsid w:val="78EE0C5B"/>
    <w:rsid w:val="791505C8"/>
    <w:rsid w:val="793F7159"/>
    <w:rsid w:val="7974624F"/>
    <w:rsid w:val="7978343A"/>
    <w:rsid w:val="79A5434B"/>
    <w:rsid w:val="7A124B07"/>
    <w:rsid w:val="7A364017"/>
    <w:rsid w:val="7A57076C"/>
    <w:rsid w:val="7A666C01"/>
    <w:rsid w:val="7A8265E1"/>
    <w:rsid w:val="7A903C7E"/>
    <w:rsid w:val="7A9C2B4C"/>
    <w:rsid w:val="7AB931D5"/>
    <w:rsid w:val="7AD92586"/>
    <w:rsid w:val="7AEF5020"/>
    <w:rsid w:val="7B332F87"/>
    <w:rsid w:val="7B580C40"/>
    <w:rsid w:val="7B686D42"/>
    <w:rsid w:val="7B841746"/>
    <w:rsid w:val="7BC167E5"/>
    <w:rsid w:val="7BCD1AAE"/>
    <w:rsid w:val="7BCE4A5E"/>
    <w:rsid w:val="7C136915"/>
    <w:rsid w:val="7C1A4147"/>
    <w:rsid w:val="7C324310"/>
    <w:rsid w:val="7C3945CD"/>
    <w:rsid w:val="7C4116D4"/>
    <w:rsid w:val="7C475DF2"/>
    <w:rsid w:val="7C56540B"/>
    <w:rsid w:val="7C635272"/>
    <w:rsid w:val="7C6C5AC7"/>
    <w:rsid w:val="7CC6544B"/>
    <w:rsid w:val="7D0239FF"/>
    <w:rsid w:val="7D172435"/>
    <w:rsid w:val="7D1961AD"/>
    <w:rsid w:val="7D250FF6"/>
    <w:rsid w:val="7D284642"/>
    <w:rsid w:val="7D5E40CD"/>
    <w:rsid w:val="7D842BE6"/>
    <w:rsid w:val="7DBB7264"/>
    <w:rsid w:val="7DC600E3"/>
    <w:rsid w:val="7DCD56F2"/>
    <w:rsid w:val="7DD32800"/>
    <w:rsid w:val="7DEC566F"/>
    <w:rsid w:val="7DF87B9C"/>
    <w:rsid w:val="7E100912"/>
    <w:rsid w:val="7E1F77F3"/>
    <w:rsid w:val="7E253435"/>
    <w:rsid w:val="7E563EBE"/>
    <w:rsid w:val="7E927FC5"/>
    <w:rsid w:val="7EC66F31"/>
    <w:rsid w:val="7ECD724F"/>
    <w:rsid w:val="7ED063DD"/>
    <w:rsid w:val="7F001CE7"/>
    <w:rsid w:val="7F02598A"/>
    <w:rsid w:val="7F2B3269"/>
    <w:rsid w:val="7F8F589D"/>
    <w:rsid w:val="7F967F89"/>
    <w:rsid w:val="7FCB309C"/>
    <w:rsid w:val="7FE47E50"/>
    <w:rsid w:val="7FF13411"/>
    <w:rsid w:val="7FFE03C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8,10"/>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ocked="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ocked="1"/>
    <w:lsdException w:qFormat="1" w:unhideWhenUsed="0" w:uiPriority="0" w:semiHidden="0" w:name="Normal Indent" w:locked="1"/>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ocked="1"/>
    <w:lsdException w:qFormat="1" w:uiPriority="0" w:semiHidden="0" w:name="table of figures" w:locked="1"/>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ocked="1"/>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ocked="1"/>
    <w:lsdException w:qFormat="1" w:uiPriority="0" w:semiHidden="0" w:name="List Bullet"/>
    <w:lsdException w:unhideWhenUsed="0" w:uiPriority="0" w:semiHidden="0" w:name="List Number"/>
    <w:lsdException w:qFormat="1" w:unhideWhenUsed="0" w:uiPriority="0" w:semiHidden="0" w:name="List 2" w:locked="1"/>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ocked="1"/>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qFormat="1"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qFormat="1" w:unhideWhenUsed="0" w:uiPriority="0" w:semiHidden="0" w:name="Note Heading" w:locked="1"/>
    <w:lsdException w:qFormat="1" w:unhideWhenUsed="0" w:uiPriority="0" w:semiHidden="0" w:name="Body Text 2" w:locked="1"/>
    <w:lsdException w:qFormat="1" w:unhideWhenUsed="0" w:uiPriority="0" w:semiHidden="0" w:name="Body Text 3"/>
    <w:lsdException w:qFormat="1" w:unhideWhenUsed="0" w:uiPriority="0" w:semiHidden="0" w:name="Body Text Indent 2" w:locked="1"/>
    <w:lsdException w:qFormat="1" w:unhideWhenUsed="0" w:uiPriority="0" w:semiHidden="0" w:name="Body Text Indent 3" w:locked="1"/>
    <w:lsdException w:qFormat="1" w:unhideWhenUsed="0" w:uiPriority="0" w:semiHidden="0" w:name="Block Text" w:locked="1"/>
    <w:lsdException w:qFormat="1" w:unhideWhenUsed="0" w:uiPriority="0" w:semiHidden="0" w:name="Hyperlink" w:locked="1"/>
    <w:lsdException w:qFormat="1" w:unhideWhenUsed="0" w:uiPriority="0" w:semiHidden="0" w:name="FollowedHyperlink"/>
    <w:lsdException w:qFormat="1" w:unhideWhenUsed="0" w:uiPriority="0" w:semiHidden="0" w:name="Strong" w:locked="1"/>
    <w:lsdException w:qFormat="1" w:unhideWhenUsed="0" w:uiPriority="0" w:semiHidden="0" w:name="Emphasis" w:locked="1"/>
    <w:lsdException w:qFormat="1" w:unhideWhenUsed="0" w:uiPriority="0" w:semiHidden="0" w:name="Document Map" w:locked="1"/>
    <w:lsdException w:qFormat="1" w:unhideWhenUsed="0" w:uiPriority="0" w:semiHidden="0" w:name="Plain Text" w:locked="1"/>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1"/>
      <w:lang w:val="en-US" w:eastAsia="zh-CN" w:bidi="ar-SA"/>
    </w:rPr>
  </w:style>
  <w:style w:type="paragraph" w:styleId="3">
    <w:name w:val="heading 1"/>
    <w:basedOn w:val="1"/>
    <w:next w:val="1"/>
    <w:link w:val="75"/>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4">
    <w:name w:val="heading 2"/>
    <w:basedOn w:val="1"/>
    <w:next w:val="1"/>
    <w:link w:val="76"/>
    <w:qFormat/>
    <w:locked/>
    <w:uiPriority w:val="0"/>
    <w:pPr>
      <w:keepNext/>
      <w:keepLines/>
      <w:spacing w:before="260" w:after="260" w:line="360" w:lineRule="auto"/>
      <w:ind w:firstLine="540" w:firstLineChars="168"/>
      <w:outlineLvl w:val="1"/>
    </w:pPr>
    <w:rPr>
      <w:rFonts w:ascii="Arial" w:hAnsi="Arial" w:eastAsia="黑体"/>
      <w:b/>
      <w:bCs/>
      <w:sz w:val="32"/>
      <w:szCs w:val="32"/>
    </w:rPr>
  </w:style>
  <w:style w:type="paragraph" w:styleId="5">
    <w:name w:val="heading 3"/>
    <w:basedOn w:val="1"/>
    <w:next w:val="1"/>
    <w:link w:val="77"/>
    <w:qFormat/>
    <w:locked/>
    <w:uiPriority w:val="0"/>
    <w:pPr>
      <w:keepNext/>
      <w:keepLines/>
      <w:spacing w:before="260" w:after="260" w:line="416" w:lineRule="auto"/>
      <w:outlineLvl w:val="2"/>
    </w:pPr>
    <w:rPr>
      <w:b/>
      <w:bCs/>
      <w:sz w:val="32"/>
      <w:szCs w:val="32"/>
    </w:rPr>
  </w:style>
  <w:style w:type="paragraph" w:styleId="6">
    <w:name w:val="heading 4"/>
    <w:basedOn w:val="1"/>
    <w:next w:val="1"/>
    <w:link w:val="78"/>
    <w:qFormat/>
    <w:locked/>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79"/>
    <w:qFormat/>
    <w:uiPriority w:val="0"/>
    <w:pPr>
      <w:keepNext/>
      <w:keepLines/>
      <w:spacing w:before="280" w:after="290" w:line="376" w:lineRule="auto"/>
      <w:outlineLvl w:val="4"/>
    </w:pPr>
    <w:rPr>
      <w:rFonts w:cs="Calibri"/>
      <w:b/>
      <w:bCs/>
      <w:color w:val="000000"/>
      <w:sz w:val="24"/>
      <w:szCs w:val="28"/>
    </w:rPr>
  </w:style>
  <w:style w:type="paragraph" w:styleId="8">
    <w:name w:val="heading 6"/>
    <w:basedOn w:val="1"/>
    <w:next w:val="1"/>
    <w:link w:val="80"/>
    <w:qFormat/>
    <w:uiPriority w:val="0"/>
    <w:pPr>
      <w:keepNext/>
      <w:keepLines/>
      <w:spacing w:before="240" w:after="64" w:line="320" w:lineRule="auto"/>
      <w:outlineLvl w:val="5"/>
    </w:pPr>
    <w:rPr>
      <w:rFonts w:ascii="Arial" w:hAnsi="Arial" w:eastAsia="黑体" w:cs="Calibri"/>
      <w:b/>
      <w:bCs/>
      <w:color w:val="000000"/>
      <w:sz w:val="24"/>
    </w:rPr>
  </w:style>
  <w:style w:type="paragraph" w:styleId="9">
    <w:name w:val="heading 7"/>
    <w:basedOn w:val="1"/>
    <w:next w:val="1"/>
    <w:link w:val="81"/>
    <w:qFormat/>
    <w:uiPriority w:val="0"/>
    <w:pPr>
      <w:keepNext/>
      <w:keepLines/>
      <w:spacing w:before="240" w:after="64" w:line="320" w:lineRule="auto"/>
      <w:outlineLvl w:val="6"/>
    </w:pPr>
    <w:rPr>
      <w:rFonts w:cs="Calibri"/>
      <w:b/>
      <w:bCs/>
      <w:color w:val="000000"/>
      <w:sz w:val="24"/>
    </w:rPr>
  </w:style>
  <w:style w:type="paragraph" w:styleId="10">
    <w:name w:val="heading 8"/>
    <w:basedOn w:val="1"/>
    <w:next w:val="1"/>
    <w:link w:val="82"/>
    <w:qFormat/>
    <w:uiPriority w:val="0"/>
    <w:pPr>
      <w:keepNext/>
      <w:keepLines/>
      <w:spacing w:before="240" w:after="64" w:line="320" w:lineRule="auto"/>
      <w:outlineLvl w:val="7"/>
    </w:pPr>
    <w:rPr>
      <w:rFonts w:ascii="Arial" w:hAnsi="Arial" w:eastAsia="黑体" w:cs="Calibri"/>
      <w:color w:val="000000"/>
      <w:sz w:val="24"/>
    </w:rPr>
  </w:style>
  <w:style w:type="paragraph" w:styleId="11">
    <w:name w:val="heading 9"/>
    <w:basedOn w:val="1"/>
    <w:next w:val="1"/>
    <w:link w:val="83"/>
    <w:qFormat/>
    <w:uiPriority w:val="0"/>
    <w:pPr>
      <w:keepNext/>
      <w:keepLines/>
      <w:spacing w:before="240" w:after="64" w:line="320" w:lineRule="auto"/>
      <w:outlineLvl w:val="8"/>
    </w:pPr>
    <w:rPr>
      <w:rFonts w:ascii="Arial" w:hAnsi="Arial" w:eastAsia="黑体" w:cs="Calibri"/>
      <w:color w:val="000000"/>
      <w:szCs w:val="21"/>
    </w:rPr>
  </w:style>
  <w:style w:type="character" w:default="1" w:styleId="54">
    <w:name w:val="Default Paragraph Font"/>
    <w:semiHidden/>
    <w:qFormat/>
    <w:uiPriority w:val="0"/>
  </w:style>
  <w:style w:type="table" w:default="1" w:styleId="5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Body Text"/>
    <w:basedOn w:val="1"/>
    <w:link w:val="88"/>
    <w:qFormat/>
    <w:uiPriority w:val="0"/>
    <w:pPr>
      <w:widowControl/>
      <w:snapToGrid w:val="0"/>
      <w:spacing w:before="60" w:after="160" w:line="259" w:lineRule="auto"/>
      <w:ind w:right="113"/>
    </w:pPr>
    <w:rPr>
      <w:kern w:val="0"/>
      <w:sz w:val="18"/>
      <w:szCs w:val="20"/>
    </w:rPr>
  </w:style>
  <w:style w:type="paragraph" w:styleId="12">
    <w:name w:val="toc 7"/>
    <w:basedOn w:val="1"/>
    <w:next w:val="1"/>
    <w:qFormat/>
    <w:uiPriority w:val="0"/>
    <w:pPr>
      <w:ind w:left="2520" w:leftChars="1200"/>
    </w:pPr>
    <w:rPr>
      <w:rFonts w:cs="Calibri"/>
      <w:color w:val="000000"/>
      <w:sz w:val="24"/>
    </w:rPr>
  </w:style>
  <w:style w:type="paragraph" w:styleId="13">
    <w:name w:val="Note Heading"/>
    <w:basedOn w:val="1"/>
    <w:next w:val="1"/>
    <w:qFormat/>
    <w:locked/>
    <w:uiPriority w:val="0"/>
    <w:pPr>
      <w:jc w:val="center"/>
    </w:pPr>
    <w:rPr>
      <w:sz w:val="28"/>
      <w:szCs w:val="20"/>
    </w:rPr>
  </w:style>
  <w:style w:type="paragraph" w:styleId="14">
    <w:name w:val="Normal Indent"/>
    <w:basedOn w:val="1"/>
    <w:link w:val="84"/>
    <w:qFormat/>
    <w:locked/>
    <w:uiPriority w:val="0"/>
    <w:pPr>
      <w:spacing w:line="440" w:lineRule="exact"/>
      <w:ind w:firstLine="652"/>
    </w:pPr>
    <w:rPr>
      <w:spacing w:val="20"/>
      <w:sz w:val="24"/>
      <w:szCs w:val="20"/>
    </w:rPr>
  </w:style>
  <w:style w:type="paragraph" w:styleId="15">
    <w:name w:val="caption"/>
    <w:basedOn w:val="1"/>
    <w:next w:val="1"/>
    <w:qFormat/>
    <w:locked/>
    <w:uiPriority w:val="0"/>
    <w:rPr>
      <w:rFonts w:ascii="Arial" w:hAnsi="Arial" w:eastAsia="黑体" w:cs="Arial"/>
      <w:sz w:val="20"/>
      <w:szCs w:val="20"/>
    </w:rPr>
  </w:style>
  <w:style w:type="paragraph" w:styleId="16">
    <w:name w:val="List Bullet"/>
    <w:basedOn w:val="1"/>
    <w:unhideWhenUsed/>
    <w:qFormat/>
    <w:uiPriority w:val="0"/>
    <w:pPr>
      <w:numPr>
        <w:ilvl w:val="0"/>
        <w:numId w:val="1"/>
      </w:numPr>
      <w:tabs>
        <w:tab w:val="left" w:pos="360"/>
      </w:tabs>
      <w:contextualSpacing/>
    </w:pPr>
    <w:rPr>
      <w:rFonts w:cs="Calibri"/>
      <w:color w:val="000000"/>
    </w:rPr>
  </w:style>
  <w:style w:type="paragraph" w:styleId="17">
    <w:name w:val="Document Map"/>
    <w:basedOn w:val="1"/>
    <w:link w:val="85"/>
    <w:qFormat/>
    <w:locked/>
    <w:uiPriority w:val="0"/>
    <w:rPr>
      <w:rFonts w:ascii="宋体"/>
      <w:sz w:val="18"/>
      <w:szCs w:val="18"/>
    </w:rPr>
  </w:style>
  <w:style w:type="paragraph" w:styleId="18">
    <w:name w:val="annotation text"/>
    <w:basedOn w:val="1"/>
    <w:link w:val="86"/>
    <w:semiHidden/>
    <w:qFormat/>
    <w:uiPriority w:val="0"/>
    <w:pPr>
      <w:jc w:val="left"/>
    </w:pPr>
    <w:rPr>
      <w:kern w:val="0"/>
      <w:sz w:val="24"/>
      <w:szCs w:val="20"/>
    </w:rPr>
  </w:style>
  <w:style w:type="paragraph" w:styleId="19">
    <w:name w:val="Salutation"/>
    <w:basedOn w:val="1"/>
    <w:next w:val="1"/>
    <w:unhideWhenUsed/>
    <w:qFormat/>
    <w:locked/>
    <w:uiPriority w:val="0"/>
    <w:rPr>
      <w:sz w:val="28"/>
    </w:rPr>
  </w:style>
  <w:style w:type="paragraph" w:styleId="20">
    <w:name w:val="Body Text 3"/>
    <w:basedOn w:val="1"/>
    <w:link w:val="87"/>
    <w:qFormat/>
    <w:uiPriority w:val="0"/>
    <w:pPr>
      <w:spacing w:line="280" w:lineRule="exact"/>
      <w:jc w:val="center"/>
    </w:pPr>
    <w:rPr>
      <w:rFonts w:eastAsia="Times New Roman"/>
      <w:sz w:val="24"/>
    </w:rPr>
  </w:style>
  <w:style w:type="paragraph" w:styleId="21">
    <w:name w:val="Body Text Indent"/>
    <w:basedOn w:val="1"/>
    <w:link w:val="89"/>
    <w:qFormat/>
    <w:uiPriority w:val="0"/>
    <w:pPr>
      <w:spacing w:after="120"/>
      <w:ind w:left="420" w:leftChars="200"/>
    </w:pPr>
    <w:rPr>
      <w:kern w:val="0"/>
      <w:sz w:val="24"/>
      <w:szCs w:val="20"/>
    </w:rPr>
  </w:style>
  <w:style w:type="paragraph" w:styleId="22">
    <w:name w:val="List 2"/>
    <w:basedOn w:val="1"/>
    <w:qFormat/>
    <w:locked/>
    <w:uiPriority w:val="0"/>
    <w:pPr>
      <w:ind w:left="100" w:leftChars="200" w:hanging="200" w:hangingChars="200"/>
    </w:pPr>
    <w:rPr>
      <w:sz w:val="28"/>
    </w:rPr>
  </w:style>
  <w:style w:type="paragraph" w:styleId="23">
    <w:name w:val="Block Text"/>
    <w:basedOn w:val="1"/>
    <w:qFormat/>
    <w:locked/>
    <w:uiPriority w:val="0"/>
    <w:pPr>
      <w:spacing w:after="120"/>
      <w:ind w:left="1440" w:leftChars="700" w:right="1440" w:rightChars="700"/>
    </w:pPr>
  </w:style>
  <w:style w:type="paragraph" w:styleId="24">
    <w:name w:val="toc 5"/>
    <w:basedOn w:val="1"/>
    <w:next w:val="1"/>
    <w:qFormat/>
    <w:uiPriority w:val="0"/>
    <w:pPr>
      <w:ind w:left="1680" w:leftChars="800"/>
    </w:pPr>
    <w:rPr>
      <w:rFonts w:cs="Calibri"/>
      <w:color w:val="000000"/>
      <w:sz w:val="24"/>
    </w:rPr>
  </w:style>
  <w:style w:type="paragraph" w:styleId="25">
    <w:name w:val="toc 3"/>
    <w:basedOn w:val="1"/>
    <w:next w:val="1"/>
    <w:qFormat/>
    <w:uiPriority w:val="0"/>
    <w:pPr>
      <w:ind w:left="840" w:leftChars="400"/>
    </w:pPr>
    <w:rPr>
      <w:rFonts w:cs="Calibri"/>
      <w:color w:val="000000"/>
      <w:sz w:val="24"/>
    </w:rPr>
  </w:style>
  <w:style w:type="paragraph" w:styleId="26">
    <w:name w:val="Plain Text"/>
    <w:basedOn w:val="1"/>
    <w:next w:val="19"/>
    <w:link w:val="91"/>
    <w:qFormat/>
    <w:locked/>
    <w:uiPriority w:val="0"/>
    <w:rPr>
      <w:rFonts w:ascii="宋体" w:hAnsi="Courier New"/>
      <w:szCs w:val="21"/>
    </w:rPr>
  </w:style>
  <w:style w:type="paragraph" w:styleId="27">
    <w:name w:val="List Bullet 5"/>
    <w:basedOn w:val="1"/>
    <w:qFormat/>
    <w:locked/>
    <w:uiPriority w:val="0"/>
    <w:pPr>
      <w:widowControl/>
      <w:spacing w:line="360" w:lineRule="auto"/>
      <w:ind w:firstLine="480"/>
      <w:jc w:val="left"/>
    </w:pPr>
    <w:rPr>
      <w:kern w:val="0"/>
      <w:sz w:val="24"/>
    </w:rPr>
  </w:style>
  <w:style w:type="paragraph" w:styleId="28">
    <w:name w:val="toc 8"/>
    <w:basedOn w:val="1"/>
    <w:next w:val="1"/>
    <w:qFormat/>
    <w:uiPriority w:val="0"/>
    <w:pPr>
      <w:ind w:left="2940" w:leftChars="1400"/>
    </w:pPr>
    <w:rPr>
      <w:rFonts w:cs="Calibri"/>
      <w:color w:val="000000"/>
      <w:sz w:val="24"/>
    </w:rPr>
  </w:style>
  <w:style w:type="paragraph" w:styleId="29">
    <w:name w:val="Date"/>
    <w:basedOn w:val="1"/>
    <w:next w:val="1"/>
    <w:link w:val="92"/>
    <w:qFormat/>
    <w:uiPriority w:val="0"/>
    <w:pPr>
      <w:ind w:left="100" w:leftChars="2500"/>
    </w:pPr>
    <w:rPr>
      <w:kern w:val="0"/>
      <w:sz w:val="24"/>
      <w:szCs w:val="20"/>
    </w:rPr>
  </w:style>
  <w:style w:type="paragraph" w:styleId="30">
    <w:name w:val="Body Text Indent 2"/>
    <w:basedOn w:val="1"/>
    <w:qFormat/>
    <w:locked/>
    <w:uiPriority w:val="0"/>
    <w:pPr>
      <w:spacing w:after="120" w:line="480" w:lineRule="auto"/>
      <w:ind w:left="420" w:leftChars="200"/>
    </w:pPr>
    <w:rPr>
      <w:sz w:val="28"/>
    </w:rPr>
  </w:style>
  <w:style w:type="paragraph" w:styleId="31">
    <w:name w:val="Balloon Text"/>
    <w:basedOn w:val="1"/>
    <w:link w:val="93"/>
    <w:semiHidden/>
    <w:qFormat/>
    <w:uiPriority w:val="0"/>
    <w:rPr>
      <w:kern w:val="0"/>
      <w:sz w:val="18"/>
      <w:szCs w:val="20"/>
    </w:rPr>
  </w:style>
  <w:style w:type="paragraph" w:styleId="32">
    <w:name w:val="footer"/>
    <w:basedOn w:val="1"/>
    <w:link w:val="94"/>
    <w:qFormat/>
    <w:uiPriority w:val="99"/>
    <w:pPr>
      <w:tabs>
        <w:tab w:val="center" w:pos="4153"/>
        <w:tab w:val="right" w:pos="8306"/>
      </w:tabs>
      <w:snapToGrid w:val="0"/>
      <w:jc w:val="left"/>
    </w:pPr>
    <w:rPr>
      <w:kern w:val="0"/>
      <w:sz w:val="18"/>
      <w:szCs w:val="20"/>
    </w:rPr>
  </w:style>
  <w:style w:type="paragraph" w:styleId="33">
    <w:name w:val="envelope return"/>
    <w:basedOn w:val="1"/>
    <w:qFormat/>
    <w:uiPriority w:val="0"/>
    <w:pPr>
      <w:snapToGrid w:val="0"/>
      <w:spacing w:line="480" w:lineRule="exact"/>
    </w:pPr>
    <w:rPr>
      <w:rFonts w:ascii="Arial" w:hAnsi="Arial" w:cs="Arial"/>
      <w:szCs w:val="24"/>
    </w:rPr>
  </w:style>
  <w:style w:type="paragraph" w:styleId="34">
    <w:name w:val="header"/>
    <w:basedOn w:val="1"/>
    <w:next w:val="2"/>
    <w:link w:val="90"/>
    <w:qFormat/>
    <w:uiPriority w:val="0"/>
    <w:pPr>
      <w:pBdr>
        <w:bottom w:val="single" w:color="auto" w:sz="6" w:space="1"/>
      </w:pBdr>
      <w:tabs>
        <w:tab w:val="center" w:pos="4153"/>
        <w:tab w:val="right" w:pos="8306"/>
      </w:tabs>
      <w:snapToGrid w:val="0"/>
      <w:jc w:val="center"/>
    </w:pPr>
    <w:rPr>
      <w:kern w:val="0"/>
      <w:sz w:val="18"/>
      <w:szCs w:val="20"/>
    </w:rPr>
  </w:style>
  <w:style w:type="paragraph" w:styleId="35">
    <w:name w:val="toc 1"/>
    <w:basedOn w:val="1"/>
    <w:next w:val="1"/>
    <w:semiHidden/>
    <w:qFormat/>
    <w:uiPriority w:val="0"/>
  </w:style>
  <w:style w:type="paragraph" w:styleId="36">
    <w:name w:val="toc 4"/>
    <w:basedOn w:val="1"/>
    <w:next w:val="1"/>
    <w:qFormat/>
    <w:uiPriority w:val="0"/>
    <w:pPr>
      <w:ind w:left="1260" w:leftChars="600"/>
    </w:pPr>
    <w:rPr>
      <w:rFonts w:cs="Calibri"/>
      <w:color w:val="000000"/>
      <w:sz w:val="24"/>
    </w:rPr>
  </w:style>
  <w:style w:type="paragraph" w:styleId="37">
    <w:name w:val="Subtitle"/>
    <w:basedOn w:val="1"/>
    <w:link w:val="95"/>
    <w:qFormat/>
    <w:locked/>
    <w:uiPriority w:val="0"/>
    <w:pPr>
      <w:adjustRightInd w:val="0"/>
      <w:snapToGrid w:val="0"/>
      <w:spacing w:line="360" w:lineRule="auto"/>
      <w:jc w:val="center"/>
    </w:pPr>
    <w:rPr>
      <w:rFonts w:ascii="宋体" w:hAnsi="宋体" w:eastAsia="仿宋" w:cs="宋体"/>
      <w:spacing w:val="-16"/>
      <w:szCs w:val="21"/>
    </w:rPr>
  </w:style>
  <w:style w:type="paragraph" w:styleId="38">
    <w:name w:val="List"/>
    <w:basedOn w:val="1"/>
    <w:qFormat/>
    <w:locked/>
    <w:uiPriority w:val="0"/>
    <w:pPr>
      <w:spacing w:line="360" w:lineRule="auto"/>
      <w:jc w:val="center"/>
    </w:pPr>
    <w:rPr>
      <w:rFonts w:eastAsia="黑体"/>
      <w:sz w:val="24"/>
      <w:szCs w:val="20"/>
    </w:rPr>
  </w:style>
  <w:style w:type="paragraph" w:styleId="39">
    <w:name w:val="toc 6"/>
    <w:basedOn w:val="1"/>
    <w:next w:val="1"/>
    <w:qFormat/>
    <w:uiPriority w:val="0"/>
    <w:pPr>
      <w:ind w:left="2100" w:leftChars="1000"/>
    </w:pPr>
    <w:rPr>
      <w:rFonts w:cs="Calibri"/>
      <w:color w:val="000000"/>
      <w:sz w:val="24"/>
    </w:rPr>
  </w:style>
  <w:style w:type="paragraph" w:styleId="40">
    <w:name w:val="Body Text Indent 3"/>
    <w:basedOn w:val="1"/>
    <w:link w:val="96"/>
    <w:qFormat/>
    <w:locked/>
    <w:uiPriority w:val="0"/>
    <w:pPr>
      <w:spacing w:after="120"/>
      <w:ind w:left="420" w:leftChars="200"/>
    </w:pPr>
    <w:rPr>
      <w:sz w:val="16"/>
      <w:szCs w:val="16"/>
    </w:rPr>
  </w:style>
  <w:style w:type="paragraph" w:styleId="41">
    <w:name w:val="table of figures"/>
    <w:basedOn w:val="1"/>
    <w:next w:val="1"/>
    <w:unhideWhenUsed/>
    <w:qFormat/>
    <w:locked/>
    <w:uiPriority w:val="0"/>
    <w:pPr>
      <w:ind w:leftChars="200" w:hanging="200" w:hangingChars="200"/>
    </w:pPr>
    <w:rPr>
      <w:rFonts w:hint="eastAsia"/>
      <w:szCs w:val="20"/>
    </w:rPr>
  </w:style>
  <w:style w:type="paragraph" w:styleId="42">
    <w:name w:val="toc 2"/>
    <w:basedOn w:val="1"/>
    <w:next w:val="1"/>
    <w:qFormat/>
    <w:uiPriority w:val="0"/>
    <w:pPr>
      <w:tabs>
        <w:tab w:val="right" w:leader="dot" w:pos="8302"/>
      </w:tabs>
      <w:spacing w:line="360" w:lineRule="auto"/>
      <w:ind w:left="420" w:leftChars="200"/>
    </w:pPr>
    <w:rPr>
      <w:rFonts w:cs="Calibri"/>
      <w:color w:val="000000"/>
      <w:sz w:val="24"/>
    </w:rPr>
  </w:style>
  <w:style w:type="paragraph" w:styleId="43">
    <w:name w:val="toc 9"/>
    <w:basedOn w:val="1"/>
    <w:next w:val="1"/>
    <w:qFormat/>
    <w:locked/>
    <w:uiPriority w:val="0"/>
    <w:pPr>
      <w:spacing w:line="440" w:lineRule="exact"/>
      <w:ind w:left="1920" w:firstLine="200" w:firstLineChars="200"/>
      <w:jc w:val="left"/>
    </w:pPr>
    <w:rPr>
      <w:spacing w:val="20"/>
      <w:sz w:val="24"/>
      <w:szCs w:val="21"/>
    </w:rPr>
  </w:style>
  <w:style w:type="paragraph" w:styleId="44">
    <w:name w:val="Body Text 2"/>
    <w:basedOn w:val="1"/>
    <w:qFormat/>
    <w:locked/>
    <w:uiPriority w:val="0"/>
    <w:pPr>
      <w:spacing w:after="120" w:line="480" w:lineRule="auto"/>
    </w:pPr>
    <w:rPr>
      <w:sz w:val="28"/>
    </w:rPr>
  </w:style>
  <w:style w:type="paragraph" w:styleId="45">
    <w:name w:val="HTML Preformatted"/>
    <w:basedOn w:val="1"/>
    <w:qFormat/>
    <w:uiPriority w:val="0"/>
    <w:pPr>
      <w:spacing w:line="480" w:lineRule="exact"/>
    </w:pPr>
    <w:rPr>
      <w:rFonts w:ascii="Courier New" w:hAnsi="Courier New"/>
      <w:sz w:val="20"/>
      <w:szCs w:val="20"/>
    </w:rPr>
  </w:style>
  <w:style w:type="paragraph" w:styleId="46">
    <w:name w:val="Normal (Web)"/>
    <w:basedOn w:val="1"/>
    <w:link w:val="97"/>
    <w:qFormat/>
    <w:uiPriority w:val="0"/>
    <w:pPr>
      <w:widowControl/>
      <w:spacing w:before="100" w:beforeAutospacing="1" w:after="100" w:afterAutospacing="1"/>
      <w:jc w:val="left"/>
    </w:pPr>
    <w:rPr>
      <w:rFonts w:ascii="宋体" w:hAnsi="宋体"/>
      <w:kern w:val="0"/>
      <w:sz w:val="24"/>
      <w:szCs w:val="20"/>
    </w:rPr>
  </w:style>
  <w:style w:type="paragraph" w:styleId="47">
    <w:name w:val="index 1"/>
    <w:basedOn w:val="1"/>
    <w:next w:val="1"/>
    <w:qFormat/>
    <w:locked/>
    <w:uiPriority w:val="0"/>
    <w:pPr>
      <w:tabs>
        <w:tab w:val="left" w:pos="932"/>
        <w:tab w:val="center" w:pos="4535"/>
      </w:tabs>
      <w:spacing w:line="400" w:lineRule="exact"/>
      <w:jc w:val="center"/>
    </w:pPr>
    <w:rPr>
      <w:rFonts w:ascii="宋体" w:hAnsi="宋体"/>
      <w:bCs/>
      <w:sz w:val="24"/>
    </w:rPr>
  </w:style>
  <w:style w:type="paragraph" w:styleId="48">
    <w:name w:val="Title"/>
    <w:basedOn w:val="1"/>
    <w:next w:val="1"/>
    <w:link w:val="98"/>
    <w:qFormat/>
    <w:uiPriority w:val="0"/>
    <w:pPr>
      <w:spacing w:before="240" w:after="60"/>
      <w:jc w:val="center"/>
      <w:outlineLvl w:val="0"/>
    </w:pPr>
    <w:rPr>
      <w:rFonts w:ascii="Cambria" w:hAnsi="Cambria" w:eastAsia="Times New Roman"/>
      <w:b/>
      <w:bCs/>
      <w:sz w:val="32"/>
      <w:szCs w:val="32"/>
    </w:rPr>
  </w:style>
  <w:style w:type="paragraph" w:styleId="49">
    <w:name w:val="annotation subject"/>
    <w:basedOn w:val="18"/>
    <w:next w:val="18"/>
    <w:link w:val="99"/>
    <w:semiHidden/>
    <w:qFormat/>
    <w:uiPriority w:val="0"/>
    <w:rPr>
      <w:b/>
      <w:sz w:val="24"/>
      <w:szCs w:val="20"/>
    </w:rPr>
  </w:style>
  <w:style w:type="paragraph" w:styleId="50">
    <w:name w:val="Body Text First Indent"/>
    <w:basedOn w:val="2"/>
    <w:link w:val="100"/>
    <w:qFormat/>
    <w:locked/>
    <w:uiPriority w:val="0"/>
    <w:pPr>
      <w:widowControl w:val="0"/>
      <w:snapToGrid/>
      <w:spacing w:before="0" w:after="120" w:line="240" w:lineRule="auto"/>
      <w:ind w:right="0" w:firstLine="420" w:firstLineChars="100"/>
    </w:pPr>
    <w:rPr>
      <w:kern w:val="2"/>
      <w:sz w:val="21"/>
      <w:szCs w:val="24"/>
    </w:rPr>
  </w:style>
  <w:style w:type="paragraph" w:styleId="51">
    <w:name w:val="Body Text First Indent 2"/>
    <w:basedOn w:val="21"/>
    <w:next w:val="1"/>
    <w:link w:val="101"/>
    <w:qFormat/>
    <w:locked/>
    <w:uiPriority w:val="0"/>
    <w:pPr>
      <w:ind w:firstLine="420" w:firstLineChars="200"/>
    </w:pPr>
    <w:rPr>
      <w:kern w:val="2"/>
      <w:sz w:val="21"/>
      <w:szCs w:val="24"/>
    </w:rPr>
  </w:style>
  <w:style w:type="table" w:styleId="53">
    <w:name w:val="Table Grid"/>
    <w:basedOn w:val="52"/>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qFormat/>
    <w:locked/>
    <w:uiPriority w:val="0"/>
    <w:rPr>
      <w:b/>
      <w:bCs/>
    </w:rPr>
  </w:style>
  <w:style w:type="character" w:styleId="56">
    <w:name w:val="page number"/>
    <w:basedOn w:val="54"/>
    <w:qFormat/>
    <w:locked/>
    <w:uiPriority w:val="0"/>
  </w:style>
  <w:style w:type="character" w:styleId="57">
    <w:name w:val="FollowedHyperlink"/>
    <w:basedOn w:val="54"/>
    <w:qFormat/>
    <w:uiPriority w:val="0"/>
    <w:rPr>
      <w:rFonts w:ascii="宋体" w:hAnsi="宋体" w:eastAsia="KaiTi_GB2312" w:cs="宋体"/>
      <w:b/>
      <w:bCs/>
      <w:color w:val="800080"/>
      <w:kern w:val="2"/>
      <w:sz w:val="24"/>
      <w:szCs w:val="24"/>
      <w:u w:val="single"/>
      <w:lang w:val="en-US" w:eastAsia="zh-CN" w:bidi="ar-SA"/>
    </w:rPr>
  </w:style>
  <w:style w:type="character" w:styleId="58">
    <w:name w:val="Emphasis"/>
    <w:qFormat/>
    <w:locked/>
    <w:uiPriority w:val="0"/>
    <w:rPr>
      <w:i/>
      <w:iCs/>
    </w:rPr>
  </w:style>
  <w:style w:type="character" w:styleId="59">
    <w:name w:val="Hyperlink"/>
    <w:qFormat/>
    <w:locked/>
    <w:uiPriority w:val="0"/>
    <w:rPr>
      <w:color w:val="136EC2"/>
      <w:u w:val="single"/>
    </w:rPr>
  </w:style>
  <w:style w:type="character" w:styleId="60">
    <w:name w:val="annotation reference"/>
    <w:semiHidden/>
    <w:qFormat/>
    <w:uiPriority w:val="0"/>
    <w:rPr>
      <w:sz w:val="21"/>
    </w:rPr>
  </w:style>
  <w:style w:type="character" w:styleId="61">
    <w:name w:val="HTML Cite"/>
    <w:qFormat/>
    <w:uiPriority w:val="0"/>
  </w:style>
  <w:style w:type="paragraph" w:customStyle="1" w:styleId="62">
    <w:name w:val="报告书-正文"/>
    <w:basedOn w:val="1"/>
    <w:link w:val="67"/>
    <w:qFormat/>
    <w:uiPriority w:val="0"/>
    <w:pPr>
      <w:spacing w:line="440" w:lineRule="exact"/>
      <w:ind w:firstLine="643" w:firstLineChars="200"/>
    </w:pPr>
    <w:rPr>
      <w:rFonts w:ascii="Times New Roman" w:hAnsi="Times New Roman" w:eastAsia="宋体" w:cs="Times New Roman"/>
      <w:color w:val="00B0F0"/>
      <w:sz w:val="24"/>
      <w:szCs w:val="24"/>
    </w:rPr>
  </w:style>
  <w:style w:type="paragraph" w:customStyle="1" w:styleId="63">
    <w:name w:val="表格头"/>
    <w:basedOn w:val="1"/>
    <w:link w:val="66"/>
    <w:qFormat/>
    <w:uiPriority w:val="0"/>
    <w:pPr>
      <w:spacing w:line="440" w:lineRule="exact"/>
      <w:ind w:firstLine="0" w:firstLineChars="0"/>
      <w:jc w:val="center"/>
    </w:pPr>
    <w:rPr>
      <w:rFonts w:hint="eastAsia" w:ascii="Times New Roman" w:hAnsi="Times New Roman" w:eastAsia="宋体" w:cs="Times New Roman"/>
      <w:b/>
      <w:bCs/>
      <w:iCs/>
      <w:color w:val="00B0F0"/>
    </w:rPr>
  </w:style>
  <w:style w:type="paragraph" w:customStyle="1" w:styleId="64">
    <w:name w:val="表格"/>
    <w:basedOn w:val="41"/>
    <w:next w:val="1"/>
    <w:link w:val="103"/>
    <w:qFormat/>
    <w:uiPriority w:val="0"/>
    <w:pPr>
      <w:adjustRightInd w:val="0"/>
      <w:snapToGrid w:val="0"/>
      <w:spacing w:beforeLines="10" w:afterLines="10" w:line="259" w:lineRule="auto"/>
      <w:jc w:val="center"/>
    </w:pPr>
    <w:rPr>
      <w:rFonts w:ascii="宋体"/>
      <w:kern w:val="0"/>
      <w:szCs w:val="20"/>
    </w:rPr>
  </w:style>
  <w:style w:type="paragraph" w:customStyle="1" w:styleId="65">
    <w:name w:val="Table Paragraph"/>
    <w:basedOn w:val="1"/>
    <w:link w:val="474"/>
    <w:qFormat/>
    <w:uiPriority w:val="1"/>
    <w:pPr>
      <w:jc w:val="center"/>
    </w:pPr>
    <w:rPr>
      <w:rFonts w:ascii="+西文正文" w:hAnsi="+西文正文" w:eastAsia="+中文正文" w:cs="Times New Roman"/>
      <w:kern w:val="0"/>
      <w:sz w:val="22"/>
      <w:szCs w:val="22"/>
      <w:lang w:eastAsia="en-US"/>
    </w:rPr>
  </w:style>
  <w:style w:type="character" w:customStyle="1" w:styleId="66">
    <w:name w:val="表格头 Char"/>
    <w:link w:val="63"/>
    <w:qFormat/>
    <w:uiPriority w:val="0"/>
    <w:rPr>
      <w:rFonts w:hint="eastAsia" w:ascii="Times New Roman" w:hAnsi="Times New Roman" w:eastAsia="宋体" w:cs="Times New Roman"/>
      <w:b/>
      <w:bCs/>
      <w:iCs/>
      <w:color w:val="00B0F0"/>
      <w:sz w:val="21"/>
    </w:rPr>
  </w:style>
  <w:style w:type="character" w:customStyle="1" w:styleId="67">
    <w:name w:val="报告书-正文 Char"/>
    <w:link w:val="62"/>
    <w:qFormat/>
    <w:uiPriority w:val="0"/>
    <w:rPr>
      <w:rFonts w:ascii="Times New Roman" w:hAnsi="Times New Roman" w:eastAsia="宋体" w:cs="Times New Roman"/>
      <w:color w:val="00B0F0"/>
      <w:sz w:val="24"/>
      <w:szCs w:val="24"/>
    </w:rPr>
  </w:style>
  <w:style w:type="paragraph" w:customStyle="1" w:styleId="68">
    <w:name w:val="Default"/>
    <w:basedOn w:val="69"/>
    <w:next w:val="70"/>
    <w:qForma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69">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70">
    <w:name w:val="1正文段落"/>
    <w:basedOn w:val="1"/>
    <w:link w:val="74"/>
    <w:qFormat/>
    <w:uiPriority w:val="0"/>
    <w:pPr>
      <w:snapToGrid w:val="0"/>
      <w:spacing w:line="360" w:lineRule="auto"/>
      <w:ind w:firstLine="480" w:firstLineChars="200"/>
      <w:jc w:val="left"/>
    </w:pPr>
    <w:rPr>
      <w:rFonts w:ascii="宋体" w:hAnsi="宋体"/>
      <w:snapToGrid w:val="0"/>
      <w:kern w:val="0"/>
      <w:sz w:val="24"/>
      <w:szCs w:val="20"/>
    </w:rPr>
  </w:style>
  <w:style w:type="paragraph" w:customStyle="1" w:styleId="71">
    <w:name w:val="xl27"/>
    <w:basedOn w:val="1"/>
    <w:qFormat/>
    <w:uiPriority w:val="0"/>
    <w:pPr>
      <w:widowControl/>
      <w:pBdr>
        <w:bottom w:val="single" w:color="auto" w:sz="12" w:space="0"/>
      </w:pBdr>
      <w:spacing w:before="100" w:beforeLines="0" w:after="100" w:afterLines="0"/>
      <w:jc w:val="center"/>
    </w:pPr>
    <w:rPr>
      <w:rFonts w:ascii="宋体" w:hAnsi="宋体"/>
      <w:kern w:val="0"/>
      <w:szCs w:val="20"/>
    </w:rPr>
  </w:style>
  <w:style w:type="paragraph" w:customStyle="1" w:styleId="72">
    <w:name w:val="样式5"/>
    <w:basedOn w:val="73"/>
    <w:qFormat/>
    <w:uiPriority w:val="0"/>
    <w:rPr>
      <w:rFonts w:eastAsia="黑体"/>
    </w:rPr>
  </w:style>
  <w:style w:type="paragraph" w:customStyle="1" w:styleId="73">
    <w:name w:val="正文1"/>
    <w:basedOn w:val="1"/>
    <w:next w:val="1"/>
    <w:qFormat/>
    <w:uiPriority w:val="0"/>
    <w:pPr>
      <w:spacing w:line="600" w:lineRule="exact"/>
      <w:ind w:firstLine="200" w:firstLineChars="200"/>
    </w:pPr>
    <w:rPr>
      <w:sz w:val="28"/>
      <w:szCs w:val="28"/>
    </w:rPr>
  </w:style>
  <w:style w:type="character" w:customStyle="1" w:styleId="74">
    <w:name w:val="1正文段落 Char"/>
    <w:link w:val="70"/>
    <w:qFormat/>
    <w:locked/>
    <w:uiPriority w:val="0"/>
    <w:rPr>
      <w:rFonts w:ascii="宋体" w:hAnsi="宋体" w:eastAsia="宋体"/>
      <w:snapToGrid w:val="0"/>
      <w:sz w:val="24"/>
      <w:lang w:val="en-US" w:eastAsia="zh-CN" w:bidi="ar-SA"/>
    </w:rPr>
  </w:style>
  <w:style w:type="character" w:customStyle="1" w:styleId="75">
    <w:name w:val=" Char Char28"/>
    <w:basedOn w:val="54"/>
    <w:link w:val="3"/>
    <w:qFormat/>
    <w:uiPriority w:val="0"/>
    <w:rPr>
      <w:rFonts w:eastAsia="黑体"/>
      <w:b/>
      <w:bCs/>
      <w:color w:val="000000"/>
      <w:kern w:val="44"/>
      <w:sz w:val="30"/>
      <w:szCs w:val="30"/>
      <w:lang w:val="en-US" w:eastAsia="zh-CN" w:bidi="ar-SA"/>
    </w:rPr>
  </w:style>
  <w:style w:type="character" w:customStyle="1" w:styleId="76">
    <w:name w:val=" Char Char7"/>
    <w:link w:val="4"/>
    <w:qFormat/>
    <w:uiPriority w:val="0"/>
    <w:rPr>
      <w:rFonts w:ascii="Arial" w:hAnsi="Arial" w:eastAsia="黑体"/>
      <w:b/>
      <w:bCs/>
      <w:kern w:val="2"/>
      <w:sz w:val="32"/>
      <w:szCs w:val="32"/>
      <w:lang w:val="en-US" w:eastAsia="zh-CN" w:bidi="ar-SA"/>
    </w:rPr>
  </w:style>
  <w:style w:type="character" w:customStyle="1" w:styleId="77">
    <w:name w:val="标题 3 Char Char Char Char Char1"/>
    <w:link w:val="5"/>
    <w:qFormat/>
    <w:uiPriority w:val="0"/>
    <w:rPr>
      <w:rFonts w:eastAsia="宋体"/>
      <w:b/>
      <w:bCs/>
      <w:kern w:val="2"/>
      <w:sz w:val="32"/>
      <w:szCs w:val="32"/>
      <w:lang w:val="en-US" w:eastAsia="zh-CN" w:bidi="ar-SA"/>
    </w:rPr>
  </w:style>
  <w:style w:type="character" w:customStyle="1" w:styleId="78">
    <w:name w:val=" Char Char25"/>
    <w:basedOn w:val="54"/>
    <w:link w:val="6"/>
    <w:qFormat/>
    <w:uiPriority w:val="0"/>
    <w:rPr>
      <w:rFonts w:ascii="Arial" w:hAnsi="Arial" w:eastAsia="黑体"/>
      <w:b/>
      <w:bCs/>
      <w:kern w:val="2"/>
      <w:sz w:val="28"/>
      <w:szCs w:val="28"/>
      <w:lang w:val="en-US" w:eastAsia="zh-CN" w:bidi="ar-SA"/>
    </w:rPr>
  </w:style>
  <w:style w:type="character" w:customStyle="1" w:styleId="79">
    <w:name w:val=" Char Char24"/>
    <w:basedOn w:val="54"/>
    <w:link w:val="7"/>
    <w:qFormat/>
    <w:uiPriority w:val="0"/>
    <w:rPr>
      <w:rFonts w:eastAsia="宋体" w:cs="Calibri"/>
      <w:b/>
      <w:bCs/>
      <w:color w:val="000000"/>
      <w:kern w:val="2"/>
      <w:sz w:val="24"/>
      <w:szCs w:val="28"/>
      <w:lang w:val="en-US" w:eastAsia="zh-CN" w:bidi="ar-SA"/>
    </w:rPr>
  </w:style>
  <w:style w:type="character" w:customStyle="1" w:styleId="80">
    <w:name w:val=" Char Char23"/>
    <w:basedOn w:val="54"/>
    <w:link w:val="8"/>
    <w:qFormat/>
    <w:uiPriority w:val="0"/>
    <w:rPr>
      <w:rFonts w:ascii="Arial" w:hAnsi="Arial" w:eastAsia="黑体" w:cs="Calibri"/>
      <w:b/>
      <w:bCs/>
      <w:color w:val="000000"/>
      <w:kern w:val="2"/>
      <w:sz w:val="24"/>
      <w:szCs w:val="24"/>
      <w:lang w:val="en-US" w:eastAsia="zh-CN" w:bidi="ar-SA"/>
    </w:rPr>
  </w:style>
  <w:style w:type="character" w:customStyle="1" w:styleId="81">
    <w:name w:val=" Char Char22"/>
    <w:basedOn w:val="54"/>
    <w:link w:val="9"/>
    <w:qFormat/>
    <w:uiPriority w:val="0"/>
    <w:rPr>
      <w:rFonts w:eastAsia="宋体" w:cs="Calibri"/>
      <w:b/>
      <w:bCs/>
      <w:color w:val="000000"/>
      <w:kern w:val="2"/>
      <w:sz w:val="24"/>
      <w:szCs w:val="24"/>
      <w:lang w:val="en-US" w:eastAsia="zh-CN" w:bidi="ar-SA"/>
    </w:rPr>
  </w:style>
  <w:style w:type="character" w:customStyle="1" w:styleId="82">
    <w:name w:val=" Char Char21"/>
    <w:basedOn w:val="54"/>
    <w:link w:val="10"/>
    <w:qFormat/>
    <w:uiPriority w:val="0"/>
    <w:rPr>
      <w:rFonts w:ascii="Arial" w:hAnsi="Arial" w:eastAsia="黑体" w:cs="Calibri"/>
      <w:color w:val="000000"/>
      <w:kern w:val="2"/>
      <w:sz w:val="24"/>
      <w:szCs w:val="24"/>
      <w:lang w:val="en-US" w:eastAsia="zh-CN" w:bidi="ar-SA"/>
    </w:rPr>
  </w:style>
  <w:style w:type="character" w:customStyle="1" w:styleId="83">
    <w:name w:val=" Char Char20"/>
    <w:basedOn w:val="54"/>
    <w:link w:val="11"/>
    <w:qFormat/>
    <w:uiPriority w:val="0"/>
    <w:rPr>
      <w:rFonts w:ascii="Arial" w:hAnsi="Arial" w:eastAsia="黑体" w:cs="Calibri"/>
      <w:color w:val="000000"/>
      <w:kern w:val="2"/>
      <w:sz w:val="21"/>
      <w:szCs w:val="21"/>
      <w:lang w:val="en-US" w:eastAsia="zh-CN" w:bidi="ar-SA"/>
    </w:rPr>
  </w:style>
  <w:style w:type="character" w:customStyle="1" w:styleId="84">
    <w:name w:val=" Char Char1"/>
    <w:link w:val="14"/>
    <w:qFormat/>
    <w:uiPriority w:val="0"/>
    <w:rPr>
      <w:rFonts w:eastAsia="宋体"/>
      <w:spacing w:val="20"/>
      <w:kern w:val="2"/>
      <w:sz w:val="24"/>
      <w:lang w:val="en-US" w:eastAsia="zh-CN" w:bidi="ar-SA"/>
    </w:rPr>
  </w:style>
  <w:style w:type="character" w:customStyle="1" w:styleId="85">
    <w:name w:val="文档结构图 Char"/>
    <w:link w:val="17"/>
    <w:qFormat/>
    <w:uiPriority w:val="0"/>
    <w:rPr>
      <w:rFonts w:ascii="宋体" w:eastAsia="宋体"/>
      <w:kern w:val="2"/>
      <w:sz w:val="18"/>
      <w:szCs w:val="18"/>
      <w:lang w:val="en-US" w:eastAsia="zh-CN" w:bidi="ar-SA"/>
    </w:rPr>
  </w:style>
  <w:style w:type="character" w:customStyle="1" w:styleId="86">
    <w:name w:val="批注文字 Char"/>
    <w:link w:val="18"/>
    <w:qFormat/>
    <w:locked/>
    <w:uiPriority w:val="0"/>
    <w:rPr>
      <w:rFonts w:ascii="Times New Roman" w:hAnsi="Times New Roman" w:eastAsia="宋体"/>
      <w:sz w:val="24"/>
    </w:rPr>
  </w:style>
  <w:style w:type="character" w:customStyle="1" w:styleId="87">
    <w:name w:val=" Char Char18"/>
    <w:basedOn w:val="54"/>
    <w:link w:val="20"/>
    <w:qFormat/>
    <w:uiPriority w:val="0"/>
    <w:rPr>
      <w:kern w:val="2"/>
      <w:sz w:val="24"/>
      <w:szCs w:val="24"/>
      <w:lang w:bidi="ar-SA"/>
    </w:rPr>
  </w:style>
  <w:style w:type="character" w:customStyle="1" w:styleId="88">
    <w:name w:val="正文文本 Char"/>
    <w:link w:val="2"/>
    <w:qFormat/>
    <w:locked/>
    <w:uiPriority w:val="0"/>
    <w:rPr>
      <w:sz w:val="18"/>
    </w:rPr>
  </w:style>
  <w:style w:type="character" w:customStyle="1" w:styleId="89">
    <w:name w:val="正文文本缩进 Char"/>
    <w:link w:val="21"/>
    <w:semiHidden/>
    <w:qFormat/>
    <w:locked/>
    <w:uiPriority w:val="0"/>
    <w:rPr>
      <w:rFonts w:ascii="Times New Roman" w:hAnsi="Times New Roman" w:eastAsia="宋体"/>
      <w:sz w:val="24"/>
    </w:rPr>
  </w:style>
  <w:style w:type="character" w:customStyle="1" w:styleId="90">
    <w:name w:val="页眉 Char"/>
    <w:link w:val="34"/>
    <w:qFormat/>
    <w:locked/>
    <w:uiPriority w:val="0"/>
    <w:rPr>
      <w:sz w:val="18"/>
    </w:rPr>
  </w:style>
  <w:style w:type="character" w:customStyle="1" w:styleId="91">
    <w:name w:val="孙普文字 Char2"/>
    <w:link w:val="26"/>
    <w:qFormat/>
    <w:uiPriority w:val="0"/>
    <w:rPr>
      <w:rFonts w:ascii="宋体" w:hAnsi="Courier New" w:eastAsia="宋体"/>
      <w:kern w:val="2"/>
      <w:sz w:val="21"/>
      <w:szCs w:val="21"/>
      <w:lang w:val="en-US" w:eastAsia="zh-CN" w:bidi="ar-SA"/>
    </w:rPr>
  </w:style>
  <w:style w:type="character" w:customStyle="1" w:styleId="92">
    <w:name w:val="日期 Char"/>
    <w:link w:val="29"/>
    <w:qFormat/>
    <w:locked/>
    <w:uiPriority w:val="0"/>
    <w:rPr>
      <w:rFonts w:ascii="Times New Roman" w:hAnsi="Times New Roman" w:eastAsia="宋体"/>
      <w:sz w:val="24"/>
    </w:rPr>
  </w:style>
  <w:style w:type="character" w:customStyle="1" w:styleId="93">
    <w:name w:val="批注框文本 Char"/>
    <w:link w:val="31"/>
    <w:semiHidden/>
    <w:qFormat/>
    <w:locked/>
    <w:uiPriority w:val="0"/>
    <w:rPr>
      <w:rFonts w:ascii="Times New Roman" w:hAnsi="Times New Roman" w:eastAsia="宋体"/>
      <w:sz w:val="18"/>
    </w:rPr>
  </w:style>
  <w:style w:type="character" w:customStyle="1" w:styleId="94">
    <w:name w:val="页脚 Char"/>
    <w:link w:val="32"/>
    <w:qFormat/>
    <w:locked/>
    <w:uiPriority w:val="99"/>
    <w:rPr>
      <w:sz w:val="18"/>
    </w:rPr>
  </w:style>
  <w:style w:type="character" w:customStyle="1" w:styleId="95">
    <w:name w:val=" Char Char17"/>
    <w:basedOn w:val="54"/>
    <w:link w:val="37"/>
    <w:qFormat/>
    <w:uiPriority w:val="0"/>
    <w:rPr>
      <w:rFonts w:ascii="宋体" w:hAnsi="宋体" w:eastAsia="仿宋" w:cs="宋体"/>
      <w:spacing w:val="-16"/>
      <w:kern w:val="2"/>
      <w:sz w:val="21"/>
      <w:szCs w:val="21"/>
      <w:lang w:val="en-US" w:eastAsia="zh-CN" w:bidi="ar-SA"/>
    </w:rPr>
  </w:style>
  <w:style w:type="character" w:customStyle="1" w:styleId="96">
    <w:name w:val="正文文本缩进 3 字符"/>
    <w:link w:val="40"/>
    <w:qFormat/>
    <w:uiPriority w:val="0"/>
    <w:rPr>
      <w:rFonts w:eastAsia="宋体"/>
      <w:kern w:val="2"/>
      <w:sz w:val="16"/>
      <w:szCs w:val="16"/>
      <w:lang w:val="en-US" w:eastAsia="zh-CN" w:bidi="ar-SA"/>
    </w:rPr>
  </w:style>
  <w:style w:type="character" w:customStyle="1" w:styleId="97">
    <w:name w:val="普通(网站) Char"/>
    <w:link w:val="46"/>
    <w:qFormat/>
    <w:locked/>
    <w:uiPriority w:val="0"/>
    <w:rPr>
      <w:rFonts w:ascii="宋体" w:hAnsi="宋体" w:eastAsia="宋体"/>
      <w:sz w:val="24"/>
    </w:rPr>
  </w:style>
  <w:style w:type="character" w:customStyle="1" w:styleId="98">
    <w:name w:val=" Char Char14"/>
    <w:basedOn w:val="54"/>
    <w:link w:val="48"/>
    <w:qFormat/>
    <w:uiPriority w:val="0"/>
    <w:rPr>
      <w:rFonts w:ascii="Cambria" w:hAnsi="Cambria"/>
      <w:b/>
      <w:bCs/>
      <w:kern w:val="2"/>
      <w:sz w:val="32"/>
      <w:szCs w:val="32"/>
      <w:lang w:bidi="ar-SA"/>
    </w:rPr>
  </w:style>
  <w:style w:type="character" w:customStyle="1" w:styleId="99">
    <w:name w:val="批注主题 Char"/>
    <w:link w:val="49"/>
    <w:semiHidden/>
    <w:qFormat/>
    <w:locked/>
    <w:uiPriority w:val="0"/>
    <w:rPr>
      <w:rFonts w:ascii="Times New Roman" w:hAnsi="Times New Roman" w:eastAsia="宋体"/>
      <w:b/>
      <w:kern w:val="2"/>
      <w:sz w:val="24"/>
    </w:rPr>
  </w:style>
  <w:style w:type="character" w:customStyle="1" w:styleId="100">
    <w:name w:val="Body Text First Indent Char"/>
    <w:basedOn w:val="54"/>
    <w:link w:val="50"/>
    <w:semiHidden/>
    <w:qFormat/>
    <w:locked/>
    <w:uiPriority w:val="0"/>
    <w:rPr>
      <w:rFonts w:eastAsia="宋体"/>
      <w:kern w:val="2"/>
      <w:sz w:val="21"/>
      <w:szCs w:val="24"/>
      <w:lang w:val="en-US" w:eastAsia="zh-CN" w:bidi="ar-SA"/>
    </w:rPr>
  </w:style>
  <w:style w:type="character" w:customStyle="1" w:styleId="101">
    <w:name w:val="正文首行缩进 2 Char1"/>
    <w:basedOn w:val="102"/>
    <w:link w:val="51"/>
    <w:semiHidden/>
    <w:qFormat/>
    <w:uiPriority w:val="0"/>
    <w:rPr>
      <w:rFonts w:eastAsia="宋体"/>
      <w:lang w:val="en-US" w:eastAsia="zh-CN" w:bidi="ar-SA"/>
    </w:rPr>
  </w:style>
  <w:style w:type="character" w:customStyle="1" w:styleId="102">
    <w:name w:val=" Char Char19"/>
    <w:basedOn w:val="54"/>
    <w:qFormat/>
    <w:uiPriority w:val="0"/>
    <w:rPr>
      <w:kern w:val="2"/>
      <w:sz w:val="21"/>
      <w:szCs w:val="24"/>
    </w:rPr>
  </w:style>
  <w:style w:type="character" w:customStyle="1" w:styleId="103">
    <w:name w:val="表格 Char"/>
    <w:link w:val="64"/>
    <w:qFormat/>
    <w:locked/>
    <w:uiPriority w:val="0"/>
    <w:rPr>
      <w:rFonts w:ascii="宋体"/>
      <w:sz w:val="21"/>
    </w:rPr>
  </w:style>
  <w:style w:type="paragraph" w:customStyle="1" w:styleId="104">
    <w:name w:val="标题2"/>
    <w:basedOn w:val="1"/>
    <w:next w:val="4"/>
    <w:qFormat/>
    <w:uiPriority w:val="0"/>
    <w:rPr>
      <w:rFonts w:ascii="宋体" w:hAnsi="宋体"/>
      <w:b/>
      <w:kern w:val="0"/>
      <w:sz w:val="24"/>
      <w:szCs w:val="24"/>
    </w:rPr>
  </w:style>
  <w:style w:type="paragraph" w:customStyle="1" w:styleId="105">
    <w:name w:val="A正文"/>
    <w:basedOn w:val="1"/>
    <w:next w:val="2"/>
    <w:link w:val="106"/>
    <w:qFormat/>
    <w:uiPriority w:val="0"/>
    <w:pPr>
      <w:adjustRightInd w:val="0"/>
      <w:snapToGrid w:val="0"/>
      <w:spacing w:line="360" w:lineRule="auto"/>
      <w:ind w:firstLine="480" w:firstLineChars="200"/>
    </w:pPr>
    <w:rPr>
      <w:rFonts w:eastAsia="Times New Roman"/>
      <w:kern w:val="0"/>
      <w:sz w:val="24"/>
    </w:rPr>
  </w:style>
  <w:style w:type="character" w:customStyle="1" w:styleId="106">
    <w:name w:val="A正文 Char"/>
    <w:link w:val="105"/>
    <w:qFormat/>
    <w:uiPriority w:val="0"/>
    <w:rPr>
      <w:sz w:val="24"/>
      <w:szCs w:val="24"/>
      <w:lang w:bidi="ar-SA"/>
    </w:rPr>
  </w:style>
  <w:style w:type="character" w:customStyle="1" w:styleId="107">
    <w:name w:val="页脚 字符"/>
    <w:basedOn w:val="54"/>
    <w:qFormat/>
    <w:uiPriority w:val="99"/>
  </w:style>
  <w:style w:type="character" w:customStyle="1" w:styleId="108">
    <w:name w:val="正文文本 字符1"/>
    <w:semiHidden/>
    <w:qFormat/>
    <w:uiPriority w:val="0"/>
    <w:rPr>
      <w:rFonts w:ascii="Times New Roman" w:hAnsi="Times New Roman" w:eastAsia="宋体"/>
      <w:sz w:val="24"/>
    </w:rPr>
  </w:style>
  <w:style w:type="character" w:customStyle="1" w:styleId="109">
    <w:name w:val="日期 字符"/>
    <w:semiHidden/>
    <w:qFormat/>
    <w:uiPriority w:val="0"/>
    <w:rPr>
      <w:rFonts w:ascii="Times New Roman" w:hAnsi="Times New Roman" w:eastAsia="宋体"/>
      <w:sz w:val="24"/>
    </w:rPr>
  </w:style>
  <w:style w:type="character" w:customStyle="1" w:styleId="110">
    <w:name w:val="批注文字 字符1"/>
    <w:semiHidden/>
    <w:qFormat/>
    <w:uiPriority w:val="0"/>
    <w:rPr>
      <w:rFonts w:ascii="Times New Roman" w:hAnsi="Times New Roman" w:eastAsia="宋体"/>
      <w:sz w:val="24"/>
    </w:rPr>
  </w:style>
  <w:style w:type="paragraph" w:customStyle="1" w:styleId="111">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2">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113">
    <w:name w:val="表格样式 Char"/>
    <w:qFormat/>
    <w:uiPriority w:val="0"/>
    <w:rPr>
      <w:rFonts w:eastAsia="黑体"/>
      <w:sz w:val="22"/>
      <w:szCs w:val="24"/>
    </w:rPr>
  </w:style>
  <w:style w:type="character" w:customStyle="1" w:styleId="114">
    <w:name w:val=" Char Char3"/>
    <w:qFormat/>
    <w:uiPriority w:val="0"/>
    <w:rPr>
      <w:kern w:val="2"/>
      <w:sz w:val="28"/>
      <w:szCs w:val="24"/>
    </w:rPr>
  </w:style>
  <w:style w:type="character" w:customStyle="1" w:styleId="115">
    <w:name w:val="11正文格式 Char"/>
    <w:link w:val="116"/>
    <w:qFormat/>
    <w:uiPriority w:val="0"/>
    <w:rPr>
      <w:color w:val="C00000"/>
      <w:sz w:val="24"/>
      <w:szCs w:val="24"/>
      <w:lang w:bidi="ar-SA"/>
    </w:rPr>
  </w:style>
  <w:style w:type="paragraph" w:customStyle="1" w:styleId="116">
    <w:name w:val="11正文格式"/>
    <w:basedOn w:val="1"/>
    <w:link w:val="115"/>
    <w:qFormat/>
    <w:uiPriority w:val="0"/>
    <w:pPr>
      <w:adjustRightInd w:val="0"/>
      <w:snapToGrid w:val="0"/>
      <w:spacing w:line="360" w:lineRule="auto"/>
      <w:ind w:firstLine="200" w:firstLineChars="200"/>
    </w:pPr>
    <w:rPr>
      <w:rFonts w:eastAsia="Times New Roman"/>
      <w:color w:val="C00000"/>
      <w:kern w:val="0"/>
      <w:sz w:val="24"/>
    </w:rPr>
  </w:style>
  <w:style w:type="character" w:customStyle="1" w:styleId="117">
    <w:name w:val="标题 3 Char Char Char Char Char2"/>
    <w:qFormat/>
    <w:uiPriority w:val="0"/>
    <w:rPr>
      <w:rFonts w:ascii="Times New Roman" w:hAnsi="Times New Roman" w:eastAsia="宋体" w:cs="Times New Roman"/>
      <w:b/>
      <w:bCs/>
      <w:sz w:val="32"/>
      <w:szCs w:val="32"/>
    </w:rPr>
  </w:style>
  <w:style w:type="character" w:customStyle="1" w:styleId="118">
    <w:name w:val="图表标注 Char"/>
    <w:link w:val="119"/>
    <w:qFormat/>
    <w:locked/>
    <w:uiPriority w:val="0"/>
    <w:rPr>
      <w:rFonts w:ascii="黑体" w:hAnsi="黑体" w:eastAsia="黑体"/>
      <w:lang w:bidi="ar-SA"/>
    </w:rPr>
  </w:style>
  <w:style w:type="paragraph" w:customStyle="1" w:styleId="119">
    <w:name w:val="图表标注"/>
    <w:basedOn w:val="1"/>
    <w:link w:val="118"/>
    <w:qFormat/>
    <w:uiPriority w:val="0"/>
    <w:pPr>
      <w:spacing w:line="480" w:lineRule="exact"/>
      <w:jc w:val="center"/>
    </w:pPr>
    <w:rPr>
      <w:rFonts w:ascii="黑体" w:hAnsi="黑体" w:eastAsia="黑体"/>
      <w:kern w:val="0"/>
      <w:sz w:val="20"/>
      <w:szCs w:val="20"/>
    </w:rPr>
  </w:style>
  <w:style w:type="character" w:customStyle="1" w:styleId="120">
    <w:name w:val="正文（首行缩进两字） Char Char9"/>
    <w:qFormat/>
    <w:uiPriority w:val="0"/>
    <w:rPr>
      <w:rFonts w:eastAsia="宋体"/>
      <w:spacing w:val="20"/>
      <w:kern w:val="2"/>
      <w:sz w:val="24"/>
      <w:lang w:val="en-US" w:eastAsia="zh-CN" w:bidi="ar-SA"/>
    </w:rPr>
  </w:style>
  <w:style w:type="character" w:customStyle="1" w:styleId="121">
    <w:name w:val="孙普文字 Char"/>
    <w:qFormat/>
    <w:uiPriority w:val="0"/>
    <w:rPr>
      <w:rFonts w:ascii="宋体" w:hAnsi="Courier New" w:eastAsia="宋体"/>
      <w:kern w:val="2"/>
      <w:sz w:val="21"/>
      <w:szCs w:val="21"/>
      <w:lang w:val="en-US" w:eastAsia="zh-CN" w:bidi="ar-SA"/>
    </w:rPr>
  </w:style>
  <w:style w:type="character" w:customStyle="1" w:styleId="122">
    <w:name w:val="表内文字 Char Char"/>
    <w:link w:val="123"/>
    <w:qFormat/>
    <w:uiPriority w:val="0"/>
    <w:rPr>
      <w:rFonts w:eastAsia="宋体"/>
      <w:kern w:val="2"/>
      <w:sz w:val="24"/>
      <w:lang w:val="en-US" w:eastAsia="zh-CN" w:bidi="ar-SA"/>
    </w:rPr>
  </w:style>
  <w:style w:type="paragraph" w:customStyle="1" w:styleId="123">
    <w:name w:val="表内文字"/>
    <w:basedOn w:val="1"/>
    <w:link w:val="122"/>
    <w:qFormat/>
    <w:uiPriority w:val="0"/>
    <w:pPr>
      <w:spacing w:line="600" w:lineRule="exact"/>
      <w:jc w:val="center"/>
    </w:pPr>
    <w:rPr>
      <w:sz w:val="24"/>
      <w:szCs w:val="20"/>
    </w:rPr>
  </w:style>
  <w:style w:type="character" w:customStyle="1" w:styleId="124">
    <w:name w:val="apple-style-span"/>
    <w:basedOn w:val="54"/>
    <w:qFormat/>
    <w:uiPriority w:val="0"/>
  </w:style>
  <w:style w:type="character" w:customStyle="1" w:styleId="125">
    <w:name w:val="批注文字 Char1"/>
    <w:qFormat/>
    <w:uiPriority w:val="0"/>
    <w:rPr>
      <w:rFonts w:eastAsia="宋体"/>
      <w:kern w:val="2"/>
      <w:sz w:val="28"/>
      <w:szCs w:val="24"/>
      <w:lang w:val="en-US" w:eastAsia="zh-CN" w:bidi="ar-SA"/>
    </w:rPr>
  </w:style>
  <w:style w:type="character" w:customStyle="1" w:styleId="126">
    <w:name w:val=" Char Char Char"/>
    <w:qFormat/>
    <w:uiPriority w:val="0"/>
    <w:rPr>
      <w:rFonts w:eastAsia="宋体"/>
      <w:kern w:val="2"/>
      <w:sz w:val="28"/>
      <w:szCs w:val="24"/>
      <w:lang w:val="en-US" w:eastAsia="zh-CN" w:bidi="ar-SA"/>
    </w:rPr>
  </w:style>
  <w:style w:type="character" w:customStyle="1" w:styleId="127">
    <w:name w:val="特点 Char1"/>
    <w:qFormat/>
    <w:uiPriority w:val="0"/>
    <w:rPr>
      <w:rFonts w:eastAsia="宋体"/>
      <w:spacing w:val="20"/>
      <w:kern w:val="2"/>
      <w:sz w:val="24"/>
      <w:lang w:val="en-US" w:eastAsia="zh-CN" w:bidi="ar-SA"/>
    </w:rPr>
  </w:style>
  <w:style w:type="character" w:customStyle="1" w:styleId="128">
    <w:name w:val="ourfont11"/>
    <w:qFormat/>
    <w:uiPriority w:val="0"/>
    <w:rPr>
      <w:sz w:val="20"/>
      <w:szCs w:val="20"/>
    </w:rPr>
  </w:style>
  <w:style w:type="character" w:customStyle="1" w:styleId="129">
    <w:name w:val="Char Char2"/>
    <w:qFormat/>
    <w:locked/>
    <w:uiPriority w:val="0"/>
    <w:rPr>
      <w:rFonts w:eastAsia="宋体"/>
      <w:kern w:val="2"/>
      <w:sz w:val="28"/>
      <w:szCs w:val="24"/>
      <w:lang w:val="en-US" w:eastAsia="zh-CN" w:bidi="ar-SA"/>
    </w:rPr>
  </w:style>
  <w:style w:type="character" w:customStyle="1" w:styleId="130">
    <w:name w:val="标题 3 Char Char Char"/>
    <w:qFormat/>
    <w:uiPriority w:val="0"/>
    <w:rPr>
      <w:rFonts w:eastAsia="宋体"/>
      <w:b/>
      <w:bCs/>
      <w:kern w:val="2"/>
      <w:sz w:val="30"/>
      <w:szCs w:val="32"/>
      <w:lang w:val="en-US" w:eastAsia="zh-CN" w:bidi="ar-SA"/>
    </w:rPr>
  </w:style>
  <w:style w:type="character" w:customStyle="1" w:styleId="131">
    <w:name w:val="111正文格式111 Char"/>
    <w:link w:val="132"/>
    <w:qFormat/>
    <w:uiPriority w:val="0"/>
    <w:rPr>
      <w:bCs/>
      <w:kern w:val="2"/>
      <w:sz w:val="24"/>
      <w:szCs w:val="24"/>
      <w:lang w:bidi="ar-SA"/>
    </w:rPr>
  </w:style>
  <w:style w:type="paragraph" w:customStyle="1" w:styleId="132">
    <w:name w:val="111正文格式111"/>
    <w:basedOn w:val="1"/>
    <w:link w:val="131"/>
    <w:qFormat/>
    <w:uiPriority w:val="0"/>
    <w:pPr>
      <w:adjustRightInd w:val="0"/>
      <w:snapToGrid w:val="0"/>
      <w:spacing w:line="360" w:lineRule="auto"/>
      <w:ind w:firstLine="200" w:firstLineChars="200"/>
    </w:pPr>
    <w:rPr>
      <w:rFonts w:eastAsia="Times New Roman"/>
      <w:bCs/>
      <w:sz w:val="24"/>
    </w:rPr>
  </w:style>
  <w:style w:type="character" w:customStyle="1" w:styleId="133">
    <w:name w:val="5文章(治) Char"/>
    <w:link w:val="134"/>
    <w:qFormat/>
    <w:uiPriority w:val="0"/>
    <w:rPr>
      <w:rFonts w:eastAsia="宋体"/>
      <w:color w:val="000000"/>
      <w:sz w:val="24"/>
      <w:lang w:bidi="ar-SA"/>
    </w:rPr>
  </w:style>
  <w:style w:type="paragraph" w:customStyle="1" w:styleId="134">
    <w:name w:val="5文章(治)"/>
    <w:basedOn w:val="1"/>
    <w:link w:val="133"/>
    <w:qFormat/>
    <w:uiPriority w:val="0"/>
    <w:pPr>
      <w:spacing w:line="360" w:lineRule="auto"/>
      <w:ind w:firstLine="560" w:firstLineChars="200"/>
    </w:pPr>
    <w:rPr>
      <w:color w:val="000000"/>
      <w:kern w:val="0"/>
      <w:sz w:val="24"/>
      <w:szCs w:val="20"/>
    </w:rPr>
  </w:style>
  <w:style w:type="character" w:customStyle="1" w:styleId="135">
    <w:name w:val="表格居中 Char"/>
    <w:link w:val="136"/>
    <w:qFormat/>
    <w:uiPriority w:val="0"/>
    <w:rPr>
      <w:sz w:val="24"/>
      <w:szCs w:val="24"/>
      <w:lang w:val="en-US" w:eastAsia="zh-CN" w:bidi="ar-SA"/>
    </w:rPr>
  </w:style>
  <w:style w:type="paragraph" w:customStyle="1" w:styleId="136">
    <w:name w:val="表格居中"/>
    <w:link w:val="135"/>
    <w:qFormat/>
    <w:uiPriority w:val="0"/>
    <w:pPr>
      <w:spacing w:line="440" w:lineRule="exact"/>
      <w:jc w:val="center"/>
    </w:pPr>
    <w:rPr>
      <w:rFonts w:ascii="Times New Roman" w:hAnsi="Times New Roman" w:eastAsia="Times New Roman" w:cs="Times New Roman"/>
      <w:sz w:val="24"/>
      <w:szCs w:val="24"/>
      <w:lang w:val="en-US" w:eastAsia="zh-CN" w:bidi="ar-SA"/>
    </w:rPr>
  </w:style>
  <w:style w:type="character" w:customStyle="1" w:styleId="137">
    <w:name w:val="表 Char"/>
    <w:link w:val="138"/>
    <w:qFormat/>
    <w:uiPriority w:val="0"/>
    <w:rPr>
      <w:spacing w:val="2"/>
      <w:kern w:val="2"/>
      <w:sz w:val="21"/>
      <w:lang w:bidi="ar-SA"/>
    </w:rPr>
  </w:style>
  <w:style w:type="paragraph" w:customStyle="1" w:styleId="138">
    <w:name w:val="表"/>
    <w:basedOn w:val="1"/>
    <w:link w:val="137"/>
    <w:qFormat/>
    <w:uiPriority w:val="0"/>
    <w:pPr>
      <w:snapToGrid w:val="0"/>
      <w:jc w:val="center"/>
    </w:pPr>
    <w:rPr>
      <w:rFonts w:eastAsia="Times New Roman"/>
      <w:spacing w:val="2"/>
      <w:szCs w:val="20"/>
    </w:rPr>
  </w:style>
  <w:style w:type="character" w:customStyle="1" w:styleId="139">
    <w:name w:val="正文(首行缩进) Char Char"/>
    <w:link w:val="140"/>
    <w:qFormat/>
    <w:uiPriority w:val="0"/>
    <w:rPr>
      <w:rFonts w:eastAsia="宋体"/>
      <w:snapToGrid w:val="0"/>
      <w:sz w:val="24"/>
      <w:szCs w:val="24"/>
      <w:lang w:val="en-US" w:eastAsia="zh-CN" w:bidi="ar-SA"/>
    </w:rPr>
  </w:style>
  <w:style w:type="paragraph" w:customStyle="1" w:styleId="140">
    <w:name w:val="正文(首行缩进)"/>
    <w:basedOn w:val="1"/>
    <w:link w:val="139"/>
    <w:qFormat/>
    <w:uiPriority w:val="0"/>
    <w:pPr>
      <w:adjustRightInd w:val="0"/>
      <w:snapToGrid w:val="0"/>
      <w:spacing w:line="360" w:lineRule="auto"/>
      <w:ind w:firstLine="200" w:firstLineChars="200"/>
    </w:pPr>
    <w:rPr>
      <w:snapToGrid w:val="0"/>
      <w:kern w:val="0"/>
      <w:sz w:val="24"/>
    </w:rPr>
  </w:style>
  <w:style w:type="character" w:customStyle="1" w:styleId="141">
    <w:name w:val="t_tag"/>
    <w:basedOn w:val="54"/>
    <w:qFormat/>
    <w:uiPriority w:val="0"/>
  </w:style>
  <w:style w:type="character" w:customStyle="1" w:styleId="142">
    <w:name w:val="Char Char4"/>
    <w:qFormat/>
    <w:locked/>
    <w:uiPriority w:val="0"/>
    <w:rPr>
      <w:rFonts w:ascii="宋体" w:hAnsi="Courier New" w:eastAsia="宋体"/>
      <w:kern w:val="2"/>
      <w:sz w:val="21"/>
      <w:szCs w:val="21"/>
      <w:lang w:val="en-US" w:eastAsia="zh-CN" w:bidi="ar-SA"/>
    </w:rPr>
  </w:style>
  <w:style w:type="character" w:customStyle="1" w:styleId="143">
    <w:name w:val="表格文字 Char"/>
    <w:link w:val="144"/>
    <w:qFormat/>
    <w:locked/>
    <w:uiPriority w:val="0"/>
    <w:rPr>
      <w:rFonts w:eastAsia="FangSong_GB2312"/>
      <w:sz w:val="24"/>
      <w:lang w:val="en-US" w:eastAsia="zh-CN" w:bidi="ar-SA"/>
    </w:rPr>
  </w:style>
  <w:style w:type="paragraph" w:customStyle="1" w:styleId="144">
    <w:name w:val="表格文字"/>
    <w:basedOn w:val="2"/>
    <w:next w:val="26"/>
    <w:link w:val="143"/>
    <w:qFormat/>
    <w:uiPriority w:val="0"/>
    <w:pPr>
      <w:autoSpaceDE w:val="0"/>
      <w:autoSpaceDN w:val="0"/>
      <w:adjustRightInd w:val="0"/>
      <w:spacing w:before="60" w:after="60"/>
      <w:jc w:val="center"/>
      <w:textAlignment w:val="bottom"/>
    </w:pPr>
    <w:rPr>
      <w:rFonts w:eastAsia="FangSong_GB2312"/>
      <w:kern w:val="0"/>
      <w:sz w:val="24"/>
      <w:szCs w:val="20"/>
    </w:rPr>
  </w:style>
  <w:style w:type="character" w:customStyle="1" w:styleId="145">
    <w:name w:val=" Char Char12"/>
    <w:qFormat/>
    <w:uiPriority w:val="0"/>
    <w:rPr>
      <w:rFonts w:hint="eastAsia" w:ascii="宋体" w:hAnsi="宋体" w:eastAsia="宋体" w:cs="宋体"/>
      <w:kern w:val="2"/>
      <w:sz w:val="28"/>
      <w:szCs w:val="21"/>
      <w:lang w:val="en-US" w:eastAsia="zh-CN" w:bidi="ar"/>
    </w:rPr>
  </w:style>
  <w:style w:type="character" w:customStyle="1" w:styleId="146">
    <w:name w:val="11表头 Char"/>
    <w:link w:val="147"/>
    <w:qFormat/>
    <w:uiPriority w:val="0"/>
    <w:rPr>
      <w:rFonts w:eastAsia="黑体"/>
      <w:color w:val="C00000"/>
      <w:kern w:val="2"/>
      <w:sz w:val="24"/>
      <w:szCs w:val="24"/>
      <w:lang w:bidi="ar-SA"/>
    </w:rPr>
  </w:style>
  <w:style w:type="paragraph" w:customStyle="1" w:styleId="147">
    <w:name w:val="11表头"/>
    <w:basedOn w:val="1"/>
    <w:link w:val="146"/>
    <w:qFormat/>
    <w:uiPriority w:val="0"/>
    <w:pPr>
      <w:snapToGrid w:val="0"/>
      <w:jc w:val="center"/>
    </w:pPr>
    <w:rPr>
      <w:rFonts w:eastAsia="黑体"/>
      <w:color w:val="C00000"/>
      <w:sz w:val="24"/>
    </w:rPr>
  </w:style>
  <w:style w:type="character" w:customStyle="1" w:styleId="148">
    <w:name w:val=" Char Char6"/>
    <w:qFormat/>
    <w:uiPriority w:val="0"/>
    <w:rPr>
      <w:rFonts w:eastAsia="宋体"/>
      <w:b/>
      <w:bCs/>
      <w:kern w:val="2"/>
      <w:sz w:val="32"/>
      <w:szCs w:val="32"/>
      <w:lang w:val="en-US" w:eastAsia="zh-CN" w:bidi="ar-SA"/>
    </w:rPr>
  </w:style>
  <w:style w:type="character" w:customStyle="1" w:styleId="149">
    <w:name w:val=" Char Char"/>
    <w:qFormat/>
    <w:uiPriority w:val="0"/>
    <w:rPr>
      <w:rFonts w:eastAsia="宋体"/>
      <w:kern w:val="2"/>
      <w:sz w:val="18"/>
      <w:szCs w:val="18"/>
      <w:lang w:val="en-US" w:eastAsia="zh-CN" w:bidi="ar-SA"/>
    </w:rPr>
  </w:style>
  <w:style w:type="character" w:customStyle="1" w:styleId="150">
    <w:name w:val="报告 Char"/>
    <w:link w:val="151"/>
    <w:qFormat/>
    <w:uiPriority w:val="0"/>
    <w:rPr>
      <w:rFonts w:ascii="TimesNewRoman" w:hAnsi="TimesNewRoman" w:eastAsia="宋体"/>
      <w:sz w:val="24"/>
      <w:lang w:val="en-US" w:eastAsia="zh-CN" w:bidi="ar-SA"/>
    </w:rPr>
  </w:style>
  <w:style w:type="paragraph" w:customStyle="1" w:styleId="151">
    <w:name w:val="报告"/>
    <w:basedOn w:val="1"/>
    <w:link w:val="150"/>
    <w:qFormat/>
    <w:uiPriority w:val="0"/>
    <w:pPr>
      <w:adjustRightInd w:val="0"/>
      <w:spacing w:line="360" w:lineRule="auto"/>
      <w:ind w:firstLine="505"/>
      <w:textAlignment w:val="center"/>
    </w:pPr>
    <w:rPr>
      <w:rFonts w:ascii="TimesNewRoman" w:hAnsi="TimesNewRoman"/>
      <w:kern w:val="0"/>
      <w:sz w:val="24"/>
      <w:szCs w:val="20"/>
    </w:rPr>
  </w:style>
  <w:style w:type="character" w:customStyle="1" w:styleId="152">
    <w:name w:val=" Char Char5"/>
    <w:qFormat/>
    <w:uiPriority w:val="0"/>
    <w:rPr>
      <w:rFonts w:ascii="宋体" w:hAnsi="宋体" w:eastAsia="宋体" w:cs="宋体"/>
      <w:sz w:val="24"/>
      <w:szCs w:val="24"/>
      <w:lang w:val="en-US" w:eastAsia="zh-CN" w:bidi="ar-SA"/>
    </w:rPr>
  </w:style>
  <w:style w:type="character" w:customStyle="1" w:styleId="153">
    <w:name w:val="标题 3 Char Char Char Char Char"/>
    <w:qFormat/>
    <w:uiPriority w:val="0"/>
    <w:rPr>
      <w:rFonts w:eastAsia="宋体"/>
      <w:b/>
      <w:bCs/>
      <w:kern w:val="2"/>
      <w:sz w:val="32"/>
      <w:szCs w:val="32"/>
      <w:lang w:val="en-US" w:eastAsia="zh-CN" w:bidi="ar-SA"/>
    </w:rPr>
  </w:style>
  <w:style w:type="character" w:customStyle="1" w:styleId="154">
    <w:name w:val="表格正文 Char"/>
    <w:link w:val="155"/>
    <w:qFormat/>
    <w:uiPriority w:val="0"/>
    <w:rPr>
      <w:rFonts w:ascii="FangSong_GB2312" w:eastAsia="FangSong_GB2312"/>
      <w:kern w:val="2"/>
      <w:sz w:val="21"/>
      <w:szCs w:val="24"/>
      <w:lang w:val="en-US" w:eastAsia="zh-CN" w:bidi="ar-SA"/>
    </w:rPr>
  </w:style>
  <w:style w:type="paragraph" w:customStyle="1" w:styleId="155">
    <w:name w:val="表格正文"/>
    <w:basedOn w:val="1"/>
    <w:link w:val="154"/>
    <w:qFormat/>
    <w:uiPriority w:val="0"/>
    <w:pPr>
      <w:jc w:val="center"/>
    </w:pPr>
    <w:rPr>
      <w:rFonts w:ascii="FangSong_GB2312" w:eastAsia="FangSong_GB2312"/>
    </w:rPr>
  </w:style>
  <w:style w:type="character" w:customStyle="1" w:styleId="156">
    <w:name w:val="A标准格式 Char Char"/>
    <w:link w:val="157"/>
    <w:qFormat/>
    <w:uiPriority w:val="0"/>
    <w:rPr>
      <w:rFonts w:eastAsia="宋体"/>
      <w:kern w:val="2"/>
      <w:sz w:val="24"/>
      <w:szCs w:val="24"/>
      <w:lang w:val="en-US" w:eastAsia="zh-CN" w:bidi="ar-SA"/>
    </w:rPr>
  </w:style>
  <w:style w:type="paragraph" w:customStyle="1" w:styleId="157">
    <w:name w:val="A标准格式"/>
    <w:basedOn w:val="1"/>
    <w:link w:val="156"/>
    <w:qFormat/>
    <w:uiPriority w:val="0"/>
    <w:pPr>
      <w:spacing w:line="440" w:lineRule="exact"/>
      <w:ind w:firstLine="480" w:firstLineChars="200"/>
    </w:pPr>
    <w:rPr>
      <w:sz w:val="24"/>
    </w:rPr>
  </w:style>
  <w:style w:type="character" w:customStyle="1" w:styleId="158">
    <w:name w:val="表头 Char Char"/>
    <w:link w:val="159"/>
    <w:qFormat/>
    <w:uiPriority w:val="0"/>
    <w:rPr>
      <w:rFonts w:hAnsi="宋体" w:eastAsia="宋体"/>
      <w:b/>
      <w:color w:val="000000"/>
      <w:kern w:val="2"/>
      <w:position w:val="2"/>
      <w:sz w:val="24"/>
      <w:szCs w:val="24"/>
      <w:lang w:val="en-US" w:eastAsia="zh-CN" w:bidi="ar-SA"/>
    </w:rPr>
  </w:style>
  <w:style w:type="paragraph" w:customStyle="1" w:styleId="159">
    <w:name w:val="表头"/>
    <w:basedOn w:val="160"/>
    <w:link w:val="158"/>
    <w:qFormat/>
    <w:uiPriority w:val="0"/>
    <w:pPr>
      <w:spacing w:line="420" w:lineRule="exact"/>
      <w:jc w:val="center"/>
    </w:pPr>
    <w:rPr>
      <w:rFonts w:hAnsi="宋体"/>
      <w:b/>
      <w:color w:val="000000"/>
      <w:position w:val="2"/>
      <w:sz w:val="24"/>
    </w:rPr>
  </w:style>
  <w:style w:type="paragraph" w:customStyle="1" w:styleId="160">
    <w:name w:val="正文d"/>
    <w:basedOn w:val="1"/>
    <w:qFormat/>
    <w:uiPriority w:val="0"/>
    <w:pPr>
      <w:autoSpaceDE w:val="0"/>
      <w:autoSpaceDN w:val="0"/>
      <w:adjustRightInd w:val="0"/>
      <w:snapToGrid w:val="0"/>
      <w:spacing w:line="360" w:lineRule="auto"/>
      <w:ind w:firstLine="200" w:firstLineChars="200"/>
    </w:pPr>
    <w:rPr>
      <w:rFonts w:cs="宋体"/>
      <w:kern w:val="0"/>
      <w:szCs w:val="21"/>
    </w:rPr>
  </w:style>
  <w:style w:type="character" w:customStyle="1" w:styleId="161">
    <w:name w:val="正文（首行缩进两字） Char Char Char Char Char Char Char Char"/>
    <w:qFormat/>
    <w:uiPriority w:val="0"/>
    <w:rPr>
      <w:rFonts w:eastAsia="华文中宋"/>
      <w:w w:val="90"/>
      <w:sz w:val="28"/>
      <w:lang w:val="en-US" w:eastAsia="zh-CN" w:bidi="ar-SA"/>
    </w:rPr>
  </w:style>
  <w:style w:type="character" w:customStyle="1" w:styleId="162">
    <w:name w:val="普通文字 Char Char1"/>
    <w:qFormat/>
    <w:uiPriority w:val="0"/>
    <w:rPr>
      <w:rFonts w:ascii="宋体" w:hAnsi="Courier New" w:eastAsia="宋体"/>
      <w:spacing w:val="-2"/>
      <w:kern w:val="28"/>
      <w:sz w:val="21"/>
      <w:lang w:val="en-US" w:eastAsia="zh-CN" w:bidi="ar-SA"/>
    </w:rPr>
  </w:style>
  <w:style w:type="character" w:customStyle="1" w:styleId="163">
    <w:name w:val=" Char Char2"/>
    <w:qFormat/>
    <w:uiPriority w:val="0"/>
    <w:rPr>
      <w:rFonts w:eastAsia="宋体"/>
      <w:kern w:val="2"/>
      <w:sz w:val="18"/>
      <w:szCs w:val="18"/>
      <w:lang w:val="en-US" w:eastAsia="zh-CN" w:bidi="ar-SA"/>
    </w:rPr>
  </w:style>
  <w:style w:type="character" w:customStyle="1" w:styleId="164">
    <w:name w:val="表格 Char Char"/>
    <w:qFormat/>
    <w:uiPriority w:val="0"/>
    <w:rPr>
      <w:rFonts w:eastAsia="宋体"/>
      <w:kern w:val="2"/>
      <w:sz w:val="24"/>
      <w:lang w:val="en-US" w:eastAsia="zh-CN" w:bidi="ar-SA"/>
    </w:rPr>
  </w:style>
  <w:style w:type="character" w:customStyle="1" w:styleId="165">
    <w:name w:val="书籍标题1"/>
    <w:qFormat/>
    <w:uiPriority w:val="0"/>
    <w:rPr>
      <w:b/>
    </w:rPr>
  </w:style>
  <w:style w:type="character" w:customStyle="1" w:styleId="166">
    <w:name w:val="正文（首行缩进） Char Char Char"/>
    <w:link w:val="167"/>
    <w:qFormat/>
    <w:locked/>
    <w:uiPriority w:val="0"/>
    <w:rPr>
      <w:sz w:val="24"/>
      <w:lang w:bidi="ar-SA"/>
    </w:rPr>
  </w:style>
  <w:style w:type="paragraph" w:customStyle="1" w:styleId="167">
    <w:name w:val="正文（首行缩进） Char"/>
    <w:basedOn w:val="1"/>
    <w:link w:val="166"/>
    <w:qFormat/>
    <w:uiPriority w:val="0"/>
    <w:pPr>
      <w:widowControl/>
      <w:overflowPunct w:val="0"/>
      <w:topLinePunct/>
      <w:autoSpaceDE w:val="0"/>
      <w:autoSpaceDN w:val="0"/>
      <w:adjustRightInd w:val="0"/>
      <w:snapToGrid w:val="0"/>
      <w:spacing w:line="360" w:lineRule="auto"/>
      <w:ind w:firstLine="480" w:firstLineChars="200"/>
    </w:pPr>
    <w:rPr>
      <w:rFonts w:eastAsia="Times New Roman"/>
      <w:kern w:val="0"/>
      <w:sz w:val="24"/>
      <w:szCs w:val="20"/>
    </w:rPr>
  </w:style>
  <w:style w:type="character" w:customStyle="1" w:styleId="168">
    <w:name w:val=" Char Char4"/>
    <w:qFormat/>
    <w:uiPriority w:val="0"/>
    <w:rPr>
      <w:rFonts w:eastAsia="宋体"/>
      <w:kern w:val="2"/>
      <w:sz w:val="28"/>
      <w:szCs w:val="24"/>
      <w:lang w:val="en-US" w:eastAsia="zh-CN" w:bidi="ar-SA"/>
    </w:rPr>
  </w:style>
  <w:style w:type="character" w:customStyle="1" w:styleId="169">
    <w:name w:val="普通 (Web) Char1"/>
    <w:qFormat/>
    <w:locked/>
    <w:uiPriority w:val="0"/>
    <w:rPr>
      <w:rFonts w:ascii="宋体" w:hAnsi="宋体" w:eastAsia="宋体" w:cs="宋体"/>
      <w:sz w:val="24"/>
      <w:szCs w:val="24"/>
      <w:lang w:val="en-US" w:eastAsia="zh-CN" w:bidi="ar-SA"/>
    </w:rPr>
  </w:style>
  <w:style w:type="character" w:customStyle="1" w:styleId="170">
    <w:name w:val="apple-converted-space"/>
    <w:basedOn w:val="54"/>
    <w:qFormat/>
    <w:uiPriority w:val="0"/>
  </w:style>
  <w:style w:type="character" w:customStyle="1" w:styleId="171">
    <w:name w:val="正文缩进 Char1"/>
    <w:qFormat/>
    <w:uiPriority w:val="0"/>
    <w:rPr>
      <w:rFonts w:eastAsia="宋体"/>
      <w:spacing w:val="20"/>
      <w:sz w:val="24"/>
    </w:rPr>
  </w:style>
  <w:style w:type="character" w:customStyle="1" w:styleId="172">
    <w:name w:val="text06"/>
    <w:basedOn w:val="54"/>
    <w:qFormat/>
    <w:uiPriority w:val="0"/>
  </w:style>
  <w:style w:type="character" w:customStyle="1" w:styleId="173">
    <w:name w:val="111表格 Char"/>
    <w:link w:val="174"/>
    <w:qFormat/>
    <w:uiPriority w:val="0"/>
    <w:rPr>
      <w:color w:val="C00000"/>
      <w:kern w:val="2"/>
      <w:sz w:val="21"/>
      <w:szCs w:val="21"/>
      <w:lang w:bidi="ar-SA"/>
    </w:rPr>
  </w:style>
  <w:style w:type="paragraph" w:customStyle="1" w:styleId="174">
    <w:name w:val="111表格"/>
    <w:basedOn w:val="1"/>
    <w:link w:val="173"/>
    <w:qFormat/>
    <w:uiPriority w:val="0"/>
    <w:pPr>
      <w:jc w:val="center"/>
    </w:pPr>
    <w:rPr>
      <w:rFonts w:eastAsia="Times New Roman"/>
      <w:color w:val="C00000"/>
      <w:szCs w:val="21"/>
    </w:rPr>
  </w:style>
  <w:style w:type="paragraph" w:customStyle="1" w:styleId="175">
    <w:name w:val="新正文"/>
    <w:basedOn w:val="1"/>
    <w:qFormat/>
    <w:uiPriority w:val="0"/>
    <w:pPr>
      <w:spacing w:line="480" w:lineRule="exact"/>
      <w:ind w:firstLine="567"/>
    </w:pPr>
    <w:rPr>
      <w:rFonts w:ascii="FangSong_GB2312" w:eastAsia="FangSong_GB2312"/>
      <w:bCs/>
      <w:kern w:val="0"/>
      <w:sz w:val="28"/>
      <w:szCs w:val="20"/>
    </w:rPr>
  </w:style>
  <w:style w:type="paragraph" w:customStyle="1" w:styleId="176">
    <w:name w:val="纯文本1"/>
    <w:basedOn w:val="1"/>
    <w:unhideWhenUsed/>
    <w:qFormat/>
    <w:uiPriority w:val="0"/>
    <w:pPr>
      <w:adjustRightInd w:val="0"/>
    </w:pPr>
    <w:rPr>
      <w:rFonts w:hint="eastAsia" w:ascii="宋体" w:hAnsi="Courier New"/>
    </w:rPr>
  </w:style>
  <w:style w:type="paragraph" w:customStyle="1" w:styleId="177">
    <w:name w:val="表格 32"/>
    <w:basedOn w:val="1"/>
    <w:qFormat/>
    <w:uiPriority w:val="0"/>
    <w:pPr>
      <w:autoSpaceDE w:val="0"/>
      <w:autoSpaceDN w:val="0"/>
      <w:adjustRightInd w:val="0"/>
      <w:spacing w:line="240" w:lineRule="atLeast"/>
      <w:jc w:val="center"/>
    </w:pPr>
    <w:rPr>
      <w:kern w:val="0"/>
      <w:sz w:val="24"/>
    </w:rPr>
  </w:style>
  <w:style w:type="paragraph" w:customStyle="1" w:styleId="178">
    <w:name w:val="样式 列表 2 + 华文仿宋 居中"/>
    <w:basedOn w:val="22"/>
    <w:qFormat/>
    <w:uiPriority w:val="0"/>
    <w:pPr>
      <w:spacing w:line="240" w:lineRule="exact"/>
      <w:ind w:left="0" w:leftChars="0" w:firstLine="0" w:firstLineChars="0"/>
      <w:jc w:val="center"/>
    </w:pPr>
    <w:rPr>
      <w:sz w:val="21"/>
      <w:szCs w:val="21"/>
    </w:rPr>
  </w:style>
  <w:style w:type="paragraph" w:customStyle="1" w:styleId="179">
    <w:name w:val="List Paragraph"/>
    <w:basedOn w:val="1"/>
    <w:qFormat/>
    <w:uiPriority w:val="0"/>
    <w:pPr>
      <w:autoSpaceDE w:val="0"/>
      <w:autoSpaceDN w:val="0"/>
      <w:ind w:left="1383" w:hanging="841"/>
      <w:jc w:val="left"/>
    </w:pPr>
    <w:rPr>
      <w:rFonts w:ascii="宋体" w:hAnsi="宋体" w:cs="宋体"/>
      <w:kern w:val="0"/>
      <w:sz w:val="22"/>
      <w:szCs w:val="22"/>
    </w:rPr>
  </w:style>
  <w:style w:type="paragraph" w:customStyle="1" w:styleId="180">
    <w:name w:val="2 Char"/>
    <w:basedOn w:val="1"/>
    <w:qFormat/>
    <w:uiPriority w:val="0"/>
    <w:pPr>
      <w:spacing w:line="360" w:lineRule="auto"/>
      <w:ind w:firstLine="200" w:firstLineChars="200"/>
    </w:pPr>
    <w:rPr>
      <w:rFonts w:ascii="宋体" w:hAnsi="宋体" w:cs="宋体"/>
      <w:sz w:val="24"/>
    </w:rPr>
  </w:style>
  <w:style w:type="paragraph" w:customStyle="1" w:styleId="181">
    <w:name w:val="pic-info"/>
    <w:basedOn w:val="1"/>
    <w:qFormat/>
    <w:uiPriority w:val="0"/>
    <w:pPr>
      <w:widowControl/>
      <w:spacing w:before="100" w:beforeAutospacing="1" w:after="100" w:afterAutospacing="1"/>
      <w:jc w:val="left"/>
    </w:pPr>
    <w:rPr>
      <w:rFonts w:ascii="宋体" w:hAnsi="宋体" w:cs="宋体"/>
      <w:kern w:val="0"/>
      <w:sz w:val="24"/>
    </w:rPr>
  </w:style>
  <w:style w:type="paragraph" w:customStyle="1" w:styleId="182">
    <w:name w:val=" 字元 字元"/>
    <w:basedOn w:val="1"/>
    <w:qFormat/>
    <w:uiPriority w:val="0"/>
  </w:style>
  <w:style w:type="paragraph" w:customStyle="1" w:styleId="183">
    <w:name w:val="p0"/>
    <w:basedOn w:val="1"/>
    <w:qFormat/>
    <w:uiPriority w:val="0"/>
    <w:pPr>
      <w:widowControl/>
      <w:snapToGrid w:val="0"/>
      <w:spacing w:line="312" w:lineRule="atLeast"/>
    </w:pPr>
    <w:rPr>
      <w:kern w:val="0"/>
      <w:szCs w:val="21"/>
    </w:rPr>
  </w:style>
  <w:style w:type="paragraph" w:customStyle="1" w:styleId="184">
    <w:name w:val="zxz5"/>
    <w:next w:val="1"/>
    <w:qFormat/>
    <w:uiPriority w:val="0"/>
    <w:pPr>
      <w:tabs>
        <w:tab w:val="left" w:pos="0"/>
      </w:tabs>
      <w:jc w:val="center"/>
    </w:pPr>
    <w:rPr>
      <w:rFonts w:ascii="Times New Roman" w:hAnsi="Times New Roman" w:eastAsia="宋体" w:cs="Times New Roman"/>
      <w:lang w:val="en-US" w:eastAsia="zh-CN" w:bidi="ar-SA"/>
    </w:rPr>
  </w:style>
  <w:style w:type="paragraph" w:customStyle="1" w:styleId="185">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86">
    <w:name w:val="默认段落字体 Para Char Char Char Char"/>
    <w:basedOn w:val="1"/>
    <w:qFormat/>
    <w:uiPriority w:val="0"/>
    <w:pPr>
      <w:widowControl/>
      <w:jc w:val="left"/>
    </w:pPr>
    <w:rPr>
      <w:rFonts w:cs="宋体"/>
      <w:kern w:val="0"/>
    </w:rPr>
  </w:style>
  <w:style w:type="paragraph" w:customStyle="1" w:styleId="187">
    <w:name w:val="中文报告书样式"/>
    <w:basedOn w:val="1"/>
    <w:qFormat/>
    <w:uiPriority w:val="0"/>
    <w:pPr>
      <w:adjustRightInd w:val="0"/>
      <w:spacing w:line="480" w:lineRule="atLeast"/>
      <w:ind w:firstLine="482"/>
      <w:textAlignment w:val="baseline"/>
    </w:pPr>
    <w:rPr>
      <w:kern w:val="24"/>
      <w:sz w:val="24"/>
      <w:szCs w:val="20"/>
    </w:rPr>
  </w:style>
  <w:style w:type="paragraph" w:customStyle="1" w:styleId="188">
    <w:name w:val="标题 31"/>
    <w:basedOn w:val="1"/>
    <w:next w:val="1"/>
    <w:qFormat/>
    <w:uiPriority w:val="0"/>
    <w:pPr>
      <w:keepNext/>
      <w:keepLines/>
      <w:tabs>
        <w:tab w:val="left" w:pos="1620"/>
      </w:tabs>
      <w:spacing w:before="156" w:beforeLines="50" w:line="460" w:lineRule="exact"/>
      <w:ind w:firstLine="573"/>
      <w:outlineLvl w:val="2"/>
    </w:pPr>
    <w:rPr>
      <w:rFonts w:ascii="ºÚÌå" w:hAnsi="宋体" w:cs="ºÚÌå"/>
      <w:b/>
      <w:bCs/>
      <w:spacing w:val="-8"/>
      <w:kern w:val="0"/>
      <w:sz w:val="30"/>
    </w:rPr>
  </w:style>
  <w:style w:type="paragraph" w:customStyle="1" w:styleId="189">
    <w:name w:val="正文2"/>
    <w:qFormat/>
    <w:uiPriority w:val="0"/>
    <w:rPr>
      <w:rFonts w:ascii="Times New Roman" w:hAnsi="Times New Roman" w:eastAsia="宋体" w:cs="宋体"/>
      <w:sz w:val="28"/>
      <w:lang w:val="en-US" w:eastAsia="zh-CN" w:bidi="ar-SA"/>
    </w:rPr>
  </w:style>
  <w:style w:type="paragraph" w:customStyle="1" w:styleId="190">
    <w:name w:val=" Char Char Char Char Char Char Char"/>
    <w:basedOn w:val="1"/>
    <w:qFormat/>
    <w:uiPriority w:val="0"/>
    <w:pPr>
      <w:adjustRightInd w:val="0"/>
      <w:spacing w:line="360" w:lineRule="auto"/>
    </w:pPr>
    <w:rPr>
      <w:szCs w:val="20"/>
    </w:rPr>
  </w:style>
  <w:style w:type="paragraph" w:customStyle="1" w:styleId="191">
    <w:name w:val="Normal"/>
    <w:link w:val="192"/>
    <w:qFormat/>
    <w:uiPriority w:val="0"/>
    <w:pPr>
      <w:jc w:val="both"/>
    </w:pPr>
    <w:rPr>
      <w:rFonts w:ascii="Calibri" w:hAnsi="Calibri" w:eastAsia="宋体" w:cs="宋体"/>
      <w:kern w:val="2"/>
      <w:sz w:val="21"/>
      <w:szCs w:val="21"/>
      <w:lang w:val="en-US" w:eastAsia="zh-CN" w:bidi="ar-SA"/>
    </w:rPr>
  </w:style>
  <w:style w:type="character" w:customStyle="1" w:styleId="192">
    <w:name w:val="Normal Char"/>
    <w:link w:val="191"/>
    <w:qFormat/>
    <w:uiPriority w:val="0"/>
    <w:rPr>
      <w:rFonts w:ascii="Calibri" w:hAnsi="Calibri" w:eastAsia="宋体" w:cs="宋体"/>
      <w:kern w:val="2"/>
      <w:sz w:val="21"/>
      <w:szCs w:val="21"/>
      <w:lang w:val="en-US" w:eastAsia="zh-CN" w:bidi="ar-SA"/>
    </w:rPr>
  </w:style>
  <w:style w:type="paragraph" w:customStyle="1" w:styleId="193">
    <w:name w:val=" Char Char Char Char1"/>
    <w:basedOn w:val="1"/>
    <w:qFormat/>
    <w:uiPriority w:val="0"/>
    <w:rPr>
      <w:sz w:val="24"/>
    </w:rPr>
  </w:style>
  <w:style w:type="paragraph" w:customStyle="1" w:styleId="194">
    <w:name w:val="默认段落字体 Para Char Char Char Char Char Char Char Char Char Char Char Char Char"/>
    <w:basedOn w:val="1"/>
    <w:qFormat/>
    <w:uiPriority w:val="0"/>
    <w:pPr>
      <w:spacing w:line="360" w:lineRule="auto"/>
      <w:ind w:firstLine="200" w:firstLineChars="200"/>
    </w:pPr>
    <w:rPr>
      <w:spacing w:val="10"/>
      <w:sz w:val="24"/>
    </w:rPr>
  </w:style>
  <w:style w:type="paragraph" w:customStyle="1" w:styleId="195">
    <w:name w:val="表内容"/>
    <w:basedOn w:val="1"/>
    <w:next w:val="1"/>
    <w:qFormat/>
    <w:uiPriority w:val="0"/>
    <w:pPr>
      <w:spacing w:line="320" w:lineRule="exact"/>
      <w:jc w:val="center"/>
    </w:pPr>
    <w:rPr>
      <w:szCs w:val="20"/>
    </w:rPr>
  </w:style>
  <w:style w:type="paragraph" w:customStyle="1" w:styleId="196">
    <w:name w:val="Char1"/>
    <w:basedOn w:val="1"/>
    <w:qFormat/>
    <w:uiPriority w:val="0"/>
    <w:rPr>
      <w:rFonts w:ascii="宋体" w:hAnsi="宋体" w:eastAsia="Times New Roman" w:cs="宋体"/>
      <w:bCs/>
      <w:sz w:val="18"/>
      <w:szCs w:val="18"/>
    </w:rPr>
  </w:style>
  <w:style w:type="paragraph" w:customStyle="1" w:styleId="197">
    <w:name w:val="正文 03"/>
    <w:basedOn w:val="1"/>
    <w:qFormat/>
    <w:uiPriority w:val="0"/>
    <w:pPr>
      <w:autoSpaceDE w:val="0"/>
      <w:autoSpaceDN w:val="0"/>
      <w:adjustRightInd w:val="0"/>
      <w:textAlignment w:val="baseline"/>
    </w:pPr>
    <w:rPr>
      <w:rFonts w:eastAsia="KaiTi_GB2312"/>
      <w:kern w:val="0"/>
      <w:sz w:val="24"/>
      <w:szCs w:val="20"/>
    </w:rPr>
  </w:style>
  <w:style w:type="paragraph" w:customStyle="1" w:styleId="198">
    <w:name w:val="表格文字2"/>
    <w:basedOn w:val="26"/>
    <w:qFormat/>
    <w:uiPriority w:val="0"/>
    <w:pPr>
      <w:adjustRightInd w:val="0"/>
      <w:spacing w:before="60"/>
      <w:jc w:val="center"/>
      <w:textAlignment w:val="baseline"/>
    </w:pPr>
    <w:rPr>
      <w:rFonts w:hAnsi="Times New Roman"/>
      <w:kern w:val="0"/>
      <w:sz w:val="24"/>
      <w:szCs w:val="20"/>
    </w:rPr>
  </w:style>
  <w:style w:type="paragraph" w:customStyle="1" w:styleId="199">
    <w:name w:val="xl36"/>
    <w:basedOn w:val="1"/>
    <w:qFormat/>
    <w:uiPriority w:val="0"/>
    <w:pPr>
      <w:widowControl/>
      <w:spacing w:before="100" w:beforeAutospacing="1" w:after="100" w:afterAutospacing="1"/>
      <w:jc w:val="center"/>
    </w:pPr>
    <w:rPr>
      <w:rFonts w:ascii="KaiTi_GB2312" w:hAnsi="Arial Unicode MS" w:eastAsia="KaiTi_GB2312"/>
      <w:b/>
      <w:bCs/>
      <w:kern w:val="0"/>
      <w:sz w:val="28"/>
      <w:szCs w:val="28"/>
    </w:rPr>
  </w:style>
  <w:style w:type="paragraph" w:customStyle="1" w:styleId="200">
    <w:name w:val="1表格"/>
    <w:basedOn w:val="1"/>
    <w:qFormat/>
    <w:uiPriority w:val="0"/>
    <w:pPr>
      <w:snapToGrid w:val="0"/>
      <w:spacing w:line="160" w:lineRule="atLeast"/>
      <w:jc w:val="center"/>
    </w:pPr>
    <w:rPr>
      <w:rFonts w:eastAsia="FangSong_GB2312"/>
      <w:szCs w:val="20"/>
    </w:rPr>
  </w:style>
  <w:style w:type="paragraph" w:customStyle="1" w:styleId="201">
    <w:name w:val=" Char Char1 Char"/>
    <w:basedOn w:val="1"/>
    <w:qFormat/>
    <w:uiPriority w:val="0"/>
    <w:pPr>
      <w:adjustRightInd w:val="0"/>
      <w:spacing w:line="360" w:lineRule="auto"/>
    </w:pPr>
    <w:rPr>
      <w:kern w:val="0"/>
      <w:sz w:val="24"/>
      <w:szCs w:val="20"/>
    </w:rPr>
  </w:style>
  <w:style w:type="paragraph" w:customStyle="1" w:styleId="202">
    <w:name w:val="1正文"/>
    <w:basedOn w:val="1"/>
    <w:qFormat/>
    <w:uiPriority w:val="0"/>
    <w:pPr>
      <w:widowControl/>
      <w:spacing w:line="360" w:lineRule="auto"/>
      <w:ind w:firstLine="200" w:firstLineChars="200"/>
    </w:pPr>
    <w:rPr>
      <w:kern w:val="0"/>
      <w:sz w:val="24"/>
      <w:szCs w:val="20"/>
      <w:lang w:val="en-GB"/>
    </w:rPr>
  </w:style>
  <w:style w:type="paragraph" w:customStyle="1" w:styleId="203">
    <w:name w:val="Heading 2"/>
    <w:basedOn w:val="1"/>
    <w:qFormat/>
    <w:uiPriority w:val="0"/>
    <w:pPr>
      <w:spacing w:before="26"/>
      <w:ind w:left="721"/>
      <w:jc w:val="left"/>
      <w:outlineLvl w:val="2"/>
    </w:pPr>
    <w:rPr>
      <w:rFonts w:ascii="宋体" w:hAnsi="宋体"/>
      <w:b/>
      <w:bCs/>
      <w:kern w:val="0"/>
      <w:sz w:val="24"/>
      <w:lang w:eastAsia="en-US"/>
    </w:rPr>
  </w:style>
  <w:style w:type="paragraph" w:customStyle="1" w:styleId="204">
    <w:name w:val="我的表格"/>
    <w:qFormat/>
    <w:uiPriority w:val="0"/>
    <w:pPr>
      <w:adjustRightInd w:val="0"/>
      <w:snapToGrid w:val="0"/>
      <w:spacing w:line="300" w:lineRule="exact"/>
      <w:jc w:val="center"/>
    </w:pPr>
    <w:rPr>
      <w:rFonts w:ascii="Times New Roman" w:hAnsi="Times New Roman" w:eastAsia="宋体" w:cs="Times New Roman"/>
      <w:spacing w:val="4"/>
      <w:sz w:val="21"/>
      <w:szCs w:val="24"/>
      <w:lang w:val="en-US" w:eastAsia="zh-CN" w:bidi="ar-SA"/>
    </w:rPr>
  </w:style>
  <w:style w:type="paragraph" w:customStyle="1" w:styleId="205">
    <w:name w:val="表格内容"/>
    <w:next w:val="1"/>
    <w:qFormat/>
    <w:uiPriority w:val="0"/>
    <w:pPr>
      <w:jc w:val="center"/>
    </w:pPr>
    <w:rPr>
      <w:rFonts w:ascii="Times New Roman" w:hAnsi="Times New Roman" w:eastAsia="宋体" w:cs="Times New Roman"/>
      <w:kern w:val="2"/>
      <w:sz w:val="21"/>
      <w:szCs w:val="22"/>
      <w:lang w:val="en-US" w:eastAsia="zh-CN" w:bidi="ar-SA"/>
    </w:rPr>
  </w:style>
  <w:style w:type="paragraph" w:customStyle="1" w:styleId="206">
    <w:name w:val=" Char Char Char Char Char Char Char Char Char Char Char Char Char Char Char Char Char Char Char Char Char Char Char Char Char"/>
    <w:basedOn w:val="1"/>
    <w:qFormat/>
    <w:uiPriority w:val="0"/>
  </w:style>
  <w:style w:type="paragraph" w:customStyle="1" w:styleId="207">
    <w:name w:val="xl34"/>
    <w:basedOn w:val="1"/>
    <w:qFormat/>
    <w:uiPriority w:val="0"/>
    <w:pPr>
      <w:widowControl/>
      <w:spacing w:before="100" w:beforeAutospacing="1" w:after="100" w:afterAutospacing="1"/>
      <w:jc w:val="center"/>
    </w:pPr>
    <w:rPr>
      <w:rFonts w:ascii="Arial Unicode MS" w:hAnsi="Arial Unicode MS" w:eastAsia="Arial Unicode MS"/>
      <w:kern w:val="0"/>
      <w:sz w:val="24"/>
    </w:rPr>
  </w:style>
  <w:style w:type="paragraph" w:customStyle="1" w:styleId="208">
    <w:name w:val="WPS Plain"/>
    <w:qFormat/>
    <w:uiPriority w:val="0"/>
    <w:rPr>
      <w:rFonts w:ascii="Times New Roman" w:hAnsi="Times New Roman" w:eastAsia="宋体" w:cs="Times New Roman"/>
      <w:sz w:val="24"/>
      <w:szCs w:val="24"/>
      <w:lang w:val="en-US" w:eastAsia="zh-CN" w:bidi="ar-SA"/>
    </w:rPr>
  </w:style>
  <w:style w:type="paragraph" w:customStyle="1" w:styleId="209">
    <w:name w:val="æ­￡æ–‡ç¼©è¿›"/>
    <w:basedOn w:val="1"/>
    <w:unhideWhenUsed/>
    <w:qFormat/>
    <w:uiPriority w:val="0"/>
    <w:pPr>
      <w:spacing w:line="440" w:lineRule="exact"/>
      <w:ind w:firstLine="420"/>
    </w:pPr>
    <w:rPr>
      <w:rFonts w:hint="eastAsia"/>
      <w:sz w:val="24"/>
    </w:rPr>
  </w:style>
  <w:style w:type="paragraph" w:customStyle="1" w:styleId="210">
    <w:name w:val="样式1"/>
    <w:basedOn w:val="1"/>
    <w:qFormat/>
    <w:uiPriority w:val="0"/>
    <w:pPr>
      <w:snapToGrid w:val="0"/>
      <w:jc w:val="center"/>
    </w:pPr>
    <w:rPr>
      <w:rFonts w:ascii="宋体"/>
      <w:szCs w:val="20"/>
    </w:rPr>
  </w:style>
  <w:style w:type="paragraph" w:customStyle="1" w:styleId="211">
    <w:name w:val="表格标题"/>
    <w:basedOn w:val="50"/>
    <w:next w:val="205"/>
    <w:qFormat/>
    <w:uiPriority w:val="0"/>
    <w:pPr>
      <w:keepNext/>
      <w:spacing w:line="440" w:lineRule="exact"/>
      <w:jc w:val="center"/>
    </w:pPr>
    <w:rPr>
      <w:rFonts w:ascii="Times New Roman" w:hAnsi="宋体" w:eastAsia="Times New Roman" w:cs="Times New Roman"/>
      <w:sz w:val="24"/>
      <w:szCs w:val="21"/>
    </w:rPr>
  </w:style>
  <w:style w:type="paragraph" w:customStyle="1" w:styleId="212">
    <w:name w:val="正文首行缩进＋湿地"/>
    <w:basedOn w:val="1"/>
    <w:qFormat/>
    <w:uiPriority w:val="0"/>
    <w:pPr>
      <w:spacing w:line="440" w:lineRule="exact"/>
      <w:ind w:firstLine="540" w:firstLineChars="225"/>
    </w:pPr>
    <w:rPr>
      <w:rFonts w:ascii="FangSong_GB2312" w:hAnsi="宋体" w:eastAsia="FangSong_GB2312"/>
      <w:kern w:val="0"/>
      <w:sz w:val="28"/>
      <w:szCs w:val="20"/>
    </w:rPr>
  </w:style>
  <w:style w:type="paragraph" w:customStyle="1" w:styleId="213">
    <w:name w:val="Plain Text"/>
    <w:basedOn w:val="1"/>
    <w:qFormat/>
    <w:uiPriority w:val="0"/>
    <w:rPr>
      <w:rFonts w:hint="eastAsia" w:ascii="宋体" w:hAnsi="Courier New"/>
    </w:rPr>
  </w:style>
  <w:style w:type="paragraph" w:customStyle="1" w:styleId="214">
    <w:name w:val="表格式"/>
    <w:basedOn w:val="38"/>
    <w:qFormat/>
    <w:uiPriority w:val="0"/>
    <w:pPr>
      <w:spacing w:line="400" w:lineRule="exact"/>
    </w:pPr>
    <w:rPr>
      <w:rFonts w:ascii="宋体" w:eastAsia="宋体"/>
      <w:sz w:val="21"/>
    </w:rPr>
  </w:style>
  <w:style w:type="paragraph" w:customStyle="1" w:styleId="215">
    <w:name w:val=" Char Char1 Char Char Char Char Char Char Char Char Char Char Char Char Char Char Char Char Char Char"/>
    <w:basedOn w:val="1"/>
    <w:qFormat/>
    <w:uiPriority w:val="0"/>
    <w:pPr>
      <w:spacing w:line="360" w:lineRule="auto"/>
      <w:ind w:firstLine="200" w:firstLineChars="200"/>
    </w:pPr>
    <w:rPr>
      <w:rFonts w:ascii="宋体" w:hAnsi="宋体" w:cs="宋体"/>
      <w:sz w:val="24"/>
    </w:rPr>
  </w:style>
  <w:style w:type="paragraph" w:customStyle="1" w:styleId="216">
    <w:name w:val="表文字"/>
    <w:basedOn w:val="1"/>
    <w:qFormat/>
    <w:uiPriority w:val="0"/>
    <w:pPr>
      <w:overflowPunct w:val="0"/>
      <w:autoSpaceDE w:val="0"/>
      <w:autoSpaceDN w:val="0"/>
      <w:adjustRightInd w:val="0"/>
      <w:spacing w:line="240" w:lineRule="atLeast"/>
      <w:jc w:val="center"/>
      <w:textAlignment w:val="baseline"/>
    </w:pPr>
    <w:rPr>
      <w:kern w:val="0"/>
      <w:sz w:val="24"/>
      <w:szCs w:val="20"/>
    </w:rPr>
  </w:style>
  <w:style w:type="paragraph" w:customStyle="1" w:styleId="217">
    <w:name w:val="表格内容自定"/>
    <w:basedOn w:val="1"/>
    <w:qFormat/>
    <w:uiPriority w:val="0"/>
    <w:pPr>
      <w:spacing w:line="280" w:lineRule="exact"/>
      <w:jc w:val="center"/>
    </w:pPr>
    <w:rPr>
      <w:kern w:val="0"/>
      <w:sz w:val="18"/>
      <w:szCs w:val="21"/>
    </w:rPr>
  </w:style>
  <w:style w:type="paragraph" w:customStyle="1" w:styleId="218">
    <w:name w:val="样式35"/>
    <w:basedOn w:val="1"/>
    <w:qFormat/>
    <w:uiPriority w:val="0"/>
    <w:pPr>
      <w:adjustRightInd w:val="0"/>
      <w:spacing w:line="312" w:lineRule="auto"/>
      <w:ind w:firstLine="567"/>
    </w:pPr>
    <w:rPr>
      <w:rFonts w:ascii="宋体"/>
      <w:kern w:val="0"/>
      <w:sz w:val="28"/>
      <w:szCs w:val="20"/>
    </w:rPr>
  </w:style>
  <w:style w:type="paragraph" w:customStyle="1" w:styleId="219">
    <w:name w:val="CM11"/>
    <w:basedOn w:val="68"/>
    <w:next w:val="68"/>
    <w:unhideWhenUsed/>
    <w:qFormat/>
    <w:uiPriority w:val="0"/>
    <w:pPr>
      <w:spacing w:line="460" w:lineRule="atLeast"/>
    </w:pPr>
    <w:rPr>
      <w:rFonts w:hint="eastAsia" w:ascii="黑体" w:eastAsia="黑体" w:cs="Times New Roman"/>
      <w:sz w:val="20"/>
      <w:szCs w:val="20"/>
    </w:rPr>
  </w:style>
  <w:style w:type="paragraph" w:customStyle="1" w:styleId="220">
    <w:name w:val="1"/>
    <w:basedOn w:val="1"/>
    <w:qFormat/>
    <w:uiPriority w:val="0"/>
    <w:rPr>
      <w:sz w:val="24"/>
    </w:rPr>
  </w:style>
  <w:style w:type="paragraph" w:customStyle="1" w:styleId="221">
    <w:name w:val="表体"/>
    <w:link w:val="222"/>
    <w:qFormat/>
    <w:uiPriority w:val="0"/>
    <w:pPr>
      <w:jc w:val="center"/>
    </w:pPr>
    <w:rPr>
      <w:rFonts w:ascii="宋体" w:hAnsi="Times New Roman" w:eastAsia="宋体" w:cs="Times New Roman"/>
      <w:color w:val="000080"/>
      <w:kern w:val="2"/>
      <w:sz w:val="21"/>
      <w:szCs w:val="24"/>
      <w:lang w:val="en-US" w:eastAsia="zh-CN" w:bidi="ar-SA"/>
    </w:rPr>
  </w:style>
  <w:style w:type="character" w:customStyle="1" w:styleId="222">
    <w:name w:val="表体 Char"/>
    <w:link w:val="221"/>
    <w:qFormat/>
    <w:uiPriority w:val="0"/>
    <w:rPr>
      <w:rFonts w:ascii="宋体" w:eastAsia="宋体"/>
      <w:color w:val="000080"/>
      <w:kern w:val="2"/>
      <w:sz w:val="21"/>
      <w:szCs w:val="24"/>
      <w:lang w:val="en-US" w:eastAsia="zh-CN" w:bidi="ar-SA"/>
    </w:rPr>
  </w:style>
  <w:style w:type="character" w:customStyle="1" w:styleId="223">
    <w:name w:val="正文（海红） Char"/>
    <w:basedOn w:val="54"/>
    <w:link w:val="224"/>
    <w:qFormat/>
    <w:uiPriority w:val="0"/>
    <w:rPr>
      <w:rFonts w:eastAsia="宋体"/>
      <w:kern w:val="2"/>
      <w:sz w:val="24"/>
      <w:szCs w:val="24"/>
      <w:lang w:val="en-US" w:eastAsia="zh-CN" w:bidi="ar-SA"/>
    </w:rPr>
  </w:style>
  <w:style w:type="paragraph" w:customStyle="1" w:styleId="224">
    <w:name w:val="正文（海红）"/>
    <w:basedOn w:val="1"/>
    <w:link w:val="223"/>
    <w:qFormat/>
    <w:uiPriority w:val="0"/>
    <w:pPr>
      <w:spacing w:line="500" w:lineRule="exact"/>
      <w:ind w:firstLine="200" w:firstLineChars="200"/>
    </w:pPr>
    <w:rPr>
      <w:sz w:val="24"/>
    </w:rPr>
  </w:style>
  <w:style w:type="paragraph" w:customStyle="1" w:styleId="225">
    <w:name w:val="reader-word-layer reader-word-s6-7"/>
    <w:basedOn w:val="1"/>
    <w:qFormat/>
    <w:uiPriority w:val="0"/>
    <w:pPr>
      <w:widowControl/>
      <w:spacing w:before="100" w:beforeAutospacing="1" w:after="100" w:afterAutospacing="1"/>
      <w:jc w:val="left"/>
    </w:pPr>
    <w:rPr>
      <w:rFonts w:ascii="宋体" w:hAnsi="宋体" w:cs="宋体"/>
      <w:kern w:val="0"/>
      <w:sz w:val="24"/>
    </w:rPr>
  </w:style>
  <w:style w:type="character" w:customStyle="1" w:styleId="226">
    <w:name w:val="description"/>
    <w:basedOn w:val="54"/>
    <w:qFormat/>
    <w:uiPriority w:val="0"/>
  </w:style>
  <w:style w:type="paragraph" w:customStyle="1" w:styleId="227">
    <w:name w:val="报告正文"/>
    <w:basedOn w:val="1"/>
    <w:qFormat/>
    <w:uiPriority w:val="0"/>
    <w:pPr>
      <w:spacing w:line="360" w:lineRule="auto"/>
      <w:ind w:firstLine="200" w:firstLineChars="200"/>
      <w:jc w:val="left"/>
    </w:pPr>
    <w:rPr>
      <w:sz w:val="24"/>
    </w:rPr>
  </w:style>
  <w:style w:type="paragraph" w:customStyle="1" w:styleId="228">
    <w:name w:val="表格内文字"/>
    <w:basedOn w:val="1"/>
    <w:qFormat/>
    <w:uiPriority w:val="0"/>
    <w:pPr>
      <w:adjustRightInd w:val="0"/>
      <w:snapToGrid w:val="0"/>
      <w:jc w:val="center"/>
    </w:pPr>
    <w:rPr>
      <w:rFonts w:eastAsia="FangSong_GB2312"/>
      <w:sz w:val="24"/>
    </w:rPr>
  </w:style>
  <w:style w:type="character" w:customStyle="1" w:styleId="229">
    <w:name w:val="15"/>
    <w:basedOn w:val="54"/>
    <w:qFormat/>
    <w:uiPriority w:val="0"/>
    <w:rPr>
      <w:rFonts w:hint="default" w:ascii="Tahoma" w:hAnsi="Tahoma" w:cs="Tahoma"/>
      <w:sz w:val="21"/>
      <w:szCs w:val="21"/>
    </w:rPr>
  </w:style>
  <w:style w:type="paragraph" w:customStyle="1" w:styleId="230">
    <w:name w:val="表中文字"/>
    <w:basedOn w:val="1"/>
    <w:link w:val="231"/>
    <w:qFormat/>
    <w:uiPriority w:val="0"/>
    <w:pPr>
      <w:adjustRightInd w:val="0"/>
      <w:snapToGrid w:val="0"/>
      <w:spacing w:line="240" w:lineRule="atLeast"/>
      <w:ind w:firstLine="200" w:firstLineChars="200"/>
      <w:jc w:val="center"/>
    </w:pPr>
    <w:rPr>
      <w:sz w:val="24"/>
      <w:szCs w:val="22"/>
    </w:rPr>
  </w:style>
  <w:style w:type="character" w:customStyle="1" w:styleId="231">
    <w:name w:val="表中文字 Char"/>
    <w:link w:val="230"/>
    <w:qFormat/>
    <w:uiPriority w:val="0"/>
    <w:rPr>
      <w:rFonts w:eastAsia="宋体"/>
      <w:kern w:val="2"/>
      <w:sz w:val="24"/>
      <w:szCs w:val="22"/>
      <w:lang w:val="en-US" w:eastAsia="zh-CN" w:bidi="ar-SA"/>
    </w:rPr>
  </w:style>
  <w:style w:type="paragraph" w:customStyle="1" w:styleId="232">
    <w:name w:val="+正文"/>
    <w:basedOn w:val="1"/>
    <w:qFormat/>
    <w:uiPriority w:val="0"/>
    <w:pPr>
      <w:spacing w:line="360" w:lineRule="auto"/>
      <w:ind w:firstLine="200" w:firstLineChars="200"/>
      <w:jc w:val="left"/>
    </w:pPr>
    <w:rPr>
      <w:sz w:val="24"/>
      <w:szCs w:val="28"/>
    </w:rPr>
  </w:style>
  <w:style w:type="character" w:customStyle="1" w:styleId="233">
    <w:name w:val="预案正文 Char"/>
    <w:link w:val="234"/>
    <w:qFormat/>
    <w:uiPriority w:val="0"/>
    <w:rPr>
      <w:sz w:val="24"/>
      <w:lang w:bidi="ar-SA"/>
    </w:rPr>
  </w:style>
  <w:style w:type="paragraph" w:customStyle="1" w:styleId="234">
    <w:name w:val="预案正文"/>
    <w:basedOn w:val="1"/>
    <w:link w:val="233"/>
    <w:qFormat/>
    <w:uiPriority w:val="0"/>
    <w:pPr>
      <w:spacing w:line="360" w:lineRule="auto"/>
      <w:ind w:firstLine="200" w:firstLineChars="200"/>
    </w:pPr>
    <w:rPr>
      <w:rFonts w:eastAsia="Times New Roman"/>
      <w:kern w:val="0"/>
      <w:sz w:val="24"/>
      <w:szCs w:val="20"/>
    </w:rPr>
  </w:style>
  <w:style w:type="paragraph" w:customStyle="1" w:styleId="235">
    <w:name w:val="正文01"/>
    <w:basedOn w:val="1"/>
    <w:link w:val="236"/>
    <w:qFormat/>
    <w:uiPriority w:val="0"/>
    <w:pPr>
      <w:spacing w:before="60" w:line="460" w:lineRule="exact"/>
      <w:ind w:firstLine="200" w:firstLineChars="200"/>
    </w:pPr>
    <w:rPr>
      <w:sz w:val="24"/>
      <w:szCs w:val="20"/>
    </w:rPr>
  </w:style>
  <w:style w:type="character" w:customStyle="1" w:styleId="236">
    <w:name w:val="正文01 Char Char"/>
    <w:basedOn w:val="54"/>
    <w:link w:val="235"/>
    <w:qFormat/>
    <w:uiPriority w:val="0"/>
    <w:rPr>
      <w:rFonts w:eastAsia="宋体"/>
      <w:kern w:val="2"/>
      <w:sz w:val="24"/>
      <w:lang w:val="en-US" w:eastAsia="zh-CN" w:bidi="ar-SA"/>
    </w:rPr>
  </w:style>
  <w:style w:type="paragraph" w:customStyle="1" w:styleId="237">
    <w:name w:val="默认段落字体 Para Char Char Char Char Char Char Char Char Char Char Char Char Char1 Char"/>
    <w:basedOn w:val="17"/>
    <w:qFormat/>
    <w:uiPriority w:val="0"/>
    <w:pPr>
      <w:shd w:val="clear" w:color="auto" w:fill="000080"/>
    </w:pPr>
    <w:rPr>
      <w:rFonts w:ascii="Tahoma" w:hAnsi="Tahoma"/>
      <w:sz w:val="24"/>
      <w:szCs w:val="24"/>
    </w:rPr>
  </w:style>
  <w:style w:type="table" w:customStyle="1" w:styleId="238">
    <w:name w:val="Table Normal"/>
    <w:basedOn w:val="52"/>
    <w:qFormat/>
    <w:uiPriority w:val="0"/>
    <w:tblPr>
      <w:tblCellMar>
        <w:left w:w="0" w:type="dxa"/>
        <w:right w:w="0" w:type="dxa"/>
      </w:tblCellMar>
    </w:tblPr>
  </w:style>
  <w:style w:type="paragraph" w:customStyle="1" w:styleId="239">
    <w:name w:val="报告表正文"/>
    <w:basedOn w:val="1"/>
    <w:qFormat/>
    <w:uiPriority w:val="0"/>
    <w:pPr>
      <w:adjustRightInd w:val="0"/>
      <w:spacing w:line="312" w:lineRule="auto"/>
      <w:ind w:left="113" w:right="113" w:firstLine="482"/>
      <w:jc w:val="left"/>
    </w:pPr>
    <w:rPr>
      <w:kern w:val="0"/>
      <w:sz w:val="24"/>
      <w:szCs w:val="20"/>
    </w:rPr>
  </w:style>
  <w:style w:type="paragraph" w:customStyle="1" w:styleId="240">
    <w:name w:val="标号正文"/>
    <w:basedOn w:val="1"/>
    <w:next w:val="1"/>
    <w:qFormat/>
    <w:uiPriority w:val="0"/>
    <w:pPr>
      <w:tabs>
        <w:tab w:val="left" w:pos="1540"/>
      </w:tabs>
      <w:overflowPunct w:val="0"/>
      <w:snapToGrid w:val="0"/>
      <w:spacing w:line="360" w:lineRule="auto"/>
      <w:ind w:firstLine="1040"/>
      <w:jc w:val="left"/>
    </w:pPr>
    <w:rPr>
      <w:rFonts w:ascii="Arial" w:hAnsi="Arial" w:cs="黑体"/>
      <w:sz w:val="24"/>
      <w:szCs w:val="20"/>
    </w:rPr>
  </w:style>
  <w:style w:type="paragraph" w:customStyle="1" w:styleId="241">
    <w:name w:val=" Char Char Char Char Char Char Char Char Char Char1 Char Char Char Char Char"/>
    <w:basedOn w:val="1"/>
    <w:next w:val="1"/>
    <w:qFormat/>
    <w:uiPriority w:val="0"/>
    <w:pPr>
      <w:keepNext/>
      <w:keepLines/>
      <w:widowControl/>
      <w:adjustRightInd w:val="0"/>
      <w:spacing w:before="40" w:after="40" w:line="360" w:lineRule="auto"/>
      <w:ind w:firstLine="200" w:firstLineChars="200"/>
      <w:textAlignment w:val="baseline"/>
    </w:pPr>
    <w:rPr>
      <w:rFonts w:cs="宋体"/>
      <w:kern w:val="0"/>
      <w:sz w:val="24"/>
      <w:szCs w:val="28"/>
    </w:rPr>
  </w:style>
  <w:style w:type="character" w:customStyle="1" w:styleId="242">
    <w:name w:val="标题 3 Char Char Char Char Char3"/>
    <w:qFormat/>
    <w:uiPriority w:val="0"/>
    <w:rPr>
      <w:rFonts w:eastAsia="宋体"/>
      <w:b/>
      <w:bCs/>
      <w:kern w:val="2"/>
      <w:sz w:val="32"/>
      <w:szCs w:val="32"/>
      <w:lang w:val="en-US" w:eastAsia="zh-CN" w:bidi="ar-SA"/>
    </w:rPr>
  </w:style>
  <w:style w:type="paragraph" w:customStyle="1" w:styleId="243">
    <w:name w:val="Char2"/>
    <w:basedOn w:val="1"/>
    <w:semiHidden/>
    <w:qFormat/>
    <w:uiPriority w:val="0"/>
    <w:pPr>
      <w:ind w:firstLine="200" w:firstLineChars="200"/>
    </w:pPr>
    <w:rPr>
      <w:rFonts w:ascii="宋体" w:hAnsi="宋体" w:cs="宋体"/>
    </w:rPr>
  </w:style>
  <w:style w:type="paragraph" w:customStyle="1" w:styleId="244">
    <w:name w:val="p15"/>
    <w:basedOn w:val="1"/>
    <w:qFormat/>
    <w:uiPriority w:val="0"/>
    <w:pPr>
      <w:widowControl/>
    </w:pPr>
    <w:rPr>
      <w:rFonts w:cs="Calibri"/>
      <w:color w:val="000000"/>
      <w:kern w:val="0"/>
      <w:szCs w:val="21"/>
    </w:rPr>
  </w:style>
  <w:style w:type="character" w:customStyle="1" w:styleId="245">
    <w:name w:val="王正文28磅 Char"/>
    <w:link w:val="246"/>
    <w:qFormat/>
    <w:uiPriority w:val="0"/>
    <w:rPr>
      <w:kern w:val="44"/>
      <w:sz w:val="24"/>
      <w:lang w:bidi="ar-SA"/>
    </w:rPr>
  </w:style>
  <w:style w:type="paragraph" w:customStyle="1" w:styleId="246">
    <w:name w:val="王正文28磅"/>
    <w:basedOn w:val="1"/>
    <w:link w:val="245"/>
    <w:qFormat/>
    <w:uiPriority w:val="0"/>
    <w:pPr>
      <w:widowControl/>
      <w:adjustRightInd w:val="0"/>
      <w:snapToGrid w:val="0"/>
      <w:spacing w:line="560" w:lineRule="exact"/>
      <w:ind w:firstLine="480" w:firstLineChars="200"/>
      <w:jc w:val="left"/>
    </w:pPr>
    <w:rPr>
      <w:rFonts w:eastAsia="Times New Roman"/>
      <w:kern w:val="44"/>
      <w:sz w:val="24"/>
      <w:szCs w:val="20"/>
    </w:rPr>
  </w:style>
  <w:style w:type="character" w:customStyle="1" w:styleId="247">
    <w:name w:val="表格内容居中 Char"/>
    <w:link w:val="248"/>
    <w:qFormat/>
    <w:uiPriority w:val="0"/>
    <w:rPr>
      <w:sz w:val="21"/>
      <w:szCs w:val="18"/>
      <w:lang w:bidi="ar-SA"/>
    </w:rPr>
  </w:style>
  <w:style w:type="paragraph" w:customStyle="1" w:styleId="248">
    <w:name w:val="表格内容居中"/>
    <w:basedOn w:val="1"/>
    <w:link w:val="247"/>
    <w:qFormat/>
    <w:uiPriority w:val="0"/>
    <w:pPr>
      <w:adjustRightInd w:val="0"/>
      <w:snapToGrid w:val="0"/>
      <w:spacing w:line="240" w:lineRule="exact"/>
      <w:ind w:firstLine="90" w:firstLineChars="50"/>
      <w:jc w:val="center"/>
      <w:textAlignment w:val="center"/>
    </w:pPr>
    <w:rPr>
      <w:rFonts w:eastAsia="Times New Roman"/>
      <w:kern w:val="0"/>
      <w:szCs w:val="18"/>
    </w:rPr>
  </w:style>
  <w:style w:type="character" w:customStyle="1" w:styleId="249">
    <w:name w:val="3级标题 Char Char"/>
    <w:basedOn w:val="54"/>
    <w:link w:val="250"/>
    <w:qFormat/>
    <w:uiPriority w:val="0"/>
    <w:rPr>
      <w:b/>
      <w:sz w:val="24"/>
      <w:lang w:bidi="ar-SA"/>
    </w:rPr>
  </w:style>
  <w:style w:type="paragraph" w:customStyle="1" w:styleId="250">
    <w:name w:val="3级标题"/>
    <w:basedOn w:val="1"/>
    <w:link w:val="249"/>
    <w:qFormat/>
    <w:uiPriority w:val="0"/>
    <w:pPr>
      <w:spacing w:before="260" w:line="460" w:lineRule="exact"/>
      <w:outlineLvl w:val="2"/>
    </w:pPr>
    <w:rPr>
      <w:rFonts w:eastAsia="Times New Roman"/>
      <w:b/>
      <w:kern w:val="0"/>
      <w:sz w:val="24"/>
      <w:szCs w:val="20"/>
    </w:rPr>
  </w:style>
  <w:style w:type="character" w:customStyle="1" w:styleId="251">
    <w:name w:val="报告书正文格式 Char"/>
    <w:link w:val="252"/>
    <w:qFormat/>
    <w:uiPriority w:val="0"/>
    <w:rPr>
      <w:color w:val="000000"/>
      <w:spacing w:val="2"/>
      <w:sz w:val="24"/>
      <w:szCs w:val="24"/>
      <w:lang w:bidi="ar-SA"/>
    </w:rPr>
  </w:style>
  <w:style w:type="paragraph" w:customStyle="1" w:styleId="252">
    <w:name w:val="报告书正文格式"/>
    <w:basedOn w:val="1"/>
    <w:link w:val="251"/>
    <w:qFormat/>
    <w:uiPriority w:val="0"/>
    <w:pPr>
      <w:wordWrap w:val="0"/>
      <w:spacing w:line="460" w:lineRule="exact"/>
      <w:ind w:firstLine="549" w:firstLineChars="225"/>
    </w:pPr>
    <w:rPr>
      <w:rFonts w:eastAsia="Times New Roman"/>
      <w:color w:val="000000"/>
      <w:spacing w:val="2"/>
      <w:kern w:val="0"/>
      <w:sz w:val="24"/>
    </w:rPr>
  </w:style>
  <w:style w:type="character" w:customStyle="1" w:styleId="253">
    <w:name w:val="表格标题格式 Char"/>
    <w:link w:val="254"/>
    <w:qFormat/>
    <w:uiPriority w:val="0"/>
    <w:rPr>
      <w:rFonts w:eastAsia="黑体"/>
      <w:sz w:val="28"/>
      <w:szCs w:val="21"/>
      <w:lang w:val="zh-CN" w:bidi="ar-SA"/>
    </w:rPr>
  </w:style>
  <w:style w:type="paragraph" w:customStyle="1" w:styleId="254">
    <w:name w:val="表格标题格式"/>
    <w:basedOn w:val="1"/>
    <w:link w:val="253"/>
    <w:qFormat/>
    <w:uiPriority w:val="0"/>
    <w:pPr>
      <w:tabs>
        <w:tab w:val="center" w:pos="4438"/>
      </w:tabs>
      <w:autoSpaceDE w:val="0"/>
      <w:autoSpaceDN w:val="0"/>
      <w:adjustRightInd w:val="0"/>
      <w:spacing w:before="120" w:beforeLines="50" w:line="520" w:lineRule="exact"/>
      <w:jc w:val="center"/>
    </w:pPr>
    <w:rPr>
      <w:rFonts w:eastAsia="黑体"/>
      <w:kern w:val="0"/>
      <w:sz w:val="28"/>
      <w:szCs w:val="21"/>
      <w:lang w:val="zh-CN"/>
    </w:rPr>
  </w:style>
  <w:style w:type="character" w:customStyle="1" w:styleId="255">
    <w:name w:val="表头 Char"/>
    <w:qFormat/>
    <w:uiPriority w:val="0"/>
    <w:rPr>
      <w:rFonts w:ascii="宋体" w:hAnsi="宋体"/>
      <w:b/>
      <w:snapToGrid w:val="0"/>
      <w:color w:val="000000"/>
      <w:sz w:val="24"/>
      <w:szCs w:val="24"/>
    </w:rPr>
  </w:style>
  <w:style w:type="character" w:customStyle="1" w:styleId="256">
    <w:name w:val="样式 标题 3 + 华文中宋 小三 段前: 6 磅 段后: 6 磅 行距: 多倍行距 1.4 字行 Char"/>
    <w:basedOn w:val="54"/>
    <w:qFormat/>
    <w:uiPriority w:val="0"/>
    <w:rPr>
      <w:rFonts w:ascii="华文中宋" w:hAnsi="华文中宋" w:eastAsia="华文中宋" w:cs="宋体"/>
      <w:b/>
      <w:bCs/>
      <w:color w:val="000000"/>
      <w:kern w:val="2"/>
      <w:sz w:val="30"/>
      <w:szCs w:val="30"/>
      <w:lang w:val="en-US" w:eastAsia="zh-CN" w:bidi="ar-SA"/>
    </w:rPr>
  </w:style>
  <w:style w:type="character" w:customStyle="1" w:styleId="257">
    <w:name w:val="000 Char Char"/>
    <w:qFormat/>
    <w:uiPriority w:val="0"/>
    <w:rPr>
      <w:rFonts w:ascii="宋体" w:hAnsi="宋体" w:cs="宋体"/>
      <w:kern w:val="2"/>
      <w:sz w:val="24"/>
      <w:szCs w:val="24"/>
    </w:rPr>
  </w:style>
  <w:style w:type="character" w:customStyle="1" w:styleId="258">
    <w:name w:val="2级标题 Char"/>
    <w:link w:val="259"/>
    <w:qFormat/>
    <w:uiPriority w:val="0"/>
    <w:rPr>
      <w:rFonts w:eastAsia="黑体"/>
      <w:bCs/>
      <w:kern w:val="2"/>
      <w:sz w:val="28"/>
      <w:szCs w:val="28"/>
      <w:lang w:bidi="ar-SA"/>
    </w:rPr>
  </w:style>
  <w:style w:type="paragraph" w:customStyle="1" w:styleId="259">
    <w:name w:val="2级标题"/>
    <w:basedOn w:val="1"/>
    <w:link w:val="258"/>
    <w:qFormat/>
    <w:uiPriority w:val="0"/>
    <w:pPr>
      <w:keepNext/>
      <w:keepLines/>
      <w:spacing w:before="120" w:after="120" w:line="660" w:lineRule="exact"/>
      <w:outlineLvl w:val="1"/>
    </w:pPr>
    <w:rPr>
      <w:rFonts w:eastAsia="黑体"/>
      <w:bCs/>
      <w:sz w:val="28"/>
      <w:szCs w:val="28"/>
    </w:rPr>
  </w:style>
  <w:style w:type="character" w:customStyle="1" w:styleId="260">
    <w:name w:val="报告书正文 Char Char"/>
    <w:basedOn w:val="54"/>
    <w:link w:val="261"/>
    <w:qFormat/>
    <w:uiPriority w:val="0"/>
    <w:rPr>
      <w:kern w:val="2"/>
      <w:sz w:val="24"/>
      <w:szCs w:val="24"/>
      <w:lang w:bidi="ar-SA"/>
    </w:rPr>
  </w:style>
  <w:style w:type="paragraph" w:customStyle="1" w:styleId="261">
    <w:name w:val="报告书正文"/>
    <w:basedOn w:val="1"/>
    <w:link w:val="260"/>
    <w:qFormat/>
    <w:uiPriority w:val="0"/>
    <w:pPr>
      <w:adjustRightInd w:val="0"/>
      <w:snapToGrid w:val="0"/>
      <w:spacing w:line="400" w:lineRule="exact"/>
      <w:ind w:firstLine="200" w:firstLineChars="200"/>
    </w:pPr>
    <w:rPr>
      <w:rFonts w:eastAsia="Times New Roman"/>
      <w:sz w:val="24"/>
    </w:rPr>
  </w:style>
  <w:style w:type="character" w:customStyle="1" w:styleId="262">
    <w:name w:val="样式4 Char"/>
    <w:basedOn w:val="54"/>
    <w:link w:val="263"/>
    <w:qFormat/>
    <w:uiPriority w:val="0"/>
    <w:rPr>
      <w:rFonts w:ascii="KaiTi_GB2312" w:hAnsi="楷体" w:eastAsia="KaiTi_GB2312"/>
      <w:b/>
      <w:kern w:val="2"/>
      <w:sz w:val="28"/>
      <w:szCs w:val="28"/>
      <w:lang w:bidi="ar-SA"/>
    </w:rPr>
  </w:style>
  <w:style w:type="paragraph" w:customStyle="1" w:styleId="263">
    <w:name w:val="样式4"/>
    <w:basedOn w:val="1"/>
    <w:link w:val="262"/>
    <w:qFormat/>
    <w:uiPriority w:val="0"/>
    <w:pPr>
      <w:spacing w:line="360" w:lineRule="auto"/>
    </w:pPr>
    <w:rPr>
      <w:rFonts w:ascii="KaiTi_GB2312" w:hAnsi="楷体" w:eastAsia="KaiTi_GB2312"/>
      <w:b/>
      <w:sz w:val="28"/>
      <w:szCs w:val="28"/>
    </w:rPr>
  </w:style>
  <w:style w:type="character" w:customStyle="1" w:styleId="264">
    <w:name w:val="表格内容格式 Char"/>
    <w:link w:val="265"/>
    <w:qFormat/>
    <w:uiPriority w:val="0"/>
    <w:rPr>
      <w:sz w:val="21"/>
      <w:szCs w:val="18"/>
      <w:lang w:bidi="ar-SA"/>
    </w:rPr>
  </w:style>
  <w:style w:type="paragraph" w:customStyle="1" w:styleId="265">
    <w:name w:val="表格内容格式"/>
    <w:basedOn w:val="1"/>
    <w:link w:val="264"/>
    <w:qFormat/>
    <w:uiPriority w:val="0"/>
    <w:pPr>
      <w:adjustRightInd w:val="0"/>
      <w:snapToGrid w:val="0"/>
      <w:ind w:firstLine="50" w:firstLineChars="50"/>
      <w:jc w:val="center"/>
      <w:textAlignment w:val="center"/>
    </w:pPr>
    <w:rPr>
      <w:rFonts w:eastAsia="Times New Roman"/>
      <w:kern w:val="0"/>
      <w:szCs w:val="18"/>
    </w:rPr>
  </w:style>
  <w:style w:type="character" w:customStyle="1" w:styleId="266">
    <w:name w:val="00 Char"/>
    <w:basedOn w:val="54"/>
    <w:link w:val="267"/>
    <w:qFormat/>
    <w:uiPriority w:val="0"/>
    <w:rPr>
      <w:rFonts w:hAnsi="宋体" w:eastAsia="宋体"/>
      <w:kern w:val="2"/>
      <w:sz w:val="24"/>
      <w:szCs w:val="24"/>
      <w:lang w:val="en-US" w:eastAsia="zh-CN" w:bidi="ar-SA"/>
    </w:rPr>
  </w:style>
  <w:style w:type="paragraph" w:customStyle="1" w:styleId="267">
    <w:name w:val="00"/>
    <w:basedOn w:val="1"/>
    <w:link w:val="266"/>
    <w:qFormat/>
    <w:uiPriority w:val="0"/>
    <w:pPr>
      <w:spacing w:line="520" w:lineRule="exact"/>
      <w:ind w:firstLine="480"/>
    </w:pPr>
    <w:rPr>
      <w:rFonts w:hAnsi="宋体"/>
      <w:sz w:val="24"/>
    </w:rPr>
  </w:style>
  <w:style w:type="character" w:customStyle="1" w:styleId="268">
    <w:name w:val=" Char Char11"/>
    <w:basedOn w:val="54"/>
    <w:qFormat/>
    <w:uiPriority w:val="0"/>
    <w:rPr>
      <w:kern w:val="2"/>
      <w:sz w:val="18"/>
      <w:szCs w:val="18"/>
    </w:rPr>
  </w:style>
  <w:style w:type="character" w:customStyle="1" w:styleId="269">
    <w:name w:val="正文格式 Char"/>
    <w:basedOn w:val="54"/>
    <w:qFormat/>
    <w:uiPriority w:val="0"/>
    <w:rPr>
      <w:rFonts w:cs="宋体"/>
      <w:kern w:val="2"/>
      <w:sz w:val="21"/>
      <w:szCs w:val="24"/>
    </w:rPr>
  </w:style>
  <w:style w:type="character" w:customStyle="1" w:styleId="270">
    <w:name w:val=" Char Char27"/>
    <w:basedOn w:val="54"/>
    <w:qFormat/>
    <w:uiPriority w:val="0"/>
    <w:rPr>
      <w:rFonts w:ascii="Arial" w:hAnsi="Arial" w:eastAsia="黑体"/>
      <w:b/>
      <w:kern w:val="2"/>
      <w:sz w:val="28"/>
      <w:szCs w:val="24"/>
    </w:rPr>
  </w:style>
  <w:style w:type="character" w:customStyle="1" w:styleId="271">
    <w:name w:val="style21"/>
    <w:qFormat/>
    <w:uiPriority w:val="0"/>
    <w:rPr>
      <w:sz w:val="18"/>
      <w:szCs w:val="18"/>
    </w:rPr>
  </w:style>
  <w:style w:type="character" w:customStyle="1" w:styleId="272">
    <w:name w:val="headline-content2"/>
    <w:basedOn w:val="54"/>
    <w:qFormat/>
    <w:uiPriority w:val="0"/>
  </w:style>
  <w:style w:type="character" w:customStyle="1" w:styleId="273">
    <w:name w:val="text1"/>
    <w:basedOn w:val="54"/>
    <w:qFormat/>
    <w:uiPriority w:val="0"/>
  </w:style>
  <w:style w:type="character" w:customStyle="1" w:styleId="274">
    <w:name w:val="样式 首行缩进:  2 字符 Char"/>
    <w:link w:val="275"/>
    <w:qFormat/>
    <w:uiPriority w:val="0"/>
    <w:rPr>
      <w:kern w:val="2"/>
      <w:sz w:val="28"/>
      <w:lang w:bidi="ar-SA"/>
    </w:rPr>
  </w:style>
  <w:style w:type="paragraph" w:customStyle="1" w:styleId="275">
    <w:name w:val="样式 首行缩进:  2 字符"/>
    <w:basedOn w:val="1"/>
    <w:link w:val="274"/>
    <w:qFormat/>
    <w:uiPriority w:val="0"/>
    <w:pPr>
      <w:spacing w:line="360" w:lineRule="auto"/>
      <w:ind w:firstLine="200" w:firstLineChars="200"/>
    </w:pPr>
    <w:rPr>
      <w:rFonts w:eastAsia="Times New Roman"/>
      <w:sz w:val="28"/>
      <w:szCs w:val="20"/>
    </w:rPr>
  </w:style>
  <w:style w:type="character" w:customStyle="1" w:styleId="276">
    <w:name w:val="textcontents"/>
    <w:basedOn w:val="54"/>
    <w:qFormat/>
    <w:uiPriority w:val="0"/>
  </w:style>
  <w:style w:type="character" w:customStyle="1" w:styleId="277">
    <w:name w:val="3级标题 Char"/>
    <w:qFormat/>
    <w:uiPriority w:val="0"/>
    <w:rPr>
      <w:rFonts w:eastAsia="黑体"/>
      <w:kern w:val="2"/>
      <w:sz w:val="28"/>
      <w:szCs w:val="28"/>
    </w:rPr>
  </w:style>
  <w:style w:type="character" w:customStyle="1" w:styleId="278">
    <w:name w:val="我的标题2 Char"/>
    <w:basedOn w:val="270"/>
    <w:link w:val="279"/>
    <w:qFormat/>
    <w:uiPriority w:val="0"/>
    <w:rPr>
      <w:rFonts w:ascii="Calibri" w:hAnsi="Calibri"/>
      <w:bCs/>
      <w:color w:val="000000"/>
      <w:szCs w:val="28"/>
      <w:lang w:bidi="ar-SA"/>
    </w:rPr>
  </w:style>
  <w:style w:type="paragraph" w:customStyle="1" w:styleId="279">
    <w:name w:val="我的标题2"/>
    <w:basedOn w:val="4"/>
    <w:link w:val="278"/>
    <w:qFormat/>
    <w:uiPriority w:val="0"/>
    <w:pPr>
      <w:spacing w:before="200" w:after="100" w:line="240" w:lineRule="auto"/>
      <w:ind w:firstLine="0" w:firstLineChars="0"/>
    </w:pPr>
    <w:rPr>
      <w:rFonts w:ascii="Calibri" w:hAnsi="Calibri"/>
      <w:color w:val="000000"/>
      <w:sz w:val="28"/>
      <w:szCs w:val="28"/>
    </w:rPr>
  </w:style>
  <w:style w:type="character" w:customStyle="1" w:styleId="280">
    <w:name w:val="样式 首行缩进:  2 字符1 Char"/>
    <w:link w:val="281"/>
    <w:qFormat/>
    <w:uiPriority w:val="0"/>
    <w:rPr>
      <w:sz w:val="28"/>
      <w:lang w:val="zh-CN" w:bidi="ar-SA"/>
    </w:rPr>
  </w:style>
  <w:style w:type="paragraph" w:customStyle="1" w:styleId="281">
    <w:name w:val="样式 首行缩进:  2 字符1"/>
    <w:basedOn w:val="1"/>
    <w:link w:val="280"/>
    <w:qFormat/>
    <w:uiPriority w:val="0"/>
    <w:pPr>
      <w:widowControl/>
      <w:spacing w:line="360" w:lineRule="auto"/>
      <w:ind w:firstLine="200" w:firstLineChars="200"/>
      <w:jc w:val="left"/>
    </w:pPr>
    <w:rPr>
      <w:rFonts w:eastAsia="Times New Roman"/>
      <w:kern w:val="0"/>
      <w:sz w:val="28"/>
      <w:szCs w:val="20"/>
      <w:lang w:val="zh-CN"/>
    </w:rPr>
  </w:style>
  <w:style w:type="character" w:customStyle="1" w:styleId="282">
    <w:name w:val="内容 Char"/>
    <w:link w:val="283"/>
    <w:qFormat/>
    <w:locked/>
    <w:uiPriority w:val="0"/>
    <w:rPr>
      <w:kern w:val="2"/>
      <w:sz w:val="28"/>
      <w:szCs w:val="24"/>
      <w:lang w:bidi="ar-SA"/>
    </w:rPr>
  </w:style>
  <w:style w:type="paragraph" w:customStyle="1" w:styleId="283">
    <w:name w:val="内容"/>
    <w:basedOn w:val="1"/>
    <w:link w:val="282"/>
    <w:qFormat/>
    <w:uiPriority w:val="0"/>
    <w:pPr>
      <w:ind w:firstLine="200" w:firstLineChars="200"/>
      <w:jc w:val="left"/>
    </w:pPr>
    <w:rPr>
      <w:rFonts w:eastAsia="Times New Roman"/>
      <w:sz w:val="28"/>
    </w:rPr>
  </w:style>
  <w:style w:type="character" w:customStyle="1" w:styleId="284">
    <w:name w:val="postbody1"/>
    <w:qFormat/>
    <w:uiPriority w:val="0"/>
    <w:rPr>
      <w:sz w:val="28"/>
      <w:szCs w:val="28"/>
    </w:rPr>
  </w:style>
  <w:style w:type="character" w:customStyle="1" w:styleId="285">
    <w:name w:val="我的标题1 Char"/>
    <w:basedOn w:val="75"/>
    <w:link w:val="286"/>
    <w:qFormat/>
    <w:uiPriority w:val="0"/>
    <w:rPr>
      <w:rFonts w:ascii="Calibri" w:hAnsi="Calibri"/>
    </w:rPr>
  </w:style>
  <w:style w:type="paragraph" w:customStyle="1" w:styleId="286">
    <w:name w:val="我的标题1"/>
    <w:basedOn w:val="3"/>
    <w:link w:val="285"/>
    <w:qFormat/>
    <w:uiPriority w:val="0"/>
    <w:pPr>
      <w:keepLines/>
      <w:overflowPunct/>
      <w:snapToGrid/>
      <w:spacing w:before="340" w:after="330" w:line="240" w:lineRule="auto"/>
      <w:ind w:left="0" w:firstLine="0"/>
      <w:jc w:val="center"/>
    </w:pPr>
    <w:rPr>
      <w:rFonts w:ascii="Calibri" w:hAnsi="Calibri"/>
    </w:rPr>
  </w:style>
  <w:style w:type="character" w:customStyle="1" w:styleId="287">
    <w:name w:val="000 Char"/>
    <w:link w:val="288"/>
    <w:qFormat/>
    <w:uiPriority w:val="0"/>
    <w:rPr>
      <w:rFonts w:ascii="Calibri" w:hAnsi="Calibri"/>
      <w:kern w:val="2"/>
      <w:sz w:val="24"/>
      <w:szCs w:val="24"/>
      <w:lang w:bidi="ar-SA"/>
    </w:rPr>
  </w:style>
  <w:style w:type="paragraph" w:customStyle="1" w:styleId="288">
    <w:name w:val="000"/>
    <w:basedOn w:val="267"/>
    <w:link w:val="287"/>
    <w:qFormat/>
    <w:uiPriority w:val="0"/>
    <w:rPr>
      <w:rFonts w:ascii="Calibri" w:hAnsi="Calibri" w:eastAsia="Times New Roman"/>
    </w:rPr>
  </w:style>
  <w:style w:type="character" w:customStyle="1" w:styleId="289">
    <w:name w:val=" Char2 Char Char Char Char"/>
    <w:link w:val="290"/>
    <w:qFormat/>
    <w:uiPriority w:val="0"/>
    <w:rPr>
      <w:rFonts w:ascii="宋体" w:hAnsi="宋体" w:eastAsia="FangSong_GB2312"/>
      <w:color w:val="000000"/>
      <w:kern w:val="2"/>
      <w:sz w:val="24"/>
      <w:szCs w:val="24"/>
      <w:lang w:bidi="ar-SA"/>
    </w:rPr>
  </w:style>
  <w:style w:type="paragraph" w:customStyle="1" w:styleId="290">
    <w:name w:val=" Char2 Char Char Char"/>
    <w:basedOn w:val="1"/>
    <w:link w:val="289"/>
    <w:qFormat/>
    <w:uiPriority w:val="0"/>
    <w:pPr>
      <w:autoSpaceDE w:val="0"/>
      <w:autoSpaceDN w:val="0"/>
      <w:adjustRightInd w:val="0"/>
      <w:snapToGrid w:val="0"/>
      <w:spacing w:before="50" w:after="50" w:line="360" w:lineRule="auto"/>
      <w:ind w:firstLine="560" w:firstLineChars="200"/>
    </w:pPr>
    <w:rPr>
      <w:rFonts w:ascii="宋体" w:hAnsi="宋体" w:eastAsia="FangSong_GB2312"/>
      <w:color w:val="000000"/>
      <w:sz w:val="24"/>
    </w:rPr>
  </w:style>
  <w:style w:type="character" w:customStyle="1" w:styleId="291">
    <w:name w:val="Char2 Char Char Char Char"/>
    <w:link w:val="292"/>
    <w:qFormat/>
    <w:uiPriority w:val="0"/>
    <w:rPr>
      <w:rFonts w:ascii="宋体" w:hAnsi="宋体" w:eastAsia="FangSong_GB2312"/>
      <w:color w:val="000000"/>
      <w:sz w:val="24"/>
      <w:szCs w:val="24"/>
      <w:lang w:bidi="ar-SA"/>
    </w:rPr>
  </w:style>
  <w:style w:type="paragraph" w:customStyle="1" w:styleId="292">
    <w:name w:val="Char2 Char Char Char"/>
    <w:basedOn w:val="1"/>
    <w:link w:val="291"/>
    <w:qFormat/>
    <w:uiPriority w:val="0"/>
    <w:pPr>
      <w:widowControl/>
      <w:autoSpaceDE w:val="0"/>
      <w:autoSpaceDN w:val="0"/>
      <w:adjustRightInd w:val="0"/>
      <w:snapToGrid w:val="0"/>
      <w:spacing w:before="50" w:after="50" w:line="360" w:lineRule="auto"/>
      <w:ind w:firstLine="560" w:firstLineChars="200"/>
      <w:jc w:val="left"/>
    </w:pPr>
    <w:rPr>
      <w:rFonts w:ascii="宋体" w:hAnsi="宋体" w:eastAsia="FangSong_GB2312"/>
      <w:color w:val="000000"/>
      <w:kern w:val="0"/>
      <w:sz w:val="24"/>
    </w:rPr>
  </w:style>
  <w:style w:type="character" w:customStyle="1" w:styleId="293">
    <w:name w:val=" Char Char15"/>
    <w:basedOn w:val="54"/>
    <w:qFormat/>
    <w:uiPriority w:val="0"/>
    <w:rPr>
      <w:kern w:val="2"/>
      <w:sz w:val="21"/>
    </w:rPr>
  </w:style>
  <w:style w:type="character" w:customStyle="1" w:styleId="294">
    <w:name w:val="表格内容样式 Char"/>
    <w:link w:val="295"/>
    <w:qFormat/>
    <w:uiPriority w:val="0"/>
    <w:rPr>
      <w:kern w:val="2"/>
      <w:lang w:bidi="ar-SA"/>
    </w:rPr>
  </w:style>
  <w:style w:type="paragraph" w:customStyle="1" w:styleId="295">
    <w:name w:val="表格内容样式"/>
    <w:basedOn w:val="1"/>
    <w:link w:val="294"/>
    <w:qFormat/>
    <w:uiPriority w:val="0"/>
    <w:pPr>
      <w:jc w:val="center"/>
    </w:pPr>
    <w:rPr>
      <w:rFonts w:eastAsia="Times New Roman"/>
      <w:sz w:val="20"/>
      <w:szCs w:val="20"/>
    </w:rPr>
  </w:style>
  <w:style w:type="character" w:customStyle="1" w:styleId="296">
    <w:name w:val="00 Char Char"/>
    <w:qFormat/>
    <w:uiPriority w:val="0"/>
    <w:rPr>
      <w:rFonts w:ascii="宋体" w:hAnsi="宋体" w:eastAsia="宋体" w:cs="宋体"/>
      <w:kern w:val="2"/>
      <w:sz w:val="24"/>
      <w:lang w:val="en-US" w:eastAsia="zh-CN" w:bidi="ar-SA"/>
    </w:rPr>
  </w:style>
  <w:style w:type="character" w:customStyle="1" w:styleId="297">
    <w:name w:val="标题3 Char"/>
    <w:basedOn w:val="54"/>
    <w:link w:val="298"/>
    <w:qFormat/>
    <w:uiPriority w:val="0"/>
    <w:rPr>
      <w:rFonts w:ascii="Calibri" w:hAnsi="Calibri" w:eastAsia="KaiTi_GB2312"/>
      <w:b/>
      <w:kern w:val="2"/>
      <w:sz w:val="28"/>
      <w:szCs w:val="21"/>
      <w:lang w:bidi="ar-SA"/>
    </w:rPr>
  </w:style>
  <w:style w:type="paragraph" w:customStyle="1" w:styleId="298">
    <w:name w:val="标题3"/>
    <w:basedOn w:val="205"/>
    <w:link w:val="297"/>
    <w:qFormat/>
    <w:uiPriority w:val="0"/>
    <w:pPr>
      <w:widowControl w:val="0"/>
      <w:spacing w:before="120" w:after="120" w:line="500" w:lineRule="exact"/>
      <w:ind w:right="-102"/>
      <w:jc w:val="left"/>
    </w:pPr>
    <w:rPr>
      <w:rFonts w:ascii="Calibri" w:hAnsi="Calibri" w:eastAsia="KaiTi_GB2312"/>
      <w:b/>
      <w:sz w:val="28"/>
      <w:szCs w:val="21"/>
    </w:rPr>
  </w:style>
  <w:style w:type="character" w:customStyle="1" w:styleId="299">
    <w:name w:val="规划正文 Char"/>
    <w:link w:val="300"/>
    <w:qFormat/>
    <w:uiPriority w:val="0"/>
    <w:rPr>
      <w:sz w:val="28"/>
      <w:szCs w:val="28"/>
      <w:lang w:val="zh-CN" w:bidi="ar-SA"/>
    </w:rPr>
  </w:style>
  <w:style w:type="paragraph" w:customStyle="1" w:styleId="300">
    <w:name w:val="规划正文"/>
    <w:basedOn w:val="1"/>
    <w:link w:val="299"/>
    <w:qFormat/>
    <w:uiPriority w:val="0"/>
    <w:pPr>
      <w:widowControl/>
      <w:spacing w:line="360" w:lineRule="auto"/>
      <w:ind w:firstLine="560" w:firstLineChars="200"/>
      <w:jc w:val="left"/>
    </w:pPr>
    <w:rPr>
      <w:rFonts w:eastAsia="Times New Roman"/>
      <w:kern w:val="0"/>
      <w:sz w:val="28"/>
      <w:szCs w:val="28"/>
      <w:lang w:val="zh-CN"/>
    </w:rPr>
  </w:style>
  <w:style w:type="character" w:customStyle="1" w:styleId="301">
    <w:name w:val="正文hks Char"/>
    <w:link w:val="302"/>
    <w:qFormat/>
    <w:uiPriority w:val="0"/>
    <w:rPr>
      <w:rFonts w:ascii="Calibri" w:hAnsi="Calibri"/>
      <w:kern w:val="2"/>
      <w:sz w:val="24"/>
      <w:szCs w:val="24"/>
      <w:lang w:bidi="ar-SA"/>
    </w:rPr>
  </w:style>
  <w:style w:type="paragraph" w:customStyle="1" w:styleId="302">
    <w:name w:val="正文hks"/>
    <w:basedOn w:val="1"/>
    <w:link w:val="301"/>
    <w:qFormat/>
    <w:uiPriority w:val="0"/>
    <w:pPr>
      <w:spacing w:line="360" w:lineRule="auto"/>
      <w:ind w:firstLine="200" w:firstLineChars="200"/>
    </w:pPr>
    <w:rPr>
      <w:rFonts w:ascii="Calibri" w:hAnsi="Calibri" w:eastAsia="Times New Roman"/>
      <w:sz w:val="24"/>
    </w:rPr>
  </w:style>
  <w:style w:type="character" w:customStyle="1" w:styleId="303">
    <w:name w:val=" Char Char8"/>
    <w:qFormat/>
    <w:uiPriority w:val="0"/>
    <w:rPr>
      <w:rFonts w:ascii="宋体" w:hAnsi="宋体" w:cs="宋体"/>
      <w:color w:val="000000"/>
      <w:sz w:val="24"/>
      <w:szCs w:val="24"/>
    </w:rPr>
  </w:style>
  <w:style w:type="character" w:customStyle="1" w:styleId="304">
    <w:name w:val="表内字 Char"/>
    <w:link w:val="305"/>
    <w:qFormat/>
    <w:uiPriority w:val="0"/>
    <w:rPr>
      <w:bCs/>
      <w:kern w:val="2"/>
      <w:sz w:val="21"/>
      <w:szCs w:val="21"/>
      <w:lang w:val="en-US" w:eastAsia="zh-CN" w:bidi="ar-SA"/>
    </w:rPr>
  </w:style>
  <w:style w:type="paragraph" w:customStyle="1" w:styleId="305">
    <w:name w:val="表内字"/>
    <w:link w:val="304"/>
    <w:qFormat/>
    <w:uiPriority w:val="0"/>
    <w:pPr>
      <w:spacing w:line="320" w:lineRule="exact"/>
      <w:jc w:val="center"/>
    </w:pPr>
    <w:rPr>
      <w:rFonts w:ascii="Times New Roman" w:hAnsi="Times New Roman" w:eastAsia="Times New Roman" w:cs="Times New Roman"/>
      <w:bCs/>
      <w:kern w:val="2"/>
      <w:sz w:val="21"/>
      <w:szCs w:val="21"/>
      <w:lang w:val="en-US" w:eastAsia="zh-CN" w:bidi="ar-SA"/>
    </w:rPr>
  </w:style>
  <w:style w:type="character" w:customStyle="1" w:styleId="306">
    <w:name w:val="title"/>
    <w:basedOn w:val="54"/>
    <w:qFormat/>
    <w:uiPriority w:val="0"/>
  </w:style>
  <w:style w:type="character" w:customStyle="1" w:styleId="307">
    <w:name w:val="报告 Char1"/>
    <w:basedOn w:val="54"/>
    <w:qFormat/>
    <w:uiPriority w:val="0"/>
    <w:rPr>
      <w:sz w:val="24"/>
    </w:rPr>
  </w:style>
  <w:style w:type="character" w:customStyle="1" w:styleId="308">
    <w:name w:val="Char Char Char Char1"/>
    <w:qFormat/>
    <w:uiPriority w:val="0"/>
    <w:rPr>
      <w:rFonts w:ascii="宋体" w:hAnsi="宋体"/>
      <w:kern w:val="2"/>
      <w:sz w:val="24"/>
      <w:szCs w:val="24"/>
    </w:rPr>
  </w:style>
  <w:style w:type="character" w:customStyle="1" w:styleId="309">
    <w:name w:val="tcss01"/>
    <w:basedOn w:val="54"/>
    <w:qFormat/>
    <w:uiPriority w:val="0"/>
  </w:style>
  <w:style w:type="character" w:customStyle="1" w:styleId="310">
    <w:name w:val="font01"/>
    <w:basedOn w:val="54"/>
    <w:qFormat/>
    <w:uiPriority w:val="0"/>
    <w:rPr>
      <w:rFonts w:hint="eastAsia" w:ascii="宋体" w:hAnsi="宋体" w:eastAsia="宋体" w:cs="宋体"/>
      <w:color w:val="000000"/>
      <w:sz w:val="21"/>
      <w:szCs w:val="21"/>
      <w:vertAlign w:val="superscript"/>
    </w:rPr>
  </w:style>
  <w:style w:type="character" w:customStyle="1" w:styleId="311">
    <w:name w:val="正文x Char"/>
    <w:link w:val="312"/>
    <w:qFormat/>
    <w:uiPriority w:val="0"/>
    <w:rPr>
      <w:kern w:val="24"/>
      <w:sz w:val="24"/>
      <w:szCs w:val="24"/>
      <w:lang w:bidi="he-IL"/>
    </w:rPr>
  </w:style>
  <w:style w:type="paragraph" w:customStyle="1" w:styleId="312">
    <w:name w:val="正文x"/>
    <w:basedOn w:val="1"/>
    <w:link w:val="311"/>
    <w:qFormat/>
    <w:uiPriority w:val="0"/>
    <w:pPr>
      <w:spacing w:line="360" w:lineRule="auto"/>
      <w:ind w:firstLine="200" w:firstLineChars="200"/>
      <w:jc w:val="left"/>
    </w:pPr>
    <w:rPr>
      <w:rFonts w:eastAsia="Times New Roman"/>
      <w:kern w:val="24"/>
      <w:sz w:val="24"/>
      <w:lang w:bidi="he-IL"/>
    </w:rPr>
  </w:style>
  <w:style w:type="character" w:customStyle="1" w:styleId="313">
    <w:name w:val="引用 Char"/>
    <w:basedOn w:val="54"/>
    <w:link w:val="314"/>
    <w:qFormat/>
    <w:uiPriority w:val="0"/>
    <w:rPr>
      <w:iCs/>
      <w:color w:val="000000"/>
      <w:kern w:val="2"/>
      <w:sz w:val="21"/>
      <w:szCs w:val="22"/>
      <w:lang w:bidi="ar-SA"/>
    </w:rPr>
  </w:style>
  <w:style w:type="paragraph" w:customStyle="1" w:styleId="314">
    <w:name w:val="引用"/>
    <w:basedOn w:val="1"/>
    <w:next w:val="1"/>
    <w:link w:val="313"/>
    <w:qFormat/>
    <w:uiPriority w:val="0"/>
    <w:pPr>
      <w:spacing w:line="360" w:lineRule="exact"/>
      <w:jc w:val="center"/>
    </w:pPr>
    <w:rPr>
      <w:rFonts w:eastAsia="Times New Roman"/>
      <w:iCs/>
      <w:color w:val="000000"/>
      <w:szCs w:val="22"/>
    </w:rPr>
  </w:style>
  <w:style w:type="character" w:customStyle="1" w:styleId="315">
    <w:name w:val="textindent1"/>
    <w:basedOn w:val="54"/>
    <w:qFormat/>
    <w:uiPriority w:val="0"/>
  </w:style>
  <w:style w:type="character" w:customStyle="1" w:styleId="316">
    <w:name w:val="样式 样式 正文x + 首行缩进:  2 字符2 + 首行缩进:  2 字符 Char"/>
    <w:link w:val="317"/>
    <w:qFormat/>
    <w:uiPriority w:val="0"/>
    <w:rPr>
      <w:rFonts w:cs="宋体"/>
      <w:kern w:val="24"/>
      <w:sz w:val="24"/>
      <w:lang w:bidi="he-IL"/>
    </w:rPr>
  </w:style>
  <w:style w:type="paragraph" w:customStyle="1" w:styleId="317">
    <w:name w:val="样式 样式 正文x + 首行缩进:  2 字符2 + 首行缩进:  2 字符"/>
    <w:basedOn w:val="1"/>
    <w:link w:val="316"/>
    <w:qFormat/>
    <w:uiPriority w:val="0"/>
    <w:pPr>
      <w:spacing w:line="360" w:lineRule="auto"/>
      <w:ind w:firstLine="480" w:firstLineChars="200"/>
    </w:pPr>
    <w:rPr>
      <w:rFonts w:eastAsia="Times New Roman" w:cs="宋体"/>
      <w:kern w:val="24"/>
      <w:sz w:val="24"/>
      <w:szCs w:val="20"/>
      <w:lang w:bidi="he-IL"/>
    </w:rPr>
  </w:style>
  <w:style w:type="character" w:customStyle="1" w:styleId="318">
    <w:name w:val="1级标题 Char"/>
    <w:link w:val="319"/>
    <w:qFormat/>
    <w:uiPriority w:val="0"/>
    <w:rPr>
      <w:rFonts w:eastAsia="黑体"/>
      <w:bCs/>
      <w:kern w:val="44"/>
      <w:sz w:val="32"/>
      <w:szCs w:val="44"/>
      <w:lang w:bidi="ar-SA"/>
    </w:rPr>
  </w:style>
  <w:style w:type="paragraph" w:customStyle="1" w:styleId="319">
    <w:name w:val="1级标题"/>
    <w:basedOn w:val="3"/>
    <w:link w:val="318"/>
    <w:qFormat/>
    <w:uiPriority w:val="0"/>
    <w:pPr>
      <w:keepLines/>
      <w:overflowPunct/>
      <w:snapToGrid/>
      <w:spacing w:after="120" w:line="600" w:lineRule="exact"/>
      <w:ind w:left="0" w:firstLine="0"/>
      <w:jc w:val="left"/>
    </w:pPr>
    <w:rPr>
      <w:b w:val="0"/>
      <w:color w:val="auto"/>
      <w:sz w:val="32"/>
      <w:szCs w:val="44"/>
    </w:rPr>
  </w:style>
  <w:style w:type="character" w:customStyle="1" w:styleId="320">
    <w:name w:val=" Char Char16"/>
    <w:basedOn w:val="54"/>
    <w:qFormat/>
    <w:uiPriority w:val="0"/>
    <w:rPr>
      <w:rFonts w:eastAsia="宋体"/>
      <w:kern w:val="2"/>
      <w:sz w:val="18"/>
      <w:szCs w:val="18"/>
      <w:lang w:val="en-US" w:eastAsia="zh-CN" w:bidi="ar-SA"/>
    </w:rPr>
  </w:style>
  <w:style w:type="character" w:customStyle="1" w:styleId="321">
    <w:name w:val=" Char Char26"/>
    <w:basedOn w:val="54"/>
    <w:qFormat/>
    <w:uiPriority w:val="0"/>
    <w:rPr>
      <w:b/>
      <w:bCs/>
      <w:kern w:val="2"/>
      <w:sz w:val="28"/>
      <w:szCs w:val="32"/>
    </w:rPr>
  </w:style>
  <w:style w:type="character" w:customStyle="1" w:styleId="322">
    <w:name w:val="样式 0 + (符号) 宋体 行距: 固定值 22 磅 Char"/>
    <w:link w:val="323"/>
    <w:qFormat/>
    <w:uiPriority w:val="0"/>
    <w:rPr>
      <w:rFonts w:hAnsi="宋体"/>
      <w:spacing w:val="8"/>
      <w:sz w:val="28"/>
      <w:lang w:bidi="ar-SA"/>
    </w:rPr>
  </w:style>
  <w:style w:type="paragraph" w:customStyle="1" w:styleId="323">
    <w:name w:val="样式 0 + (符号) 宋体 行距: 固定值 22 磅"/>
    <w:basedOn w:val="1"/>
    <w:link w:val="322"/>
    <w:qFormat/>
    <w:uiPriority w:val="0"/>
    <w:pPr>
      <w:widowControl/>
      <w:snapToGrid w:val="0"/>
      <w:spacing w:line="480" w:lineRule="exact"/>
      <w:ind w:firstLine="200" w:firstLineChars="200"/>
      <w:textAlignment w:val="baseline"/>
    </w:pPr>
    <w:rPr>
      <w:rFonts w:hAnsi="宋体" w:eastAsia="Times New Roman"/>
      <w:spacing w:val="8"/>
      <w:kern w:val="0"/>
      <w:sz w:val="28"/>
      <w:szCs w:val="20"/>
    </w:rPr>
  </w:style>
  <w:style w:type="character" w:customStyle="1" w:styleId="324">
    <w:name w:val="节 Char"/>
    <w:basedOn w:val="54"/>
    <w:qFormat/>
    <w:uiPriority w:val="0"/>
    <w:rPr>
      <w:rFonts w:hAnsi="Arial" w:eastAsia="黑体"/>
      <w:kern w:val="2"/>
      <w:sz w:val="32"/>
      <w:lang w:val="en-US" w:eastAsia="zh-CN" w:bidi="ar-SA"/>
    </w:rPr>
  </w:style>
  <w:style w:type="character" w:customStyle="1" w:styleId="325">
    <w:name w:val="标题333 Char Char"/>
    <w:qFormat/>
    <w:uiPriority w:val="0"/>
    <w:rPr>
      <w:rFonts w:eastAsia="仿宋"/>
      <w:b/>
      <w:bCs/>
      <w:kern w:val="2"/>
      <w:sz w:val="28"/>
      <w:szCs w:val="32"/>
    </w:rPr>
  </w:style>
  <w:style w:type="character" w:customStyle="1" w:styleId="326">
    <w:name w:val="1111正文 Char"/>
    <w:link w:val="327"/>
    <w:qFormat/>
    <w:uiPriority w:val="0"/>
    <w:rPr>
      <w:kern w:val="2"/>
      <w:sz w:val="24"/>
      <w:szCs w:val="24"/>
      <w:lang w:bidi="ar-SA"/>
    </w:rPr>
  </w:style>
  <w:style w:type="paragraph" w:customStyle="1" w:styleId="327">
    <w:name w:val="1111正文"/>
    <w:basedOn w:val="1"/>
    <w:link w:val="326"/>
    <w:qFormat/>
    <w:uiPriority w:val="0"/>
    <w:pPr>
      <w:spacing w:line="480" w:lineRule="exact"/>
      <w:ind w:firstLine="480" w:firstLineChars="200"/>
    </w:pPr>
    <w:rPr>
      <w:rFonts w:eastAsia="Times New Roman"/>
      <w:sz w:val="24"/>
    </w:rPr>
  </w:style>
  <w:style w:type="character" w:customStyle="1" w:styleId="328">
    <w:name w:val="正文(首行缩进) Char"/>
    <w:qFormat/>
    <w:uiPriority w:val="0"/>
    <w:rPr>
      <w:snapToGrid w:val="0"/>
      <w:sz w:val="24"/>
    </w:rPr>
  </w:style>
  <w:style w:type="character" w:customStyle="1" w:styleId="329">
    <w:name w:val=" Char Char10"/>
    <w:basedOn w:val="54"/>
    <w:qFormat/>
    <w:uiPriority w:val="0"/>
    <w:rPr>
      <w:rFonts w:eastAsia="华文中宋"/>
      <w:kern w:val="2"/>
      <w:sz w:val="24"/>
      <w:szCs w:val="24"/>
    </w:rPr>
  </w:style>
  <w:style w:type="character" w:customStyle="1" w:styleId="330">
    <w:name w:val="JJJJJ Char"/>
    <w:link w:val="331"/>
    <w:qFormat/>
    <w:uiPriority w:val="0"/>
    <w:rPr>
      <w:sz w:val="24"/>
      <w:szCs w:val="22"/>
      <w:lang w:eastAsia="en-US" w:bidi="ar-SA"/>
    </w:rPr>
  </w:style>
  <w:style w:type="paragraph" w:customStyle="1" w:styleId="331">
    <w:name w:val="JJJJJ"/>
    <w:basedOn w:val="1"/>
    <w:link w:val="330"/>
    <w:qFormat/>
    <w:uiPriority w:val="0"/>
    <w:pPr>
      <w:tabs>
        <w:tab w:val="left" w:pos="600"/>
      </w:tabs>
      <w:autoSpaceDE w:val="0"/>
      <w:autoSpaceDN w:val="0"/>
      <w:spacing w:line="360" w:lineRule="auto"/>
      <w:ind w:firstLine="200" w:firstLineChars="200"/>
    </w:pPr>
    <w:rPr>
      <w:rFonts w:eastAsia="Times New Roman"/>
      <w:kern w:val="0"/>
      <w:sz w:val="24"/>
      <w:szCs w:val="22"/>
      <w:lang w:eastAsia="en-US"/>
    </w:rPr>
  </w:style>
  <w:style w:type="character" w:customStyle="1" w:styleId="332">
    <w:name w:val="样式 黑色"/>
    <w:qFormat/>
    <w:uiPriority w:val="0"/>
    <w:rPr>
      <w:rFonts w:ascii="tim" w:hAnsi="tim"/>
      <w:color w:val="000000"/>
    </w:rPr>
  </w:style>
  <w:style w:type="character" w:customStyle="1" w:styleId="333">
    <w:name w:val="11 Char"/>
    <w:link w:val="334"/>
    <w:qFormat/>
    <w:uiPriority w:val="0"/>
    <w:rPr>
      <w:rFonts w:ascii="宋体" w:hAnsi="宋体"/>
      <w:sz w:val="28"/>
      <w:szCs w:val="24"/>
      <w:lang w:bidi="ar-SA"/>
    </w:rPr>
  </w:style>
  <w:style w:type="paragraph" w:customStyle="1" w:styleId="334">
    <w:name w:val="11"/>
    <w:basedOn w:val="1"/>
    <w:link w:val="333"/>
    <w:qFormat/>
    <w:uiPriority w:val="0"/>
    <w:pPr>
      <w:spacing w:line="520" w:lineRule="exact"/>
      <w:ind w:firstLine="560" w:firstLineChars="200"/>
    </w:pPr>
    <w:rPr>
      <w:rFonts w:ascii="宋体" w:hAnsi="宋体" w:eastAsia="Times New Roman"/>
      <w:kern w:val="0"/>
      <w:sz w:val="28"/>
    </w:rPr>
  </w:style>
  <w:style w:type="character" w:customStyle="1" w:styleId="335">
    <w:name w:val="正文 Char"/>
    <w:qFormat/>
    <w:uiPriority w:val="0"/>
    <w:rPr>
      <w:rFonts w:hAnsi="宋体"/>
      <w:color w:val="000000"/>
      <w:spacing w:val="2"/>
      <w:kern w:val="2"/>
      <w:sz w:val="24"/>
      <w:szCs w:val="24"/>
    </w:rPr>
  </w:style>
  <w:style w:type="character" w:customStyle="1" w:styleId="336">
    <w:name w:val="font201"/>
    <w:basedOn w:val="54"/>
    <w:qFormat/>
    <w:uiPriority w:val="0"/>
    <w:rPr>
      <w:rFonts w:ascii="宋体" w:hAnsi="宋体" w:eastAsia="KaiTi_GB2312" w:cs="宋体"/>
      <w:b/>
      <w:bCs/>
      <w:kern w:val="2"/>
      <w:sz w:val="24"/>
      <w:szCs w:val="24"/>
      <w:lang w:val="en-US" w:eastAsia="zh-CN" w:bidi="ar-SA"/>
    </w:rPr>
  </w:style>
  <w:style w:type="character" w:customStyle="1" w:styleId="337">
    <w:name w:val="说明书正文 Char"/>
    <w:link w:val="338"/>
    <w:qFormat/>
    <w:uiPriority w:val="0"/>
    <w:rPr>
      <w:rFonts w:eastAsia="FangSong_GB2312"/>
      <w:color w:val="000000"/>
      <w:kern w:val="2"/>
      <w:sz w:val="30"/>
      <w:szCs w:val="22"/>
      <w:lang w:bidi="ar-SA"/>
    </w:rPr>
  </w:style>
  <w:style w:type="paragraph" w:customStyle="1" w:styleId="338">
    <w:name w:val="说明书正文"/>
    <w:basedOn w:val="1"/>
    <w:link w:val="337"/>
    <w:qFormat/>
    <w:uiPriority w:val="0"/>
    <w:pPr>
      <w:spacing w:line="480" w:lineRule="exact"/>
      <w:ind w:firstLine="600" w:firstLineChars="200"/>
    </w:pPr>
    <w:rPr>
      <w:rFonts w:eastAsia="FangSong_GB2312"/>
      <w:color w:val="000000"/>
      <w:sz w:val="30"/>
      <w:szCs w:val="22"/>
    </w:rPr>
  </w:style>
  <w:style w:type="character" w:customStyle="1" w:styleId="339">
    <w:name w:val="textbig"/>
    <w:basedOn w:val="54"/>
    <w:qFormat/>
    <w:uiPriority w:val="0"/>
    <w:rPr>
      <w:rFonts w:ascii="宋体" w:hAnsi="宋体" w:eastAsia="KaiTi_GB2312" w:cs="宋体"/>
      <w:b/>
      <w:bCs/>
      <w:kern w:val="2"/>
      <w:sz w:val="24"/>
      <w:szCs w:val="24"/>
      <w:lang w:val="en-US" w:eastAsia="zh-CN" w:bidi="ar-SA"/>
    </w:rPr>
  </w:style>
  <w:style w:type="character" w:customStyle="1" w:styleId="340">
    <w:name w:val="4级标题 Char"/>
    <w:link w:val="341"/>
    <w:qFormat/>
    <w:uiPriority w:val="0"/>
    <w:rPr>
      <w:rFonts w:eastAsia="黑体"/>
      <w:kern w:val="2"/>
      <w:sz w:val="28"/>
      <w:szCs w:val="28"/>
      <w:lang w:bidi="ar-SA"/>
    </w:rPr>
  </w:style>
  <w:style w:type="paragraph" w:customStyle="1" w:styleId="341">
    <w:name w:val="4级标题"/>
    <w:basedOn w:val="1"/>
    <w:link w:val="340"/>
    <w:qFormat/>
    <w:uiPriority w:val="0"/>
    <w:pPr>
      <w:spacing w:before="120" w:after="120" w:line="660" w:lineRule="exact"/>
      <w:outlineLvl w:val="3"/>
    </w:pPr>
    <w:rPr>
      <w:rFonts w:eastAsia="黑体"/>
      <w:sz w:val="28"/>
      <w:szCs w:val="28"/>
    </w:rPr>
  </w:style>
  <w:style w:type="character" w:customStyle="1" w:styleId="342">
    <w:name w:val="Char Char Char Char11"/>
    <w:link w:val="343"/>
    <w:qFormat/>
    <w:uiPriority w:val="0"/>
    <w:rPr>
      <w:rFonts w:ascii="宋体" w:hAnsi="宋体"/>
      <w:sz w:val="24"/>
      <w:szCs w:val="24"/>
      <w:lang w:bidi="ar-SA"/>
    </w:rPr>
  </w:style>
  <w:style w:type="paragraph" w:customStyle="1" w:styleId="343">
    <w:name w:val="Char Char Char1"/>
    <w:basedOn w:val="1"/>
    <w:link w:val="342"/>
    <w:qFormat/>
    <w:uiPriority w:val="0"/>
    <w:pPr>
      <w:widowControl/>
      <w:spacing w:line="360" w:lineRule="auto"/>
      <w:ind w:firstLine="200" w:firstLineChars="200"/>
      <w:jc w:val="left"/>
    </w:pPr>
    <w:rPr>
      <w:rFonts w:ascii="宋体" w:hAnsi="宋体" w:eastAsia="Times New Roman"/>
      <w:kern w:val="0"/>
      <w:sz w:val="24"/>
    </w:rPr>
  </w:style>
  <w:style w:type="character" w:customStyle="1" w:styleId="344">
    <w:name w:val="帅哥的正文 Char"/>
    <w:link w:val="345"/>
    <w:qFormat/>
    <w:uiPriority w:val="0"/>
    <w:rPr>
      <w:sz w:val="24"/>
      <w:szCs w:val="22"/>
      <w:lang w:bidi="ar-SA"/>
    </w:rPr>
  </w:style>
  <w:style w:type="paragraph" w:customStyle="1" w:styleId="345">
    <w:name w:val="帅哥的正文"/>
    <w:basedOn w:val="1"/>
    <w:link w:val="344"/>
    <w:qFormat/>
    <w:uiPriority w:val="0"/>
    <w:pPr>
      <w:tabs>
        <w:tab w:val="left" w:pos="600"/>
      </w:tabs>
      <w:spacing w:line="360" w:lineRule="auto"/>
      <w:ind w:firstLine="200" w:firstLineChars="200"/>
    </w:pPr>
    <w:rPr>
      <w:rFonts w:eastAsia="Times New Roman"/>
      <w:kern w:val="0"/>
      <w:sz w:val="24"/>
      <w:szCs w:val="22"/>
    </w:rPr>
  </w:style>
  <w:style w:type="character" w:customStyle="1" w:styleId="346">
    <w:name w:val=" Char Char9"/>
    <w:basedOn w:val="54"/>
    <w:qFormat/>
    <w:uiPriority w:val="0"/>
    <w:rPr>
      <w:rFonts w:ascii="宋体" w:hAnsi="宋体"/>
      <w:kern w:val="2"/>
      <w:sz w:val="28"/>
      <w:szCs w:val="24"/>
    </w:rPr>
  </w:style>
  <w:style w:type="character" w:customStyle="1" w:styleId="347">
    <w:name w:val="font_cn_14"/>
    <w:basedOn w:val="54"/>
    <w:qFormat/>
    <w:uiPriority w:val="0"/>
  </w:style>
  <w:style w:type="character" w:customStyle="1" w:styleId="348">
    <w:name w:val="样式3 Char"/>
    <w:link w:val="349"/>
    <w:qFormat/>
    <w:uiPriority w:val="0"/>
    <w:rPr>
      <w:kern w:val="2"/>
      <w:sz w:val="18"/>
      <w:szCs w:val="18"/>
      <w:lang w:bidi="ar-SA"/>
    </w:rPr>
  </w:style>
  <w:style w:type="paragraph" w:customStyle="1" w:styleId="349">
    <w:name w:val="样式3"/>
    <w:basedOn w:val="350"/>
    <w:link w:val="348"/>
    <w:qFormat/>
    <w:uiPriority w:val="0"/>
    <w:pPr>
      <w:pBdr>
        <w:bottom w:val="thinThickSmallGap" w:color="auto" w:sz="12" w:space="1"/>
      </w:pBdr>
      <w:tabs>
        <w:tab w:val="center" w:pos="4153"/>
        <w:tab w:val="right" w:pos="8306"/>
      </w:tabs>
      <w:snapToGrid w:val="0"/>
      <w:spacing w:line="240" w:lineRule="auto"/>
      <w:ind w:firstLine="0" w:firstLineChars="0"/>
      <w:jc w:val="center"/>
    </w:pPr>
    <w:rPr>
      <w:rFonts w:eastAsia="Times New Roman"/>
      <w:sz w:val="18"/>
      <w:szCs w:val="18"/>
    </w:rPr>
  </w:style>
  <w:style w:type="paragraph" w:customStyle="1" w:styleId="350">
    <w:name w:val="样式2"/>
    <w:basedOn w:val="1"/>
    <w:link w:val="351"/>
    <w:qFormat/>
    <w:uiPriority w:val="0"/>
    <w:pPr>
      <w:spacing w:line="400" w:lineRule="exact"/>
      <w:ind w:firstLine="200" w:firstLineChars="200"/>
    </w:pPr>
    <w:rPr>
      <w:rFonts w:eastAsia="Times New Roman"/>
      <w:sz w:val="22"/>
      <w:szCs w:val="22"/>
    </w:rPr>
  </w:style>
  <w:style w:type="character" w:customStyle="1" w:styleId="351">
    <w:name w:val="样式2 Char"/>
    <w:link w:val="350"/>
    <w:qFormat/>
    <w:uiPriority w:val="0"/>
    <w:rPr>
      <w:kern w:val="2"/>
      <w:sz w:val="22"/>
      <w:szCs w:val="22"/>
      <w:lang w:bidi="ar-SA"/>
    </w:rPr>
  </w:style>
  <w:style w:type="character" w:customStyle="1" w:styleId="352">
    <w:name w:val="样式 标题 2 + 宋体 Char"/>
    <w:qFormat/>
    <w:uiPriority w:val="0"/>
    <w:rPr>
      <w:rFonts w:ascii="宋体" w:hAnsi="宋体" w:eastAsia="宋体"/>
      <w:b/>
      <w:bCs/>
      <w:kern w:val="2"/>
      <w:sz w:val="28"/>
      <w:szCs w:val="32"/>
      <w:lang w:val="en-US" w:eastAsia="zh-CN" w:bidi="ar-SA"/>
    </w:rPr>
  </w:style>
  <w:style w:type="character" w:customStyle="1" w:styleId="353">
    <w:name w:val="font11"/>
    <w:basedOn w:val="54"/>
    <w:qFormat/>
    <w:uiPriority w:val="0"/>
  </w:style>
  <w:style w:type="paragraph" w:customStyle="1" w:styleId="354">
    <w:name w:val="xl28"/>
    <w:basedOn w:val="1"/>
    <w:qFormat/>
    <w:uiPriority w:val="0"/>
    <w:pPr>
      <w:widowControl/>
      <w:pBdr>
        <w:bottom w:val="single" w:color="auto" w:sz="4" w:space="0"/>
        <w:right w:val="single" w:color="auto" w:sz="4" w:space="0"/>
      </w:pBdr>
      <w:spacing w:before="100" w:beforeAutospacing="1" w:after="100" w:afterAutospacing="1"/>
      <w:jc w:val="center"/>
    </w:pPr>
    <w:rPr>
      <w:rFonts w:cs="Calibri"/>
      <w:color w:val="000000"/>
      <w:kern w:val="0"/>
      <w:szCs w:val="21"/>
    </w:rPr>
  </w:style>
  <w:style w:type="paragraph" w:customStyle="1" w:styleId="355">
    <w:name w:val="表1"/>
    <w:next w:val="1"/>
    <w:qFormat/>
    <w:uiPriority w:val="0"/>
    <w:pPr>
      <w:adjustRightInd w:val="0"/>
      <w:snapToGrid w:val="0"/>
      <w:jc w:val="center"/>
    </w:pPr>
    <w:rPr>
      <w:rFonts w:ascii="宋体" w:hAnsi="Times New Roman" w:eastAsia="宋体" w:cs="Calibri"/>
      <w:color w:val="000000"/>
      <w:kern w:val="2"/>
      <w:sz w:val="21"/>
      <w:szCs w:val="24"/>
      <w:lang w:val="en-US" w:eastAsia="zh-CN" w:bidi="ar-SA"/>
    </w:rPr>
  </w:style>
  <w:style w:type="paragraph" w:customStyle="1" w:styleId="356">
    <w:name w:val="0"/>
    <w:basedOn w:val="1"/>
    <w:qFormat/>
    <w:uiPriority w:val="0"/>
    <w:pPr>
      <w:widowControl/>
      <w:adjustRightInd w:val="0"/>
      <w:snapToGrid w:val="0"/>
      <w:spacing w:line="360" w:lineRule="auto"/>
      <w:ind w:firstLine="200" w:firstLineChars="200"/>
      <w:jc w:val="left"/>
    </w:pPr>
    <w:rPr>
      <w:rFonts w:cs="Calibri"/>
      <w:color w:val="000000"/>
      <w:kern w:val="0"/>
      <w:sz w:val="20"/>
      <w:szCs w:val="20"/>
    </w:rPr>
  </w:style>
  <w:style w:type="paragraph" w:customStyle="1" w:styleId="357">
    <w:name w:val=" Char Char Char1 Char Char Char Char Char Char Char Char Char Char Char Char Char Char Char Char"/>
    <w:basedOn w:val="1"/>
    <w:qFormat/>
    <w:uiPriority w:val="0"/>
    <w:rPr>
      <w:rFonts w:ascii="黑体" w:hAnsi="Arial" w:eastAsia="华文中宋" w:cs="宋体"/>
      <w:color w:val="000000"/>
      <w:sz w:val="44"/>
      <w:szCs w:val="44"/>
    </w:rPr>
  </w:style>
  <w:style w:type="paragraph" w:customStyle="1" w:styleId="358">
    <w:name w:val="p16"/>
    <w:basedOn w:val="1"/>
    <w:qFormat/>
    <w:uiPriority w:val="0"/>
    <w:pPr>
      <w:widowControl/>
      <w:ind w:firstLine="630"/>
    </w:pPr>
    <w:rPr>
      <w:rFonts w:cs="Calibri"/>
      <w:color w:val="000000"/>
      <w:kern w:val="0"/>
      <w:sz w:val="28"/>
      <w:szCs w:val="28"/>
    </w:rPr>
  </w:style>
  <w:style w:type="paragraph" w:customStyle="1" w:styleId="359">
    <w:name w:val="正文样式"/>
    <w:basedOn w:val="1"/>
    <w:qFormat/>
    <w:uiPriority w:val="0"/>
    <w:pPr>
      <w:spacing w:line="360" w:lineRule="auto"/>
      <w:ind w:firstLine="480" w:firstLineChars="200"/>
    </w:pPr>
    <w:rPr>
      <w:rFonts w:ascii="宋体" w:hAnsi="宋体" w:cs="Calibri"/>
      <w:color w:val="000000"/>
      <w:sz w:val="24"/>
    </w:rPr>
  </w:style>
  <w:style w:type="paragraph" w:customStyle="1" w:styleId="360">
    <w:name w:val="Char Char1 Char Char Char Char Char Char Char Char Char Char Char Char Char Char Char Char Char Char Char Char1 Char"/>
    <w:basedOn w:val="1"/>
    <w:qFormat/>
    <w:uiPriority w:val="0"/>
    <w:pPr>
      <w:spacing w:line="360" w:lineRule="auto"/>
      <w:ind w:firstLine="200" w:firstLineChars="200"/>
    </w:pPr>
    <w:rPr>
      <w:rFonts w:ascii="宋体" w:hAnsi="宋体" w:cs="宋体"/>
      <w:color w:val="000000"/>
      <w:sz w:val="24"/>
    </w:rPr>
  </w:style>
  <w:style w:type="paragraph" w:customStyle="1" w:styleId="361">
    <w:name w:val=" Char"/>
    <w:basedOn w:val="1"/>
    <w:qFormat/>
    <w:uiPriority w:val="0"/>
    <w:rPr>
      <w:rFonts w:cs="Calibri"/>
      <w:color w:val="000000"/>
      <w:szCs w:val="20"/>
    </w:rPr>
  </w:style>
  <w:style w:type="paragraph" w:customStyle="1" w:styleId="362">
    <w:name w:val=" Char Char Char Char Char Char Char Char Char Char"/>
    <w:basedOn w:val="1"/>
    <w:qFormat/>
    <w:uiPriority w:val="0"/>
    <w:pPr>
      <w:snapToGrid w:val="0"/>
      <w:spacing w:line="360" w:lineRule="auto"/>
      <w:ind w:firstLine="200" w:firstLineChars="200"/>
    </w:pPr>
    <w:rPr>
      <w:rFonts w:eastAsia="FangSong_GB2312" w:cs="Calibri"/>
      <w:color w:val="000000"/>
      <w:sz w:val="24"/>
    </w:rPr>
  </w:style>
  <w:style w:type="paragraph" w:customStyle="1" w:styleId="363">
    <w:name w:val="样式 正文首行缩进:  2 字符 + 首行缩进:  2 字符"/>
    <w:basedOn w:val="1"/>
    <w:qFormat/>
    <w:uiPriority w:val="0"/>
    <w:pPr>
      <w:spacing w:line="360" w:lineRule="auto"/>
      <w:ind w:firstLine="480" w:firstLineChars="200"/>
    </w:pPr>
    <w:rPr>
      <w:rFonts w:cs="宋体"/>
      <w:color w:val="000000"/>
      <w:sz w:val="24"/>
      <w:szCs w:val="20"/>
    </w:rPr>
  </w:style>
  <w:style w:type="paragraph" w:customStyle="1" w:styleId="364">
    <w:name w:val="Body Text 21"/>
    <w:basedOn w:val="1"/>
    <w:qFormat/>
    <w:uiPriority w:val="0"/>
    <w:pPr>
      <w:autoSpaceDE w:val="0"/>
      <w:autoSpaceDN w:val="0"/>
      <w:adjustRightInd w:val="0"/>
      <w:spacing w:line="480" w:lineRule="exact"/>
      <w:ind w:firstLine="540"/>
      <w:textAlignment w:val="baseline"/>
    </w:pPr>
    <w:rPr>
      <w:rFonts w:ascii="宋体" w:hAnsi="Tms Rmn" w:cs="Calibri"/>
      <w:color w:val="000000"/>
      <w:kern w:val="0"/>
      <w:sz w:val="24"/>
      <w:szCs w:val="20"/>
    </w:rPr>
  </w:style>
  <w:style w:type="paragraph" w:customStyle="1" w:styleId="365">
    <w:name w:val="Char Char Char1 Char Char Char Char Char Char Char Char Char Char Char Char Char Char Char Char Char Char Char"/>
    <w:basedOn w:val="1"/>
    <w:qFormat/>
    <w:uiPriority w:val="0"/>
    <w:pPr>
      <w:spacing w:line="360" w:lineRule="auto"/>
      <w:ind w:firstLine="200" w:firstLineChars="200"/>
    </w:pPr>
    <w:rPr>
      <w:rFonts w:ascii="宋体" w:hAnsi="宋体" w:cs="宋体"/>
      <w:color w:val="000000"/>
      <w:sz w:val="20"/>
    </w:rPr>
  </w:style>
  <w:style w:type="paragraph" w:customStyle="1" w:styleId="366">
    <w:name w:val="表中正文"/>
    <w:basedOn w:val="1"/>
    <w:qFormat/>
    <w:uiPriority w:val="0"/>
    <w:pPr>
      <w:tabs>
        <w:tab w:val="left" w:pos="958"/>
        <w:tab w:val="left" w:pos="7320"/>
        <w:tab w:val="left" w:pos="8160"/>
      </w:tabs>
      <w:adjustRightInd w:val="0"/>
      <w:spacing w:line="360" w:lineRule="atLeast"/>
      <w:ind w:right="113"/>
      <w:jc w:val="center"/>
      <w:textAlignment w:val="baseline"/>
    </w:pPr>
    <w:rPr>
      <w:rFonts w:ascii="宋体" w:hAnsi="宋体" w:cs="Calibri"/>
      <w:color w:val="000000"/>
      <w:spacing w:val="6"/>
      <w:kern w:val="20"/>
    </w:rPr>
  </w:style>
  <w:style w:type="paragraph" w:customStyle="1" w:styleId="367">
    <w:name w:val=" Char Char Char Char Char Char"/>
    <w:basedOn w:val="1"/>
    <w:qFormat/>
    <w:uiPriority w:val="0"/>
    <w:rPr>
      <w:rFonts w:cs="Calibri"/>
      <w:color w:val="000000"/>
      <w:sz w:val="24"/>
    </w:rPr>
  </w:style>
  <w:style w:type="paragraph" w:customStyle="1" w:styleId="368">
    <w:name w:val="图文框"/>
    <w:basedOn w:val="1"/>
    <w:qFormat/>
    <w:uiPriority w:val="0"/>
    <w:pPr>
      <w:autoSpaceDE w:val="0"/>
      <w:autoSpaceDN w:val="0"/>
      <w:adjustRightInd w:val="0"/>
      <w:snapToGrid w:val="0"/>
      <w:spacing w:line="320" w:lineRule="exact"/>
      <w:jc w:val="center"/>
      <w:textAlignment w:val="baseline"/>
    </w:pPr>
    <w:rPr>
      <w:rFonts w:eastAsia="FangSong_GB2312" w:cs="Calibri"/>
      <w:color w:val="000000"/>
      <w:kern w:val="0"/>
      <w:szCs w:val="20"/>
    </w:rPr>
  </w:style>
  <w:style w:type="paragraph" w:customStyle="1" w:styleId="369">
    <w:name w:val="Body Text 2"/>
    <w:basedOn w:val="1"/>
    <w:qFormat/>
    <w:uiPriority w:val="0"/>
    <w:pPr>
      <w:autoSpaceDE w:val="0"/>
      <w:autoSpaceDN w:val="0"/>
      <w:adjustRightInd w:val="0"/>
      <w:spacing w:line="360" w:lineRule="atLeast"/>
      <w:ind w:firstLine="425"/>
      <w:textAlignment w:val="baseline"/>
    </w:pPr>
    <w:rPr>
      <w:rFonts w:ascii="宋体" w:hAnsi="Tms Rmn" w:cs="Calibri"/>
      <w:color w:val="000000"/>
      <w:kern w:val="0"/>
      <w:sz w:val="28"/>
      <w:szCs w:val="20"/>
    </w:rPr>
  </w:style>
  <w:style w:type="paragraph" w:customStyle="1" w:styleId="370">
    <w:name w:val="环正文"/>
    <w:basedOn w:val="1"/>
    <w:qFormat/>
    <w:uiPriority w:val="0"/>
    <w:pPr>
      <w:widowControl/>
      <w:suppressAutoHyphens/>
      <w:adjustRightInd w:val="0"/>
      <w:spacing w:line="312" w:lineRule="atLeast"/>
      <w:ind w:firstLine="549" w:firstLineChars="200"/>
      <w:textAlignment w:val="baseline"/>
    </w:pPr>
    <w:rPr>
      <w:rFonts w:ascii="宋体" w:hAnsi="宋体" w:cs="Calibri"/>
      <w:color w:val="000000"/>
      <w:kern w:val="0"/>
      <w:sz w:val="24"/>
      <w:szCs w:val="20"/>
    </w:rPr>
  </w:style>
  <w:style w:type="paragraph" w:customStyle="1" w:styleId="371">
    <w:name w:val="Char Char Char Char"/>
    <w:basedOn w:val="1"/>
    <w:qFormat/>
    <w:uiPriority w:val="0"/>
    <w:pPr>
      <w:spacing w:line="360" w:lineRule="auto"/>
      <w:ind w:firstLine="200" w:firstLineChars="200"/>
    </w:pPr>
    <w:rPr>
      <w:rFonts w:ascii="宋体" w:hAnsi="宋体" w:cs="宋体"/>
      <w:color w:val="000000"/>
      <w:sz w:val="24"/>
    </w:rPr>
  </w:style>
  <w:style w:type="paragraph" w:customStyle="1" w:styleId="372">
    <w:name w:val="2"/>
    <w:basedOn w:val="1"/>
    <w:next w:val="26"/>
    <w:qFormat/>
    <w:uiPriority w:val="0"/>
    <w:rPr>
      <w:rFonts w:ascii="宋体" w:hAnsi="Lucida Console" w:cs="Calibri"/>
      <w:color w:val="000000"/>
    </w:rPr>
  </w:style>
  <w:style w:type="paragraph" w:customStyle="1" w:styleId="373">
    <w:name w:val="样式 标题 3Char小标题标题 3 Char四号宋体左齐行距1.5倍1.1.1标题 34号宋体左齐行距1.5倍条...1"/>
    <w:basedOn w:val="5"/>
    <w:qFormat/>
    <w:uiPriority w:val="0"/>
    <w:pPr>
      <w:numPr>
        <w:ilvl w:val="2"/>
        <w:numId w:val="0"/>
      </w:numPr>
      <w:tabs>
        <w:tab w:val="left" w:pos="720"/>
      </w:tabs>
      <w:spacing w:before="100" w:after="100" w:line="300" w:lineRule="auto"/>
      <w:ind w:left="720" w:hanging="720"/>
    </w:pPr>
    <w:rPr>
      <w:rFonts w:ascii="Courier New" w:hAnsi="FangSong_GB2312" w:eastAsia="FangSong_GB2312" w:cs="FangSong_GB2312"/>
      <w:bCs w:val="0"/>
      <w:color w:val="000000"/>
      <w:sz w:val="28"/>
      <w:szCs w:val="20"/>
    </w:rPr>
  </w:style>
  <w:style w:type="paragraph" w:customStyle="1" w:styleId="374">
    <w:name w:val="无间隔"/>
    <w:qFormat/>
    <w:uiPriority w:val="0"/>
    <w:pPr>
      <w:widowControl w:val="0"/>
      <w:adjustRightInd w:val="0"/>
      <w:snapToGrid w:val="0"/>
      <w:spacing w:line="0" w:lineRule="atLeast"/>
      <w:jc w:val="center"/>
    </w:pPr>
    <w:rPr>
      <w:rFonts w:ascii="宋体" w:hAnsi="宋体" w:eastAsia="仿宋" w:cs="宋体"/>
      <w:color w:val="000000"/>
      <w:kern w:val="2"/>
      <w:sz w:val="21"/>
      <w:szCs w:val="21"/>
      <w:lang w:val="en-US" w:eastAsia="zh-CN" w:bidi="ar-SA"/>
    </w:rPr>
  </w:style>
  <w:style w:type="paragraph" w:customStyle="1" w:styleId="375">
    <w:name w:val="样式 样式 行距: 1.5 倍行距 + 首行缩进:  2 字符"/>
    <w:basedOn w:val="1"/>
    <w:qFormat/>
    <w:uiPriority w:val="0"/>
    <w:pPr>
      <w:spacing w:line="360" w:lineRule="auto"/>
      <w:ind w:firstLine="480" w:firstLineChars="200"/>
    </w:pPr>
    <w:rPr>
      <w:rFonts w:cs="宋体"/>
      <w:color w:val="000000"/>
      <w:sz w:val="24"/>
      <w:szCs w:val="20"/>
    </w:rPr>
  </w:style>
  <w:style w:type="paragraph" w:customStyle="1" w:styleId="376">
    <w:name w:val="样式 正文文本缩进 + 左侧:  0.95 厘米 首行缩进:  0.63 厘米"/>
    <w:basedOn w:val="1"/>
    <w:qFormat/>
    <w:uiPriority w:val="0"/>
    <w:pPr>
      <w:adjustRightInd w:val="0"/>
      <w:snapToGrid w:val="0"/>
      <w:spacing w:line="480" w:lineRule="exact"/>
      <w:ind w:firstLine="480" w:firstLineChars="200"/>
    </w:pPr>
    <w:rPr>
      <w:rFonts w:ascii="宋体"/>
      <w:color w:val="000000"/>
      <w:sz w:val="24"/>
    </w:rPr>
  </w:style>
  <w:style w:type="paragraph" w:customStyle="1" w:styleId="377">
    <w:name w:val="书"/>
    <w:basedOn w:val="267"/>
    <w:qFormat/>
    <w:uiPriority w:val="0"/>
    <w:pPr>
      <w:ind w:firstLine="0"/>
    </w:pPr>
    <w:rPr>
      <w:rFonts w:ascii="KaiTi_GB2312" w:eastAsia="KaiTi_GB2312"/>
      <w:b/>
      <w:sz w:val="28"/>
    </w:rPr>
  </w:style>
  <w:style w:type="paragraph" w:customStyle="1" w:styleId="378">
    <w:name w:val="Char Char Char Char Char Char Char Char1 Char"/>
    <w:basedOn w:val="1"/>
    <w:qFormat/>
    <w:uiPriority w:val="0"/>
    <w:pPr>
      <w:autoSpaceDE w:val="0"/>
      <w:autoSpaceDN w:val="0"/>
      <w:spacing w:beforeLines="100" w:afterLines="50" w:line="600" w:lineRule="exact"/>
      <w:ind w:firstLine="200" w:firstLineChars="200"/>
      <w:jc w:val="left"/>
    </w:pPr>
    <w:rPr>
      <w:rFonts w:eastAsia="黑体" w:cs="Calibri"/>
      <w:color w:val="000000"/>
      <w:sz w:val="28"/>
      <w:szCs w:val="28"/>
    </w:rPr>
  </w:style>
  <w:style w:type="paragraph" w:customStyle="1" w:styleId="379">
    <w:name w:val="访问过的超链接1"/>
    <w:next w:val="1"/>
    <w:unhideWhenUsed/>
    <w:qFormat/>
    <w:uiPriority w:val="0"/>
    <w:pPr>
      <w:widowControl w:val="0"/>
      <w:jc w:val="both"/>
    </w:pPr>
    <w:rPr>
      <w:rFonts w:ascii="Times New Roman" w:hAnsi="Times New Roman" w:eastAsia="宋体" w:cs="Calibri"/>
      <w:color w:val="000000"/>
      <w:kern w:val="2"/>
      <w:sz w:val="21"/>
      <w:szCs w:val="24"/>
      <w:lang w:val="en-US" w:eastAsia="zh-CN" w:bidi="ar-SA"/>
    </w:rPr>
  </w:style>
  <w:style w:type="paragraph" w:customStyle="1" w:styleId="380">
    <w:name w:val="表格顶端对齐"/>
    <w:basedOn w:val="205"/>
    <w:qFormat/>
    <w:uiPriority w:val="0"/>
    <w:pPr>
      <w:widowControl w:val="0"/>
      <w:ind w:left="-74" w:right="-104"/>
      <w:jc w:val="left"/>
    </w:pPr>
    <w:rPr>
      <w:rFonts w:cs="Calibri"/>
      <w:color w:val="000000"/>
      <w:szCs w:val="21"/>
    </w:rPr>
  </w:style>
  <w:style w:type="paragraph" w:customStyle="1" w:styleId="381">
    <w:name w:val="样式 样式 首行缩进:  0.85 厘米 + 首行缩进:  2 字符"/>
    <w:basedOn w:val="1"/>
    <w:qFormat/>
    <w:uiPriority w:val="0"/>
    <w:pPr>
      <w:widowControl/>
      <w:spacing w:line="360" w:lineRule="auto"/>
      <w:ind w:firstLine="200" w:firstLineChars="200"/>
      <w:jc w:val="left"/>
    </w:pPr>
    <w:rPr>
      <w:rFonts w:ascii="Courier New" w:hAnsi="Courier New" w:eastAsia="FangSong_GB2312" w:cs="FangSong_GB2312"/>
      <w:color w:val="000000"/>
      <w:kern w:val="0"/>
      <w:sz w:val="24"/>
      <w:szCs w:val="20"/>
    </w:rPr>
  </w:style>
  <w:style w:type="paragraph" w:customStyle="1" w:styleId="382">
    <w:name w:val="xl24"/>
    <w:basedOn w:val="1"/>
    <w:qFormat/>
    <w:uiPriority w:val="0"/>
    <w:pPr>
      <w:widowControl/>
      <w:pBdr>
        <w:bottom w:val="single" w:color="auto" w:sz="4" w:space="0"/>
      </w:pBdr>
      <w:spacing w:before="100" w:beforeAutospacing="1" w:after="100" w:afterAutospacing="1"/>
      <w:jc w:val="center"/>
    </w:pPr>
    <w:rPr>
      <w:rFonts w:hint="eastAsia" w:ascii="黑体" w:hAnsi="宋体" w:eastAsia="黑体" w:cs="Calibri"/>
      <w:color w:val="000000"/>
      <w:kern w:val="0"/>
      <w:szCs w:val="21"/>
    </w:rPr>
  </w:style>
  <w:style w:type="paragraph" w:customStyle="1" w:styleId="383">
    <w:name w:val=" Char2"/>
    <w:basedOn w:val="1"/>
    <w:qFormat/>
    <w:uiPriority w:val="0"/>
    <w:pPr>
      <w:spacing w:line="360" w:lineRule="auto"/>
      <w:ind w:firstLine="200" w:firstLineChars="200"/>
    </w:pPr>
    <w:rPr>
      <w:rFonts w:ascii="宋体" w:hAnsi="宋体" w:cs="宋体"/>
      <w:color w:val="000000"/>
      <w:sz w:val="24"/>
    </w:rPr>
  </w:style>
  <w:style w:type="paragraph" w:customStyle="1" w:styleId="384">
    <w:name w:val="表内格式"/>
    <w:basedOn w:val="1"/>
    <w:qFormat/>
    <w:uiPriority w:val="0"/>
    <w:pPr>
      <w:jc w:val="center"/>
    </w:pPr>
    <w:rPr>
      <w:rFonts w:cs="Calibri"/>
      <w:color w:val="000000"/>
      <w:sz w:val="18"/>
      <w:szCs w:val="20"/>
    </w:rPr>
  </w:style>
  <w:style w:type="paragraph" w:customStyle="1" w:styleId="385">
    <w:name w:val="1 Char Char Char Char Char Char Char"/>
    <w:basedOn w:val="1"/>
    <w:qFormat/>
    <w:uiPriority w:val="0"/>
    <w:rPr>
      <w:rFonts w:ascii="黑体" w:hAnsi="Arial" w:eastAsia="华文中宋" w:cs="宋体"/>
      <w:color w:val="000000"/>
      <w:sz w:val="44"/>
      <w:szCs w:val="44"/>
    </w:rPr>
  </w:style>
  <w:style w:type="paragraph" w:customStyle="1" w:styleId="386">
    <w:name w:val="TableStyle12"/>
    <w:basedOn w:val="1"/>
    <w:qFormat/>
    <w:uiPriority w:val="0"/>
    <w:pPr>
      <w:jc w:val="center"/>
    </w:pPr>
    <w:rPr>
      <w:kern w:val="0"/>
      <w:sz w:val="24"/>
      <w:szCs w:val="22"/>
    </w:rPr>
  </w:style>
  <w:style w:type="paragraph" w:customStyle="1" w:styleId="387">
    <w:name w:val="默认段落字体 Para Char Char Char Char Char Char Char"/>
    <w:basedOn w:val="1"/>
    <w:qFormat/>
    <w:uiPriority w:val="0"/>
    <w:pPr>
      <w:adjustRightInd w:val="0"/>
      <w:spacing w:line="360" w:lineRule="auto"/>
    </w:pPr>
    <w:rPr>
      <w:rFonts w:cs="Calibri"/>
      <w:color w:val="000000"/>
    </w:rPr>
  </w:style>
  <w:style w:type="paragraph" w:customStyle="1" w:styleId="388">
    <w:name w:val="一级条标题"/>
    <w:basedOn w:val="1"/>
    <w:next w:val="1"/>
    <w:qFormat/>
    <w:uiPriority w:val="0"/>
    <w:pPr>
      <w:widowControl/>
      <w:tabs>
        <w:tab w:val="left" w:pos="1740"/>
      </w:tabs>
      <w:ind w:left="1740" w:hanging="420"/>
      <w:outlineLvl w:val="2"/>
    </w:pPr>
    <w:rPr>
      <w:rFonts w:ascii="黑体" w:eastAsia="黑体" w:cs="黑体"/>
      <w:color w:val="000000"/>
      <w:kern w:val="0"/>
      <w:szCs w:val="21"/>
    </w:rPr>
  </w:style>
  <w:style w:type="paragraph" w:customStyle="1" w:styleId="389">
    <w:name w:val="A样式 小四 行距: 1.5 倍行距"/>
    <w:basedOn w:val="1"/>
    <w:qFormat/>
    <w:uiPriority w:val="0"/>
    <w:pPr>
      <w:spacing w:line="360" w:lineRule="auto"/>
      <w:ind w:firstLine="480" w:firstLineChars="200"/>
    </w:pPr>
    <w:rPr>
      <w:rFonts w:cs="宋体"/>
      <w:color w:val="000000"/>
      <w:sz w:val="24"/>
      <w:szCs w:val="20"/>
    </w:rPr>
  </w:style>
  <w:style w:type="paragraph" w:customStyle="1" w:styleId="390">
    <w:name w:val="xl40"/>
    <w:basedOn w:val="1"/>
    <w:qFormat/>
    <w:uiPriority w:val="0"/>
    <w:pPr>
      <w:widowControl/>
      <w:pBdr>
        <w:left w:val="single" w:color="auto" w:sz="4" w:space="0"/>
      </w:pBdr>
      <w:spacing w:before="100" w:beforeAutospacing="1" w:after="100" w:afterAutospacing="1"/>
      <w:jc w:val="center"/>
      <w:textAlignment w:val="center"/>
    </w:pPr>
    <w:rPr>
      <w:rFonts w:ascii="宋体" w:hAnsi="宋体" w:cs="Calibri"/>
      <w:color w:val="000000"/>
      <w:kern w:val="0"/>
      <w:sz w:val="24"/>
    </w:rPr>
  </w:style>
  <w:style w:type="paragraph" w:customStyle="1" w:styleId="391">
    <w:name w:val="样式 居中"/>
    <w:basedOn w:val="1"/>
    <w:qFormat/>
    <w:uiPriority w:val="0"/>
    <w:pPr>
      <w:jc w:val="center"/>
    </w:pPr>
    <w:rPr>
      <w:rFonts w:cs="宋体"/>
      <w:color w:val="000000"/>
      <w:szCs w:val="20"/>
    </w:rPr>
  </w:style>
  <w:style w:type="paragraph" w:customStyle="1" w:styleId="392">
    <w:name w:val="Date"/>
    <w:basedOn w:val="1"/>
    <w:next w:val="1"/>
    <w:qFormat/>
    <w:uiPriority w:val="0"/>
    <w:pPr>
      <w:adjustRightInd w:val="0"/>
      <w:textAlignment w:val="baseline"/>
    </w:pPr>
    <w:rPr>
      <w:rFonts w:cs="Calibri"/>
      <w:color w:val="000000"/>
      <w:szCs w:val="20"/>
    </w:rPr>
  </w:style>
  <w:style w:type="paragraph" w:customStyle="1" w:styleId="393">
    <w:name w:val="项目编号"/>
    <w:basedOn w:val="1"/>
    <w:next w:val="1"/>
    <w:qFormat/>
    <w:uiPriority w:val="0"/>
    <w:pPr>
      <w:spacing w:before="120" w:after="120" w:line="360" w:lineRule="auto"/>
    </w:pPr>
    <w:rPr>
      <w:rFonts w:cs="Calibri"/>
      <w:color w:val="000000"/>
      <w:sz w:val="24"/>
      <w:szCs w:val="20"/>
    </w:rPr>
  </w:style>
  <w:style w:type="paragraph" w:customStyle="1" w:styleId="394">
    <w:name w:val="1.1.1"/>
    <w:basedOn w:val="1"/>
    <w:next w:val="1"/>
    <w:qFormat/>
    <w:uiPriority w:val="0"/>
    <w:pPr>
      <w:widowControl/>
    </w:pPr>
    <w:rPr>
      <w:rFonts w:ascii="黑体" w:hAnsi="黑体" w:cs="Calibri"/>
      <w:color w:val="000000"/>
      <w:sz w:val="24"/>
      <w:szCs w:val="20"/>
    </w:rPr>
  </w:style>
  <w:style w:type="paragraph" w:customStyle="1" w:styleId="395">
    <w:name w:val="样式 标题 4标题 4 Char11.1.1.1 Char标题 4.1.1.1.1 Char标题 4 Char Char...1"/>
    <w:basedOn w:val="6"/>
    <w:qFormat/>
    <w:uiPriority w:val="0"/>
    <w:pPr>
      <w:tabs>
        <w:tab w:val="left" w:pos="851"/>
      </w:tabs>
      <w:spacing w:before="0" w:after="0" w:line="300" w:lineRule="auto"/>
      <w:ind w:left="851" w:hanging="851"/>
    </w:pPr>
    <w:rPr>
      <w:rFonts w:ascii="Times New Roman" w:hAnsi="Times New Roman" w:eastAsia="宋体" w:cs="宋体"/>
      <w:color w:val="000000"/>
      <w:szCs w:val="20"/>
    </w:rPr>
  </w:style>
  <w:style w:type="paragraph" w:customStyle="1" w:styleId="396">
    <w:name w:val="文"/>
    <w:basedOn w:val="1"/>
    <w:qFormat/>
    <w:uiPriority w:val="0"/>
    <w:pPr>
      <w:spacing w:line="360" w:lineRule="auto"/>
      <w:ind w:firstLine="480" w:firstLineChars="200"/>
    </w:pPr>
    <w:rPr>
      <w:rFonts w:cs="Calibri"/>
      <w:color w:val="000000"/>
      <w:sz w:val="24"/>
    </w:rPr>
  </w:style>
  <w:style w:type="paragraph" w:customStyle="1" w:styleId="397">
    <w:name w:val="列出段落"/>
    <w:basedOn w:val="1"/>
    <w:qFormat/>
    <w:uiPriority w:val="0"/>
    <w:pPr>
      <w:ind w:firstLine="420" w:firstLineChars="200"/>
    </w:pPr>
    <w:rPr>
      <w:rFonts w:ascii="Calibri" w:hAnsi="Calibri" w:cs="Calibri"/>
      <w:color w:val="000000"/>
      <w:szCs w:val="22"/>
    </w:rPr>
  </w:style>
  <w:style w:type="paragraph" w:customStyle="1" w:styleId="398">
    <w:name w:val="p18"/>
    <w:basedOn w:val="1"/>
    <w:qFormat/>
    <w:uiPriority w:val="0"/>
    <w:pPr>
      <w:widowControl/>
    </w:pPr>
    <w:rPr>
      <w:rFonts w:cs="Calibri"/>
      <w:color w:val="000000"/>
      <w:kern w:val="0"/>
      <w:szCs w:val="21"/>
    </w:rPr>
  </w:style>
  <w:style w:type="paragraph" w:customStyle="1" w:styleId="399">
    <w:name w:val="表内"/>
    <w:basedOn w:val="396"/>
    <w:qFormat/>
    <w:uiPriority w:val="0"/>
    <w:pPr>
      <w:spacing w:line="240" w:lineRule="auto"/>
      <w:ind w:firstLine="0" w:firstLineChars="0"/>
      <w:jc w:val="center"/>
    </w:pPr>
    <w:rPr>
      <w:sz w:val="21"/>
    </w:rPr>
  </w:style>
  <w:style w:type="paragraph" w:customStyle="1" w:styleId="400">
    <w:name w:val="列表+"/>
    <w:basedOn w:val="1"/>
    <w:next w:val="38"/>
    <w:qFormat/>
    <w:uiPriority w:val="0"/>
    <w:pPr>
      <w:autoSpaceDE w:val="0"/>
      <w:autoSpaceDN w:val="0"/>
      <w:spacing w:before="156" w:beforeLines="50" w:line="400" w:lineRule="exact"/>
      <w:jc w:val="left"/>
    </w:pPr>
    <w:rPr>
      <w:rFonts w:cs="Calibri"/>
      <w:color w:val="000000"/>
      <w:szCs w:val="20"/>
    </w:rPr>
  </w:style>
  <w:style w:type="paragraph" w:customStyle="1" w:styleId="401">
    <w:name w:val="表格字体"/>
    <w:basedOn w:val="1"/>
    <w:qFormat/>
    <w:uiPriority w:val="0"/>
    <w:pPr>
      <w:spacing w:line="360" w:lineRule="auto"/>
      <w:jc w:val="center"/>
    </w:pPr>
    <w:rPr>
      <w:rFonts w:ascii="宋体"/>
      <w:kern w:val="0"/>
      <w:sz w:val="24"/>
      <w:szCs w:val="20"/>
    </w:rPr>
  </w:style>
  <w:style w:type="paragraph" w:customStyle="1" w:styleId="402">
    <w:name w:val="brdrw15brsp20 tqctx4153t"/>
    <w:qFormat/>
    <w:uiPriority w:val="0"/>
    <w:pPr>
      <w:widowControl w:val="0"/>
      <w:pBdr>
        <w:bottom w:val="single" w:color="auto" w:sz="6" w:space="0"/>
      </w:pBdr>
      <w:adjustRightInd w:val="0"/>
      <w:spacing w:line="312" w:lineRule="atLeast"/>
      <w:jc w:val="center"/>
      <w:textAlignment w:val="baseline"/>
    </w:pPr>
    <w:rPr>
      <w:rFonts w:ascii="Times New Roman" w:hAnsi="Times New Roman" w:eastAsia="宋体" w:cs="Calibri"/>
      <w:color w:val="000000"/>
      <w:kern w:val="2"/>
      <w:sz w:val="21"/>
      <w:szCs w:val="24"/>
      <w:lang w:val="en-US" w:eastAsia="zh-CN" w:bidi="ar-SA"/>
    </w:rPr>
  </w:style>
  <w:style w:type="paragraph" w:customStyle="1" w:styleId="403">
    <w:name w:val="TableStyle10.5"/>
    <w:basedOn w:val="1"/>
    <w:qFormat/>
    <w:uiPriority w:val="0"/>
    <w:pPr>
      <w:jc w:val="center"/>
    </w:pPr>
    <w:rPr>
      <w:kern w:val="0"/>
      <w:szCs w:val="22"/>
    </w:rPr>
  </w:style>
  <w:style w:type="paragraph" w:customStyle="1" w:styleId="404">
    <w:name w:val="环表头"/>
    <w:basedOn w:val="1"/>
    <w:next w:val="1"/>
    <w:qFormat/>
    <w:uiPriority w:val="0"/>
    <w:pPr>
      <w:widowControl/>
      <w:suppressAutoHyphens/>
      <w:adjustRightInd w:val="0"/>
      <w:spacing w:before="60" w:after="60" w:line="312" w:lineRule="atLeast"/>
      <w:ind w:right="28"/>
      <w:jc w:val="center"/>
      <w:textAlignment w:val="baseline"/>
    </w:pPr>
    <w:rPr>
      <w:rFonts w:ascii="黑体" w:hAnsi="宋体" w:eastAsia="黑体" w:cs="Calibri"/>
      <w:color w:val="000000"/>
      <w:kern w:val="0"/>
      <w:sz w:val="24"/>
      <w:szCs w:val="20"/>
    </w:rPr>
  </w:style>
  <w:style w:type="paragraph" w:customStyle="1" w:styleId="405">
    <w:name w:val="1 Char"/>
    <w:basedOn w:val="1"/>
    <w:qFormat/>
    <w:uiPriority w:val="0"/>
    <w:pPr>
      <w:adjustRightInd w:val="0"/>
      <w:spacing w:line="360" w:lineRule="atLeast"/>
      <w:textAlignment w:val="baseline"/>
    </w:pPr>
    <w:rPr>
      <w:rFonts w:cs="Calibri"/>
      <w:color w:val="000000"/>
    </w:rPr>
  </w:style>
  <w:style w:type="paragraph" w:customStyle="1" w:styleId="406">
    <w:name w:val="表居中（中文）"/>
    <w:basedOn w:val="1"/>
    <w:qFormat/>
    <w:uiPriority w:val="0"/>
    <w:pPr>
      <w:adjustRightInd w:val="0"/>
      <w:spacing w:line="380" w:lineRule="atLeast"/>
      <w:jc w:val="center"/>
      <w:textAlignment w:val="baseline"/>
    </w:pPr>
    <w:rPr>
      <w:rFonts w:eastAsia="KaiTi_GB2312" w:cs="Calibri"/>
      <w:color w:val="000000"/>
      <w:kern w:val="0"/>
      <w:szCs w:val="20"/>
    </w:rPr>
  </w:style>
  <w:style w:type="paragraph" w:customStyle="1" w:styleId="407">
    <w:name w:val="表格的格式"/>
    <w:basedOn w:val="1"/>
    <w:qFormat/>
    <w:uiPriority w:val="0"/>
    <w:pPr>
      <w:jc w:val="center"/>
    </w:pPr>
    <w:rPr>
      <w:rFonts w:ascii="Calibri" w:hAnsi="Calibri" w:cs="Calibri"/>
      <w:kern w:val="0"/>
      <w:sz w:val="20"/>
      <w:szCs w:val="21"/>
    </w:rPr>
  </w:style>
  <w:style w:type="paragraph" w:customStyle="1" w:styleId="408">
    <w:name w:val="图标题"/>
    <w:basedOn w:val="1"/>
    <w:next w:val="1"/>
    <w:qFormat/>
    <w:uiPriority w:val="0"/>
    <w:pPr>
      <w:keepNext/>
      <w:widowControl/>
      <w:autoSpaceDE w:val="0"/>
      <w:autoSpaceDN w:val="0"/>
      <w:adjustRightInd w:val="0"/>
      <w:spacing w:before="60" w:after="120" w:line="400" w:lineRule="atLeast"/>
      <w:jc w:val="center"/>
    </w:pPr>
    <w:rPr>
      <w:rFonts w:cs="Calibri"/>
      <w:b/>
      <w:color w:val="000000"/>
      <w:spacing w:val="2"/>
      <w:kern w:val="0"/>
      <w:sz w:val="24"/>
      <w:szCs w:val="20"/>
    </w:rPr>
  </w:style>
  <w:style w:type="paragraph" w:customStyle="1" w:styleId="409">
    <w:name w:val=" Char Char Char1 Char Char Char Char Char Char Char Char Char Char Char Char Char Char Char Char Char Char Char"/>
    <w:basedOn w:val="1"/>
    <w:qFormat/>
    <w:uiPriority w:val="0"/>
    <w:pPr>
      <w:spacing w:line="360" w:lineRule="auto"/>
      <w:ind w:firstLine="200" w:firstLineChars="200"/>
    </w:pPr>
    <w:rPr>
      <w:rFonts w:ascii="宋体" w:hAnsi="宋体" w:cs="宋体"/>
      <w:color w:val="000000"/>
      <w:sz w:val="20"/>
    </w:rPr>
  </w:style>
  <w:style w:type="paragraph" w:customStyle="1" w:styleId="410">
    <w:name w:val="黏贴"/>
    <w:qFormat/>
    <w:uiPriority w:val="0"/>
    <w:rPr>
      <w:rFonts w:ascii="Times New Roman" w:hAnsi="Times New Roman" w:eastAsia="宋体" w:cs="Calibri"/>
      <w:color w:val="000000"/>
      <w:kern w:val="2"/>
      <w:sz w:val="18"/>
      <w:szCs w:val="24"/>
      <w:lang w:val="en-US" w:eastAsia="zh-CN" w:bidi="ar-SA"/>
    </w:rPr>
  </w:style>
  <w:style w:type="paragraph" w:customStyle="1" w:styleId="411">
    <w:name w:val="font1"/>
    <w:basedOn w:val="1"/>
    <w:qFormat/>
    <w:uiPriority w:val="0"/>
    <w:pPr>
      <w:widowControl/>
      <w:spacing w:before="100" w:beforeAutospacing="1" w:after="100" w:afterAutospacing="1" w:line="345" w:lineRule="atLeast"/>
      <w:jc w:val="left"/>
    </w:pPr>
    <w:rPr>
      <w:rFonts w:hint="eastAsia" w:ascii="宋体" w:hAnsi="宋体" w:cs="Calibri"/>
      <w:color w:val="333333"/>
      <w:kern w:val="0"/>
      <w:sz w:val="18"/>
      <w:szCs w:val="18"/>
    </w:rPr>
  </w:style>
  <w:style w:type="paragraph" w:customStyle="1" w:styleId="412">
    <w:name w:val="表格1"/>
    <w:basedOn w:val="1"/>
    <w:qFormat/>
    <w:uiPriority w:val="0"/>
    <w:pPr>
      <w:snapToGrid w:val="0"/>
      <w:spacing w:before="20" w:beforeLines="10" w:after="20" w:afterLines="10"/>
      <w:jc w:val="center"/>
    </w:pPr>
    <w:rPr>
      <w:rFonts w:cs="Calibri"/>
      <w:color w:val="000000"/>
      <w:sz w:val="18"/>
    </w:rPr>
  </w:style>
  <w:style w:type="paragraph" w:customStyle="1" w:styleId="413">
    <w:name w:val="环评报告正文"/>
    <w:basedOn w:val="1"/>
    <w:qFormat/>
    <w:uiPriority w:val="0"/>
    <w:pPr>
      <w:spacing w:line="360" w:lineRule="auto"/>
      <w:ind w:firstLine="480" w:firstLineChars="200"/>
      <w:jc w:val="left"/>
    </w:pPr>
    <w:rPr>
      <w:color w:val="000000"/>
      <w:sz w:val="24"/>
      <w:szCs w:val="20"/>
    </w:rPr>
  </w:style>
  <w:style w:type="paragraph" w:customStyle="1" w:styleId="414">
    <w:name w:val="宋 小四 1.5倍行距"/>
    <w:basedOn w:val="1"/>
    <w:qFormat/>
    <w:uiPriority w:val="0"/>
    <w:pPr>
      <w:spacing w:line="360" w:lineRule="auto"/>
      <w:ind w:firstLine="200" w:firstLineChars="200"/>
    </w:pPr>
    <w:rPr>
      <w:sz w:val="24"/>
    </w:rPr>
  </w:style>
  <w:style w:type="paragraph" w:customStyle="1" w:styleId="415">
    <w:name w:val="表内5"/>
    <w:basedOn w:val="1"/>
    <w:qFormat/>
    <w:uiPriority w:val="0"/>
    <w:pPr>
      <w:shd w:val="clear" w:color="auto" w:fill="FFFFFF"/>
      <w:tabs>
        <w:tab w:val="left" w:pos="4305"/>
      </w:tabs>
      <w:adjustRightInd w:val="0"/>
      <w:snapToGrid w:val="0"/>
      <w:jc w:val="center"/>
    </w:pPr>
    <w:rPr>
      <w:rFonts w:ascii="宋体" w:cs="Calibri"/>
      <w:b/>
      <w:color w:val="000000"/>
      <w:sz w:val="24"/>
      <w:szCs w:val="21"/>
    </w:rPr>
  </w:style>
  <w:style w:type="paragraph" w:customStyle="1" w:styleId="416">
    <w:name w:val="样式 样式 宋体 四号 行距: 固定值 27 磅 + 首行缩进:  2 字符"/>
    <w:basedOn w:val="1"/>
    <w:qFormat/>
    <w:uiPriority w:val="0"/>
    <w:pPr>
      <w:widowControl/>
      <w:spacing w:line="360" w:lineRule="auto"/>
      <w:ind w:firstLine="560" w:firstLineChars="200"/>
      <w:jc w:val="left"/>
    </w:pPr>
    <w:rPr>
      <w:rFonts w:ascii="FangSong_GB2312" w:hAnsi="FangSong_GB2312" w:eastAsia="FangSong_GB2312" w:cs="FangSong_GB2312"/>
      <w:color w:val="000000"/>
      <w:kern w:val="0"/>
      <w:sz w:val="24"/>
      <w:szCs w:val="20"/>
    </w:rPr>
  </w:style>
  <w:style w:type="paragraph" w:customStyle="1" w:styleId="417">
    <w:name w:val="默认段落字体 Para Char"/>
    <w:basedOn w:val="1"/>
    <w:qFormat/>
    <w:uiPriority w:val="0"/>
    <w:rPr>
      <w:rFonts w:cs="Calibri"/>
      <w:color w:val="000000"/>
      <w:sz w:val="24"/>
    </w:rPr>
  </w:style>
  <w:style w:type="paragraph" w:customStyle="1" w:styleId="418">
    <w:name w:val="puce"/>
    <w:basedOn w:val="1"/>
    <w:qFormat/>
    <w:uiPriority w:val="0"/>
    <w:pPr>
      <w:widowControl/>
      <w:tabs>
        <w:tab w:val="left" w:pos="1040"/>
      </w:tabs>
      <w:adjustRightInd w:val="0"/>
      <w:snapToGrid w:val="0"/>
      <w:spacing w:before="120" w:after="120"/>
      <w:ind w:left="1020" w:hanging="340"/>
    </w:pPr>
    <w:rPr>
      <w:rFonts w:ascii="Arial" w:hAnsi="Arial" w:cs="Calibri"/>
      <w:color w:val="000000"/>
      <w:kern w:val="0"/>
      <w:sz w:val="24"/>
      <w:szCs w:val="20"/>
    </w:rPr>
  </w:style>
  <w:style w:type="paragraph" w:customStyle="1" w:styleId="419">
    <w:name w:val="Plain Text1"/>
    <w:basedOn w:val="1"/>
    <w:qFormat/>
    <w:uiPriority w:val="0"/>
    <w:pPr>
      <w:autoSpaceDE w:val="0"/>
      <w:autoSpaceDN w:val="0"/>
      <w:adjustRightInd w:val="0"/>
      <w:textAlignment w:val="baseline"/>
    </w:pPr>
    <w:rPr>
      <w:rFonts w:ascii="宋体" w:hAnsi="Tms Rmn" w:cs="Calibri"/>
      <w:color w:val="000000"/>
      <w:kern w:val="0"/>
      <w:szCs w:val="20"/>
    </w:rPr>
  </w:style>
  <w:style w:type="paragraph" w:customStyle="1" w:styleId="420">
    <w:name w:val="Date1"/>
    <w:basedOn w:val="1"/>
    <w:next w:val="1"/>
    <w:qFormat/>
    <w:uiPriority w:val="0"/>
    <w:pPr>
      <w:adjustRightInd w:val="0"/>
      <w:textAlignment w:val="baseline"/>
    </w:pPr>
    <w:rPr>
      <w:rFonts w:cs="Calibri"/>
      <w:color w:val="000000"/>
      <w:szCs w:val="20"/>
    </w:rPr>
  </w:style>
  <w:style w:type="paragraph" w:customStyle="1" w:styleId="421">
    <w:name w:val="表格样式1"/>
    <w:basedOn w:val="1"/>
    <w:qFormat/>
    <w:uiPriority w:val="0"/>
    <w:pPr>
      <w:spacing w:line="360" w:lineRule="exact"/>
      <w:jc w:val="center"/>
    </w:pPr>
    <w:rPr>
      <w:rFonts w:eastAsia="FangSong_GB2312" w:cs="Calibri"/>
      <w:color w:val="000080"/>
    </w:rPr>
  </w:style>
  <w:style w:type="paragraph" w:customStyle="1" w:styleId="422">
    <w:name w:val="TOC 标题"/>
    <w:basedOn w:val="3"/>
    <w:next w:val="1"/>
    <w:qFormat/>
    <w:uiPriority w:val="0"/>
    <w:pPr>
      <w:keepLines/>
      <w:widowControl/>
      <w:overflowPunct/>
      <w:snapToGrid/>
      <w:spacing w:before="480" w:after="0" w:line="276" w:lineRule="auto"/>
      <w:ind w:left="0" w:firstLine="0"/>
      <w:jc w:val="left"/>
      <w:outlineLvl w:val="9"/>
    </w:pPr>
    <w:rPr>
      <w:rFonts w:ascii="Cambria" w:hAnsi="Cambria" w:eastAsia="宋体" w:cs="Calibri"/>
      <w:color w:val="365F91"/>
      <w:kern w:val="0"/>
      <w:sz w:val="28"/>
      <w:szCs w:val="28"/>
    </w:rPr>
  </w:style>
  <w:style w:type="paragraph" w:customStyle="1" w:styleId="423">
    <w:name w:val="报告表格"/>
    <w:basedOn w:val="1"/>
    <w:qFormat/>
    <w:uiPriority w:val="0"/>
    <w:pPr>
      <w:autoSpaceDE w:val="0"/>
      <w:autoSpaceDN w:val="0"/>
      <w:adjustRightInd w:val="0"/>
      <w:spacing w:before="40" w:after="40"/>
      <w:jc w:val="center"/>
      <w:textAlignment w:val="bottom"/>
    </w:pPr>
    <w:rPr>
      <w:rFonts w:cs="Calibri"/>
      <w:color w:val="000000"/>
      <w:kern w:val="0"/>
      <w:szCs w:val="20"/>
    </w:rPr>
  </w:style>
  <w:style w:type="paragraph" w:customStyle="1" w:styleId="424">
    <w:name w:val="xl22"/>
    <w:basedOn w:val="1"/>
    <w:qFormat/>
    <w:uiPriority w:val="0"/>
    <w:pPr>
      <w:widowControl/>
      <w:pBdr>
        <w:bottom w:val="single" w:color="auto" w:sz="4" w:space="0"/>
        <w:right w:val="single" w:color="auto" w:sz="4" w:space="0"/>
      </w:pBdr>
      <w:spacing w:before="100" w:after="100"/>
      <w:jc w:val="center"/>
    </w:pPr>
    <w:rPr>
      <w:rFonts w:ascii="宋体" w:hAnsi="宋体" w:cs="Calibri"/>
      <w:color w:val="000000"/>
      <w:kern w:val="0"/>
      <w:szCs w:val="20"/>
    </w:rPr>
  </w:style>
  <w:style w:type="paragraph" w:customStyle="1" w:styleId="425">
    <w:name w:val="固定表格"/>
    <w:basedOn w:val="1"/>
    <w:qFormat/>
    <w:uiPriority w:val="0"/>
    <w:pPr>
      <w:spacing w:line="240" w:lineRule="atLeast"/>
      <w:jc w:val="center"/>
    </w:pPr>
  </w:style>
  <w:style w:type="paragraph" w:customStyle="1" w:styleId="426">
    <w:name w:val="表格中文字"/>
    <w:basedOn w:val="1"/>
    <w:qFormat/>
    <w:uiPriority w:val="0"/>
    <w:pPr>
      <w:adjustRightInd w:val="0"/>
      <w:snapToGrid w:val="0"/>
      <w:jc w:val="center"/>
    </w:pPr>
    <w:rPr>
      <w:kern w:val="18"/>
      <w:szCs w:val="21"/>
    </w:rPr>
  </w:style>
  <w:style w:type="paragraph" w:customStyle="1" w:styleId="427">
    <w:name w:val="表号"/>
    <w:qFormat/>
    <w:uiPriority w:val="0"/>
    <w:pPr>
      <w:adjustRightInd w:val="0"/>
      <w:snapToGrid w:val="0"/>
      <w:spacing w:line="240" w:lineRule="exact"/>
      <w:jc w:val="both"/>
      <w:outlineLvl w:val="4"/>
    </w:pPr>
    <w:rPr>
      <w:rFonts w:ascii="Times New Roman" w:hAnsi="Times New Roman" w:eastAsia="宋体" w:cs="宋体"/>
      <w:color w:val="000000"/>
      <w:kern w:val="2"/>
      <w:sz w:val="24"/>
      <w:szCs w:val="24"/>
      <w:lang w:val="en-US" w:eastAsia="zh-CN" w:bidi="ar-SA"/>
    </w:rPr>
  </w:style>
  <w:style w:type="paragraph" w:customStyle="1" w:styleId="428">
    <w:name w:val="正文内容"/>
    <w:basedOn w:val="1"/>
    <w:qFormat/>
    <w:uiPriority w:val="0"/>
    <w:pPr>
      <w:spacing w:line="360" w:lineRule="auto"/>
      <w:ind w:firstLine="624"/>
    </w:pPr>
    <w:rPr>
      <w:rFonts w:ascii="宋体" w:cs="Calibri"/>
      <w:color w:val="000000"/>
      <w:sz w:val="24"/>
    </w:rPr>
  </w:style>
  <w:style w:type="paragraph" w:customStyle="1" w:styleId="429">
    <w:name w:val="报告书表格"/>
    <w:basedOn w:val="1"/>
    <w:qFormat/>
    <w:uiPriority w:val="0"/>
    <w:pPr>
      <w:adjustRightInd w:val="0"/>
      <w:spacing w:before="60" w:after="60" w:line="240" w:lineRule="atLeast"/>
      <w:jc w:val="center"/>
      <w:textAlignment w:val="baseline"/>
    </w:pPr>
    <w:rPr>
      <w:rFonts w:cs="Calibri"/>
      <w:color w:val="000000"/>
      <w:kern w:val="0"/>
      <w:szCs w:val="20"/>
    </w:rPr>
  </w:style>
  <w:style w:type="paragraph" w:customStyle="1" w:styleId="430">
    <w:name w:val="p19"/>
    <w:basedOn w:val="1"/>
    <w:qFormat/>
    <w:uiPriority w:val="0"/>
    <w:pPr>
      <w:widowControl/>
    </w:pPr>
    <w:rPr>
      <w:rFonts w:cs="Calibri"/>
      <w:color w:val="000000"/>
      <w:kern w:val="0"/>
      <w:szCs w:val="21"/>
    </w:rPr>
  </w:style>
  <w:style w:type="paragraph" w:customStyle="1" w:styleId="431">
    <w:name w:val="样式 小四 行距: 固定值 24 磅"/>
    <w:basedOn w:val="1"/>
    <w:qFormat/>
    <w:uiPriority w:val="0"/>
    <w:pPr>
      <w:adjustRightInd w:val="0"/>
      <w:snapToGrid w:val="0"/>
      <w:spacing w:line="360" w:lineRule="auto"/>
      <w:ind w:firstLine="200" w:firstLineChars="200"/>
    </w:pPr>
    <w:rPr>
      <w:rFonts w:cs="宋体"/>
      <w:color w:val="000000"/>
      <w:sz w:val="24"/>
      <w:szCs w:val="20"/>
    </w:rPr>
  </w:style>
  <w:style w:type="paragraph" w:customStyle="1" w:styleId="432">
    <w:name w:val="样式 规划正文 + 仿宋_GB2312 三号 首行缩进:  2 字符 行距: 单倍行距"/>
    <w:basedOn w:val="1"/>
    <w:qFormat/>
    <w:uiPriority w:val="0"/>
    <w:pPr>
      <w:spacing w:line="360" w:lineRule="auto"/>
      <w:ind w:firstLine="560" w:firstLineChars="200"/>
    </w:pPr>
    <w:rPr>
      <w:rFonts w:ascii="新宋体" w:hAnsi="Courier New" w:eastAsia="新宋体" w:cs="FangSong_GB2312"/>
      <w:color w:val="000000"/>
      <w:sz w:val="28"/>
      <w:szCs w:val="28"/>
    </w:rPr>
  </w:style>
  <w:style w:type="paragraph" w:customStyle="1" w:styleId="433">
    <w:name w:val="p20"/>
    <w:basedOn w:val="1"/>
    <w:qFormat/>
    <w:uiPriority w:val="0"/>
    <w:pPr>
      <w:widowControl/>
    </w:pPr>
    <w:rPr>
      <w:rFonts w:cs="Calibri"/>
      <w:color w:val="000000"/>
      <w:kern w:val="0"/>
      <w:szCs w:val="21"/>
    </w:rPr>
  </w:style>
  <w:style w:type="paragraph" w:customStyle="1" w:styleId="434">
    <w:name w:val="第三层标题"/>
    <w:basedOn w:val="1"/>
    <w:next w:val="1"/>
    <w:qFormat/>
    <w:uiPriority w:val="0"/>
    <w:pPr>
      <w:ind w:firstLine="200" w:firstLineChars="200"/>
    </w:pPr>
    <w:rPr>
      <w:rFonts w:ascii="宋体" w:hAnsi="宋体" w:cs="宋体"/>
      <w:color w:val="000000"/>
      <w:sz w:val="24"/>
    </w:rPr>
  </w:style>
  <w:style w:type="character" w:customStyle="1" w:styleId="435">
    <w:name w:val="博泵1 Char Char"/>
    <w:link w:val="436"/>
    <w:qFormat/>
    <w:uiPriority w:val="0"/>
    <w:rPr>
      <w:rFonts w:hAnsi="宋体"/>
      <w:color w:val="000000"/>
      <w:sz w:val="24"/>
      <w:lang w:bidi="ar-SA"/>
    </w:rPr>
  </w:style>
  <w:style w:type="paragraph" w:customStyle="1" w:styleId="436">
    <w:name w:val="博泵1"/>
    <w:basedOn w:val="1"/>
    <w:link w:val="435"/>
    <w:qFormat/>
    <w:uiPriority w:val="0"/>
    <w:pPr>
      <w:adjustRightInd w:val="0"/>
      <w:spacing w:line="480" w:lineRule="exact"/>
      <w:ind w:firstLine="200" w:firstLineChars="200"/>
      <w:jc w:val="left"/>
      <w:textAlignment w:val="baseline"/>
    </w:pPr>
    <w:rPr>
      <w:rFonts w:hAnsi="宋体" w:eastAsia="Times New Roman"/>
      <w:color w:val="000000"/>
      <w:kern w:val="0"/>
      <w:sz w:val="24"/>
      <w:szCs w:val="20"/>
    </w:rPr>
  </w:style>
  <w:style w:type="character" w:customStyle="1" w:styleId="437">
    <w:name w:val="font21"/>
    <w:basedOn w:val="54"/>
    <w:qFormat/>
    <w:uiPriority w:val="0"/>
    <w:rPr>
      <w:rFonts w:hint="default" w:ascii="Times New Roman" w:hAnsi="Times New Roman" w:cs="Times New Roman"/>
      <w:color w:val="000000"/>
      <w:sz w:val="21"/>
      <w:szCs w:val="21"/>
      <w:u w:val="none"/>
    </w:rPr>
  </w:style>
  <w:style w:type="character" w:customStyle="1" w:styleId="438">
    <w:name w:val="普通 (Web) Char2"/>
    <w:qFormat/>
    <w:locked/>
    <w:uiPriority w:val="0"/>
    <w:rPr>
      <w:rFonts w:ascii="宋体" w:hAnsi="宋体" w:eastAsia="宋体"/>
      <w:sz w:val="24"/>
    </w:rPr>
  </w:style>
  <w:style w:type="character" w:customStyle="1" w:styleId="439">
    <w:name w:val=" Char Char13"/>
    <w:qFormat/>
    <w:locked/>
    <w:uiPriority w:val="0"/>
    <w:rPr>
      <w:sz w:val="18"/>
    </w:rPr>
  </w:style>
  <w:style w:type="character" w:customStyle="1" w:styleId="440">
    <w:name w:val="特点 Char3"/>
    <w:qFormat/>
    <w:uiPriority w:val="0"/>
    <w:rPr>
      <w:rFonts w:eastAsia="宋体"/>
      <w:spacing w:val="20"/>
      <w:kern w:val="2"/>
      <w:sz w:val="24"/>
      <w:lang w:val="en-US" w:eastAsia="zh-CN" w:bidi="ar-SA"/>
    </w:rPr>
  </w:style>
  <w:style w:type="paragraph" w:customStyle="1" w:styleId="441">
    <w:name w:val="4正文格式"/>
    <w:basedOn w:val="1"/>
    <w:qFormat/>
    <w:uiPriority w:val="0"/>
    <w:pPr>
      <w:wordWrap w:val="0"/>
      <w:spacing w:line="360" w:lineRule="auto"/>
      <w:ind w:firstLine="200" w:firstLineChars="200"/>
      <w:jc w:val="left"/>
    </w:pPr>
    <w:rPr>
      <w:sz w:val="24"/>
      <w:szCs w:val="21"/>
    </w:rPr>
  </w:style>
  <w:style w:type="character" w:customStyle="1" w:styleId="442">
    <w:name w:val="网格型模版 Char"/>
    <w:qFormat/>
    <w:uiPriority w:val="0"/>
    <w:rPr>
      <w:rFonts w:eastAsia="黑体"/>
      <w:sz w:val="22"/>
      <w:szCs w:val="24"/>
    </w:rPr>
  </w:style>
  <w:style w:type="paragraph" w:customStyle="1" w:styleId="443">
    <w:name w:val="正文-J"/>
    <w:basedOn w:val="1"/>
    <w:qFormat/>
    <w:uiPriority w:val="0"/>
    <w:pPr>
      <w:spacing w:line="360" w:lineRule="auto"/>
      <w:ind w:firstLine="480" w:firstLineChars="200"/>
    </w:pPr>
    <w:rPr>
      <w:sz w:val="24"/>
    </w:rPr>
  </w:style>
  <w:style w:type="paragraph" w:customStyle="1" w:styleId="444">
    <w:name w:val="正文_4"/>
    <w:qFormat/>
    <w:uiPriority w:val="0"/>
    <w:pPr>
      <w:widowControl w:val="0"/>
      <w:jc w:val="both"/>
    </w:pPr>
    <w:rPr>
      <w:rFonts w:ascii="Calibri" w:hAnsi="Calibri" w:eastAsia="宋体" w:cs="Times New Roman"/>
      <w:kern w:val="2"/>
      <w:sz w:val="21"/>
      <w:lang w:val="en-US" w:eastAsia="zh-CN" w:bidi="ar-SA"/>
    </w:rPr>
  </w:style>
  <w:style w:type="paragraph" w:customStyle="1" w:styleId="445">
    <w:name w:val="正文_5"/>
    <w:qFormat/>
    <w:uiPriority w:val="0"/>
    <w:pPr>
      <w:widowControl w:val="0"/>
      <w:jc w:val="both"/>
    </w:pPr>
    <w:rPr>
      <w:rFonts w:ascii="Calibri" w:hAnsi="Calibri" w:eastAsia="宋体" w:cs="Times New Roman"/>
      <w:kern w:val="2"/>
      <w:sz w:val="21"/>
      <w:lang w:val="en-US" w:eastAsia="zh-CN" w:bidi="ar-SA"/>
    </w:rPr>
  </w:style>
  <w:style w:type="character" w:customStyle="1" w:styleId="446">
    <w:name w:val="font31"/>
    <w:basedOn w:val="54"/>
    <w:qFormat/>
    <w:uiPriority w:val="0"/>
    <w:rPr>
      <w:rFonts w:hint="eastAsia" w:ascii="宋体" w:hAnsi="宋体" w:eastAsia="宋体" w:cs="宋体"/>
      <w:color w:val="000000"/>
      <w:sz w:val="21"/>
      <w:szCs w:val="21"/>
      <w:u w:val="none"/>
      <w:vertAlign w:val="subscript"/>
    </w:rPr>
  </w:style>
  <w:style w:type="paragraph" w:customStyle="1" w:styleId="447">
    <w:name w:val="Table Text"/>
    <w:basedOn w:val="1"/>
    <w:semiHidden/>
    <w:qFormat/>
    <w:uiPriority w:val="0"/>
    <w:rPr>
      <w:rFonts w:ascii="宋体" w:hAnsi="宋体" w:eastAsia="宋体" w:cs="宋体"/>
      <w:sz w:val="24"/>
      <w:szCs w:val="24"/>
      <w:lang w:val="en-US" w:eastAsia="en-US" w:bidi="ar-SA"/>
    </w:rPr>
  </w:style>
  <w:style w:type="paragraph" w:customStyle="1" w:styleId="448">
    <w:name w:val="标题后正文"/>
    <w:basedOn w:val="1"/>
    <w:qFormat/>
    <w:uiPriority w:val="0"/>
    <w:pPr>
      <w:adjustRightInd w:val="0"/>
      <w:spacing w:line="360" w:lineRule="auto"/>
      <w:ind w:firstLine="200" w:firstLineChars="200"/>
      <w:textAlignment w:val="baseline"/>
    </w:pPr>
    <w:rPr>
      <w:rFonts w:ascii="Arial" w:hAnsi="Arial"/>
      <w:snapToGrid w:val="0"/>
      <w:kern w:val="28"/>
      <w:szCs w:val="20"/>
    </w:rPr>
  </w:style>
  <w:style w:type="paragraph" w:customStyle="1" w:styleId="449">
    <w:name w:val="表头文字"/>
    <w:basedOn w:val="1"/>
    <w:next w:val="1"/>
    <w:qFormat/>
    <w:uiPriority w:val="0"/>
    <w:pPr>
      <w:spacing w:line="240" w:lineRule="atLeast"/>
      <w:jc w:val="center"/>
    </w:pPr>
    <w:rPr>
      <w:position w:val="-10"/>
      <w:sz w:val="24"/>
      <w:szCs w:val="22"/>
    </w:rPr>
  </w:style>
  <w:style w:type="paragraph" w:customStyle="1" w:styleId="450">
    <w:name w:val="环评 表格内容"/>
    <w:basedOn w:val="1"/>
    <w:qFormat/>
    <w:uiPriority w:val="0"/>
    <w:pPr>
      <w:spacing w:line="240" w:lineRule="auto"/>
      <w:ind w:firstLine="0" w:firstLineChars="0"/>
      <w:jc w:val="center"/>
    </w:pPr>
    <w:rPr>
      <w:rFonts w:ascii="Times New Roman" w:hAnsi="Times New Roman" w:eastAsia="宋体" w:cs="Times New Roman"/>
      <w:sz w:val="21"/>
      <w:szCs w:val="21"/>
    </w:rPr>
  </w:style>
  <w:style w:type="paragraph" w:customStyle="1" w:styleId="451">
    <w:name w:val="A环评表格"/>
    <w:basedOn w:val="1"/>
    <w:qFormat/>
    <w:uiPriority w:val="0"/>
    <w:pPr>
      <w:adjustRightInd w:val="0"/>
      <w:snapToGrid w:val="0"/>
      <w:spacing w:line="240" w:lineRule="auto"/>
      <w:ind w:firstLine="0" w:firstLineChars="0"/>
      <w:jc w:val="center"/>
    </w:pPr>
    <w:rPr>
      <w:rFonts w:hint="eastAsia"/>
      <w:bCs/>
      <w:sz w:val="21"/>
      <w:szCs w:val="21"/>
      <w:lang w:val="en-GB"/>
    </w:rPr>
  </w:style>
  <w:style w:type="paragraph" w:customStyle="1" w:styleId="452">
    <w:name w:val="正式文本"/>
    <w:basedOn w:val="1"/>
    <w:qFormat/>
    <w:uiPriority w:val="0"/>
    <w:pPr>
      <w:adjustRightInd w:val="0"/>
      <w:snapToGrid w:val="0"/>
      <w:spacing w:line="360" w:lineRule="auto"/>
      <w:ind w:firstLine="420" w:firstLineChars="200"/>
      <w:jc w:val="left"/>
    </w:pPr>
    <w:rPr>
      <w:bCs/>
      <w:szCs w:val="21"/>
    </w:rPr>
  </w:style>
  <w:style w:type="paragraph" w:customStyle="1" w:styleId="453">
    <w:name w:val="表格、图片标题"/>
    <w:basedOn w:val="41"/>
    <w:qFormat/>
    <w:uiPriority w:val="0"/>
    <w:pPr>
      <w:ind w:leftChars="0" w:firstLine="0" w:firstLineChars="0"/>
      <w:jc w:val="center"/>
    </w:pPr>
    <w:rPr>
      <w:b/>
    </w:rPr>
  </w:style>
  <w:style w:type="paragraph" w:customStyle="1" w:styleId="454">
    <w:name w:val="引用1"/>
    <w:basedOn w:val="1"/>
    <w:next w:val="1"/>
    <w:qFormat/>
    <w:uiPriority w:val="0"/>
    <w:pPr>
      <w:widowControl/>
      <w:spacing w:line="360" w:lineRule="exact"/>
      <w:jc w:val="center"/>
    </w:pPr>
    <w:rPr>
      <w:iCs/>
      <w:color w:val="000000"/>
      <w:szCs w:val="21"/>
    </w:rPr>
  </w:style>
  <w:style w:type="paragraph" w:customStyle="1" w:styleId="455">
    <w:name w:val="表中"/>
    <w:qFormat/>
    <w:uiPriority w:val="0"/>
    <w:pPr>
      <w:spacing w:line="280" w:lineRule="exact"/>
      <w:jc w:val="center"/>
    </w:pPr>
    <w:rPr>
      <w:rFonts w:ascii="Times New Roman" w:hAnsi="Times New Roman" w:eastAsia="宋体" w:cs="Times New Roman"/>
      <w:kern w:val="44"/>
      <w:sz w:val="18"/>
      <w:lang w:val="en-US" w:eastAsia="zh-CN" w:bidi="ar-SA"/>
    </w:rPr>
  </w:style>
  <w:style w:type="paragraph" w:customStyle="1" w:styleId="456">
    <w:name w:val="111正文"/>
    <w:basedOn w:val="1"/>
    <w:qFormat/>
    <w:uiPriority w:val="0"/>
    <w:pPr>
      <w:tabs>
        <w:tab w:val="left" w:pos="600"/>
      </w:tabs>
      <w:spacing w:line="360" w:lineRule="auto"/>
      <w:ind w:firstLine="200" w:firstLineChars="200"/>
    </w:pPr>
    <w:rPr>
      <w:sz w:val="24"/>
    </w:rPr>
  </w:style>
  <w:style w:type="paragraph" w:customStyle="1" w:styleId="457">
    <w:name w:val="正文文本，表格"/>
    <w:basedOn w:val="1"/>
    <w:qFormat/>
    <w:uiPriority w:val="0"/>
    <w:pPr>
      <w:jc w:val="center"/>
    </w:pPr>
    <w:rPr>
      <w:szCs w:val="21"/>
    </w:rPr>
  </w:style>
  <w:style w:type="paragraph" w:customStyle="1" w:styleId="458">
    <w:name w:val="1 Char Char Char Char"/>
    <w:basedOn w:val="1"/>
    <w:qFormat/>
    <w:uiPriority w:val="0"/>
  </w:style>
  <w:style w:type="paragraph" w:customStyle="1" w:styleId="459">
    <w:name w:val="！ 正文"/>
    <w:basedOn w:val="1"/>
    <w:qFormat/>
    <w:uiPriority w:val="0"/>
    <w:pPr>
      <w:adjustRightInd w:val="0"/>
      <w:snapToGrid w:val="0"/>
      <w:spacing w:line="360" w:lineRule="auto"/>
      <w:ind w:firstLine="200" w:firstLineChars="200"/>
    </w:pPr>
    <w:rPr>
      <w:sz w:val="24"/>
    </w:rPr>
  </w:style>
  <w:style w:type="paragraph" w:customStyle="1" w:styleId="460">
    <w:name w:val="表格内容--中祥"/>
    <w:basedOn w:val="1"/>
    <w:qFormat/>
    <w:uiPriority w:val="0"/>
    <w:pPr>
      <w:jc w:val="center"/>
    </w:pPr>
    <w:rPr>
      <w:kern w:val="0"/>
      <w:szCs w:val="21"/>
    </w:rPr>
  </w:style>
  <w:style w:type="paragraph" w:customStyle="1" w:styleId="461">
    <w:name w:val="小标题"/>
    <w:basedOn w:val="160"/>
    <w:next w:val="462"/>
    <w:qFormat/>
    <w:uiPriority w:val="0"/>
    <w:pPr>
      <w:numPr>
        <w:ilvl w:val="0"/>
        <w:numId w:val="2"/>
      </w:numPr>
      <w:ind w:firstLineChars="0"/>
    </w:pPr>
    <w:rPr>
      <w:rFonts w:cs="Times New Roman"/>
      <w:b/>
    </w:rPr>
  </w:style>
  <w:style w:type="paragraph" w:customStyle="1" w:styleId="462">
    <w:name w:val="正文（改）"/>
    <w:basedOn w:val="1"/>
    <w:qFormat/>
    <w:uiPriority w:val="0"/>
    <w:pPr>
      <w:tabs>
        <w:tab w:val="left" w:pos="720"/>
      </w:tabs>
      <w:spacing w:line="360" w:lineRule="auto"/>
      <w:ind w:firstLine="480" w:firstLineChars="200"/>
    </w:pPr>
    <w:rPr>
      <w:sz w:val="24"/>
    </w:rPr>
  </w:style>
  <w:style w:type="paragraph" w:customStyle="1" w:styleId="463">
    <w:name w:val="表格内容Q"/>
    <w:basedOn w:val="1"/>
    <w:qFormat/>
    <w:uiPriority w:val="0"/>
    <w:pPr>
      <w:jc w:val="center"/>
    </w:pPr>
    <w:rPr>
      <w:rFonts w:ascii="Times New Roman" w:hAnsi="Times New Roman" w:eastAsia="宋体"/>
      <w:szCs w:val="21"/>
    </w:rPr>
  </w:style>
  <w:style w:type="paragraph" w:customStyle="1" w:styleId="464">
    <w:name w:val="1统一表样式"/>
    <w:basedOn w:val="1"/>
    <w:qFormat/>
    <w:uiPriority w:val="0"/>
    <w:pPr>
      <w:jc w:val="center"/>
    </w:pPr>
    <w:rPr>
      <w:rFonts w:cs="宋体"/>
      <w:szCs w:val="21"/>
    </w:rPr>
  </w:style>
  <w:style w:type="paragraph" w:customStyle="1" w:styleId="465">
    <w:name w:val="正文-Jin"/>
    <w:basedOn w:val="1"/>
    <w:qFormat/>
    <w:uiPriority w:val="0"/>
    <w:pPr>
      <w:spacing w:line="480" w:lineRule="exact"/>
      <w:ind w:firstLine="482"/>
    </w:pPr>
    <w:rPr>
      <w:sz w:val="24"/>
    </w:rPr>
  </w:style>
  <w:style w:type="character" w:customStyle="1" w:styleId="466">
    <w:name w:val="font71"/>
    <w:basedOn w:val="54"/>
    <w:qFormat/>
    <w:uiPriority w:val="0"/>
    <w:rPr>
      <w:rFonts w:hint="default" w:ascii="Times New Roman" w:hAnsi="Times New Roman" w:cs="Times New Roman"/>
      <w:color w:val="000000"/>
      <w:sz w:val="18"/>
      <w:szCs w:val="18"/>
      <w:u w:val="none"/>
    </w:rPr>
  </w:style>
  <w:style w:type="paragraph" w:customStyle="1" w:styleId="467">
    <w:name w:val="小表格"/>
    <w:basedOn w:val="1"/>
    <w:next w:val="1"/>
    <w:qFormat/>
    <w:uiPriority w:val="0"/>
    <w:pPr>
      <w:spacing w:line="240" w:lineRule="auto"/>
      <w:ind w:firstLine="0" w:firstLineChars="0"/>
      <w:jc w:val="center"/>
    </w:pPr>
    <w:rPr>
      <w:kern w:val="0"/>
      <w:sz w:val="21"/>
      <w:szCs w:val="21"/>
    </w:rPr>
  </w:style>
  <w:style w:type="paragraph" w:customStyle="1" w:styleId="468">
    <w:name w:val="表格左五"/>
    <w:basedOn w:val="1"/>
    <w:qFormat/>
    <w:uiPriority w:val="0"/>
    <w:pPr>
      <w:spacing w:line="280" w:lineRule="exact"/>
      <w:ind w:firstLine="0" w:firstLineChars="0"/>
      <w:jc w:val="center"/>
    </w:pPr>
    <w:rPr>
      <w:kern w:val="0"/>
      <w:sz w:val="20"/>
      <w:szCs w:val="24"/>
    </w:rPr>
  </w:style>
  <w:style w:type="character" w:customStyle="1" w:styleId="469">
    <w:name w:val="hxtj3"/>
    <w:basedOn w:val="54"/>
    <w:qFormat/>
    <w:uiPriority w:val="0"/>
    <w:rPr>
      <w:color w:val="000000"/>
      <w:sz w:val="18"/>
      <w:u w:val="none"/>
    </w:rPr>
  </w:style>
  <w:style w:type="paragraph" w:customStyle="1" w:styleId="470">
    <w:name w:val="4正文 Char"/>
    <w:basedOn w:val="1"/>
    <w:qFormat/>
    <w:uiPriority w:val="0"/>
    <w:pPr>
      <w:spacing w:line="360" w:lineRule="auto"/>
      <w:ind w:firstLine="480" w:firstLineChars="200"/>
    </w:pPr>
    <w:rPr>
      <w:color w:val="auto"/>
      <w:sz w:val="24"/>
      <w:szCs w:val="20"/>
      <w:lang w:val="zh-CN" w:eastAsia="zh-CN"/>
    </w:rPr>
  </w:style>
  <w:style w:type="paragraph" w:customStyle="1" w:styleId="471">
    <w:name w:val="文本"/>
    <w:basedOn w:val="1"/>
    <w:qFormat/>
    <w:uiPriority w:val="0"/>
    <w:pPr>
      <w:adjustRightInd w:val="0"/>
      <w:snapToGrid w:val="0"/>
      <w:spacing w:line="360" w:lineRule="auto"/>
      <w:ind w:firstLine="1446" w:firstLineChars="200"/>
    </w:pPr>
    <w:rPr>
      <w:rFonts w:ascii="Times New Roman" w:hAnsi="Times New Roman" w:eastAsia="宋体"/>
      <w:sz w:val="24"/>
    </w:rPr>
  </w:style>
  <w:style w:type="character" w:customStyle="1" w:styleId="472">
    <w:name w:val="font41"/>
    <w:basedOn w:val="54"/>
    <w:qFormat/>
    <w:uiPriority w:val="0"/>
    <w:rPr>
      <w:rFonts w:hint="eastAsia" w:ascii="宋体" w:hAnsi="宋体" w:eastAsia="宋体" w:cs="宋体"/>
      <w:i/>
      <w:iCs/>
      <w:color w:val="000000"/>
      <w:sz w:val="21"/>
      <w:szCs w:val="21"/>
      <w:u w:val="none"/>
    </w:rPr>
  </w:style>
  <w:style w:type="character" w:customStyle="1" w:styleId="473">
    <w:name w:val="font51"/>
    <w:basedOn w:val="54"/>
    <w:qFormat/>
    <w:uiPriority w:val="0"/>
    <w:rPr>
      <w:rFonts w:hint="eastAsia" w:ascii="宋体" w:hAnsi="宋体" w:eastAsia="宋体" w:cs="宋体"/>
      <w:color w:val="000000"/>
      <w:sz w:val="21"/>
      <w:szCs w:val="21"/>
      <w:u w:val="none"/>
    </w:rPr>
  </w:style>
  <w:style w:type="character" w:customStyle="1" w:styleId="474">
    <w:name w:val="Table Paragraph Char"/>
    <w:link w:val="65"/>
    <w:qFormat/>
    <w:uiPriority w:val="1"/>
    <w:rPr>
      <w:rFonts w:ascii="+西文正文" w:hAnsi="+西文正文" w:eastAsia="+中文正文" w:cs="Times New Roman"/>
      <w:kern w:val="0"/>
      <w:sz w:val="22"/>
      <w:szCs w:val="22"/>
      <w:lang w:eastAsia="en-US"/>
    </w:rPr>
  </w:style>
  <w:style w:type="paragraph" w:customStyle="1" w:styleId="475">
    <w:name w:val="D正文"/>
    <w:basedOn w:val="1"/>
    <w:qFormat/>
    <w:uiPriority w:val="0"/>
    <w:pPr>
      <w:spacing w:line="240" w:lineRule="auto"/>
      <w:ind w:firstLineChars="200"/>
    </w:pPr>
    <w:rPr>
      <w:rFonts w:ascii="宋体" w:hAnsi="宋体" w:cs="宋体"/>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5" Type="http://schemas.openxmlformats.org/officeDocument/2006/relationships/fontTable" Target="fontTable.xml"/><Relationship Id="rId44" Type="http://schemas.microsoft.com/office/2006/relationships/keyMapCustomizations" Target="customizations.xml"/><Relationship Id="rId43" Type="http://schemas.openxmlformats.org/officeDocument/2006/relationships/numbering" Target="numbering.xml"/><Relationship Id="rId42" Type="http://schemas.openxmlformats.org/officeDocument/2006/relationships/customXml" Target="../customXml/item1.xml"/><Relationship Id="rId41" Type="http://schemas.openxmlformats.org/officeDocument/2006/relationships/image" Target="media/image22.png"/><Relationship Id="rId40" Type="http://schemas.openxmlformats.org/officeDocument/2006/relationships/image" Target="media/image21.jpeg"/><Relationship Id="rId4" Type="http://schemas.openxmlformats.org/officeDocument/2006/relationships/header" Target="header1.xml"/><Relationship Id="rId39" Type="http://schemas.openxmlformats.org/officeDocument/2006/relationships/image" Target="media/image20.jpeg"/><Relationship Id="rId38" Type="http://schemas.openxmlformats.org/officeDocument/2006/relationships/image" Target="media/image19.jpeg"/><Relationship Id="rId37" Type="http://schemas.openxmlformats.org/officeDocument/2006/relationships/image" Target="media/image18.jpeg"/><Relationship Id="rId36" Type="http://schemas.openxmlformats.org/officeDocument/2006/relationships/image" Target="media/image17.jpeg"/><Relationship Id="rId35" Type="http://schemas.openxmlformats.org/officeDocument/2006/relationships/image" Target="media/image16.jpeg"/><Relationship Id="rId34" Type="http://schemas.openxmlformats.org/officeDocument/2006/relationships/image" Target="media/image15.jpeg"/><Relationship Id="rId33" Type="http://schemas.openxmlformats.org/officeDocument/2006/relationships/image" Target="media/image14.jpeg"/><Relationship Id="rId32" Type="http://schemas.openxmlformats.org/officeDocument/2006/relationships/image" Target="media/image13.png"/><Relationship Id="rId31" Type="http://schemas.openxmlformats.org/officeDocument/2006/relationships/image" Target="media/image12.png"/><Relationship Id="rId30" Type="http://schemas.openxmlformats.org/officeDocument/2006/relationships/image" Target="media/image11.png"/><Relationship Id="rId3" Type="http://schemas.openxmlformats.org/officeDocument/2006/relationships/footer" Target="footer1.xml"/><Relationship Id="rId29" Type="http://schemas.openxmlformats.org/officeDocument/2006/relationships/image" Target="media/image10.png"/><Relationship Id="rId28" Type="http://schemas.openxmlformats.org/officeDocument/2006/relationships/image" Target="media/image9.png"/><Relationship Id="rId27" Type="http://schemas.openxmlformats.org/officeDocument/2006/relationships/image" Target="media/image8.png"/><Relationship Id="rId26" Type="http://schemas.openxmlformats.org/officeDocument/2006/relationships/image" Target="media/image7.png"/><Relationship Id="rId25" Type="http://schemas.openxmlformats.org/officeDocument/2006/relationships/image" Target="media/image6.png"/><Relationship Id="rId24" Type="http://schemas.openxmlformats.org/officeDocument/2006/relationships/image" Target="media/image5.png"/><Relationship Id="rId23" Type="http://schemas.openxmlformats.org/officeDocument/2006/relationships/image" Target="media/image4.png"/><Relationship Id="rId22" Type="http://schemas.openxmlformats.org/officeDocument/2006/relationships/image" Target="media/image3.png"/><Relationship Id="rId21" Type="http://schemas.openxmlformats.org/officeDocument/2006/relationships/image" Target="media/image2.png"/><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7.xml"/><Relationship Id="rId17" Type="http://schemas.openxmlformats.org/officeDocument/2006/relationships/header" Target="header9.xml"/><Relationship Id="rId16" Type="http://schemas.openxmlformats.org/officeDocument/2006/relationships/footer" Target="footer6.xml"/><Relationship Id="rId15" Type="http://schemas.openxmlformats.org/officeDocument/2006/relationships/header" Target="header8.xml"/><Relationship Id="rId14" Type="http://schemas.openxmlformats.org/officeDocument/2006/relationships/footer" Target="footer5.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9226" textRotate="1"/>
    <customShpInfo spid="_x0000_s9225" textRotate="1"/>
    <customShpInfo spid="_x0000_s9222" textRotate="1"/>
    <customShpInfo spid="_x0000_s9223" textRotate="1"/>
    <customShpInfo spid="_x0000_s9227" textRotate="1"/>
    <customShpInfo spid="_x0000_s11264" textRotate="1"/>
    <customShpInfo spid="_x0000_s11265" textRotate="1"/>
    <customShpInfo spid="_x0000_s10374"/>
    <customShpInfo spid="_x0000_s10386"/>
    <customShpInfo spid="_x0000_s10399"/>
    <customShpInfo spid="_x0000_s10385"/>
    <customShpInfo spid="_x0000_s10319"/>
    <customShpInfo spid="_x0000_s10355"/>
    <customShpInfo spid="_x0000_s10398"/>
    <customShpInfo spid="_x0000_s10320"/>
    <customShpInfo spid="_x0000_s10349"/>
    <customShpInfo spid="_x0000_s10350"/>
    <customShpInfo spid="_x0000_s10450"/>
    <customShpInfo spid="_x0000_s10348"/>
    <customShpInfo spid="_x0000_s8698"/>
    <customShpInfo spid="_x0000_s8699"/>
    <customShpInfo spid="_x0000_s8700"/>
    <customShpInfo spid="_x0000_s86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71</Pages>
  <Words>7006</Words>
  <Characters>7454</Characters>
  <Lines>460</Lines>
  <Paragraphs>129</Paragraphs>
  <TotalTime>8</TotalTime>
  <ScaleCrop>false</ScaleCrop>
  <LinksUpToDate>false</LinksUpToDate>
  <CharactersWithSpaces>7634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2022-11-02T15:34:00Z</dcterms:created>
  <dc:creator>随风</dc:creator>
  <cp:lastModifiedBy>施翔志</cp:lastModifiedBy>
  <cp:lastPrinted>2023-01-04T08:23:00Z</cp:lastPrinted>
  <dcterms:modified xsi:type="dcterms:W3CDTF">2026-07-25T22:28:07Z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FF46007E017F4DAE8BDEB5AC77B6E137_13</vt:lpwstr>
  </property>
  <property fmtid="{D5CDD505-2E9C-101B-9397-08002B2CF9AE}" pid="4" name="KSOTemplateDocerSaveRecord">
    <vt:lpwstr>eyJoZGlkIjoiNjExNjQ1N2M3NWI3MDI1N2NlYzQyOTEyNjhjOTRmZGMiLCJ1c2VySWQiOiIyNjc0NTIzNTMifQ==</vt:lpwstr>
  </property>
</Properties>
</file>