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78976E">
      <w:pPr>
        <w:bidi w:val="0"/>
        <w:rPr>
          <w:rFonts w:hint="eastAsia"/>
          <w:color w:val="0000FF"/>
        </w:rPr>
      </w:pPr>
    </w:p>
    <w:p w14:paraId="631D1C73">
      <w:pPr>
        <w:bidi w:val="0"/>
        <w:rPr>
          <w:color w:val="0000FF"/>
        </w:rPr>
      </w:pPr>
    </w:p>
    <w:p w14:paraId="17D33FFA">
      <w:pPr>
        <w:bidi w:val="0"/>
        <w:rPr>
          <w:color w:val="0000FF"/>
        </w:rPr>
      </w:pPr>
    </w:p>
    <w:p w14:paraId="794F3B09">
      <w:pPr>
        <w:bidi w:val="0"/>
        <w:rPr>
          <w:color w:val="0000FF"/>
        </w:rPr>
      </w:pPr>
    </w:p>
    <w:p w14:paraId="4E4D656A">
      <w:pPr>
        <w:bidi w:val="0"/>
        <w:rPr>
          <w:color w:val="0000FF"/>
        </w:rPr>
      </w:pPr>
    </w:p>
    <w:p w14:paraId="6482E808">
      <w:pPr>
        <w:bidi w:val="0"/>
        <w:ind w:left="0" w:leftChars="0" w:firstLine="0" w:firstLineChars="0"/>
        <w:jc w:val="cente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t>建设项目环境影响报告表</w:t>
      </w:r>
    </w:p>
    <w:p w14:paraId="37B1032B">
      <w:pPr>
        <w:adjustRightInd w:val="0"/>
        <w:snapToGrid w:val="0"/>
        <w:spacing w:before="192" w:beforeLines="80"/>
        <w:ind w:left="0" w:leftChars="0" w:firstLine="0" w:firstLineChars="0"/>
        <w:jc w:val="center"/>
        <w:rPr>
          <w:rFonts w:eastAsia="楷体"/>
          <w:bCs/>
          <w:color w:val="auto"/>
          <w:sz w:val="48"/>
          <w:szCs w:val="48"/>
        </w:rPr>
      </w:pPr>
      <w:r>
        <w:rPr>
          <w:rFonts w:eastAsia="楷体"/>
          <w:bCs/>
          <w:color w:val="auto"/>
          <w:sz w:val="48"/>
          <w:szCs w:val="48"/>
        </w:rPr>
        <w:t>（污染影响类）</w:t>
      </w:r>
    </w:p>
    <w:p w14:paraId="339639FC">
      <w:pPr>
        <w:bidi w:val="0"/>
        <w:rPr>
          <w:color w:val="0000FF"/>
        </w:rPr>
      </w:pPr>
    </w:p>
    <w:p w14:paraId="3CF3C10C">
      <w:pPr>
        <w:bidi w:val="0"/>
        <w:rPr>
          <w:color w:val="0000FF"/>
        </w:rPr>
      </w:pPr>
    </w:p>
    <w:p w14:paraId="12F28A89">
      <w:pPr>
        <w:bidi w:val="0"/>
        <w:rPr>
          <w:color w:val="0000FF"/>
        </w:rPr>
      </w:pPr>
    </w:p>
    <w:p w14:paraId="793152D4">
      <w:pPr>
        <w:bidi w:val="0"/>
        <w:rPr>
          <w:color w:val="0000FF"/>
        </w:rPr>
      </w:pPr>
    </w:p>
    <w:p w14:paraId="56052A8F">
      <w:pPr>
        <w:bidi w:val="0"/>
        <w:rPr>
          <w:color w:val="0000FF"/>
        </w:rPr>
      </w:pPr>
    </w:p>
    <w:p w14:paraId="61A0F09F">
      <w:pPr>
        <w:bidi w:val="0"/>
        <w:rPr>
          <w:color w:val="0000FF"/>
        </w:rPr>
      </w:pPr>
    </w:p>
    <w:p w14:paraId="739A256F">
      <w:pPr>
        <w:bidi w:val="0"/>
        <w:rPr>
          <w:color w:val="0000FF"/>
        </w:rPr>
      </w:pPr>
    </w:p>
    <w:p w14:paraId="4DFB7091">
      <w:pPr>
        <w:bidi w:val="0"/>
        <w:rPr>
          <w:color w:val="0000FF"/>
        </w:rPr>
      </w:pPr>
    </w:p>
    <w:p w14:paraId="295288B9">
      <w:pPr>
        <w:bidi w:val="0"/>
        <w:rPr>
          <w:color w:val="0000FF"/>
        </w:rPr>
      </w:pPr>
    </w:p>
    <w:tbl>
      <w:tblPr>
        <w:tblStyle w:val="12"/>
        <w:tblW w:w="54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8"/>
        <w:gridCol w:w="6560"/>
      </w:tblGrid>
      <w:tr w14:paraId="3319B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72" w:type="pct"/>
            <w:tcBorders>
              <w:top w:val="nil"/>
              <w:left w:val="nil"/>
              <w:bottom w:val="nil"/>
              <w:right w:val="nil"/>
            </w:tcBorders>
            <w:noWrap w:val="0"/>
            <w:vAlign w:val="bottom"/>
          </w:tcPr>
          <w:p w14:paraId="6FF20D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right"/>
              <w:textAlignment w:val="auto"/>
              <w:rPr>
                <w:rFonts w:eastAsia="仿宋"/>
                <w:color w:val="auto"/>
                <w:sz w:val="36"/>
                <w:szCs w:val="36"/>
              </w:rPr>
            </w:pPr>
            <w:bookmarkStart w:id="0" w:name="_Hlk57884087"/>
            <w:r>
              <w:rPr>
                <w:rFonts w:eastAsia="仿宋"/>
                <w:color w:val="auto"/>
                <w:sz w:val="36"/>
                <w:szCs w:val="36"/>
              </w:rPr>
              <w:t>项目名称：</w:t>
            </w:r>
          </w:p>
        </w:tc>
        <w:tc>
          <w:tcPr>
            <w:tcW w:w="3527" w:type="pct"/>
            <w:tcBorders>
              <w:top w:val="nil"/>
              <w:left w:val="nil"/>
              <w:bottom w:val="nil"/>
              <w:right w:val="nil"/>
            </w:tcBorders>
            <w:noWrap w:val="0"/>
            <w:vAlign w:val="bottom"/>
          </w:tcPr>
          <w:p w14:paraId="4E3C95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仿宋"/>
                <w:color w:val="auto"/>
                <w:sz w:val="36"/>
                <w:szCs w:val="36"/>
                <w:u w:val="none"/>
                <w:lang w:eastAsia="zh-CN"/>
              </w:rPr>
            </w:pPr>
            <w:r>
              <w:rPr>
                <w:rFonts w:hint="eastAsia" w:eastAsia="仿宋"/>
                <w:color w:val="auto"/>
                <w:sz w:val="36"/>
                <w:szCs w:val="36"/>
                <w:u w:val="single"/>
              </w:rPr>
              <w:t>圣大管业年产一万吨管材管件生产项目</w:t>
            </w:r>
            <w:r>
              <w:rPr>
                <w:rFonts w:hint="eastAsia" w:eastAsia="仿宋"/>
                <w:color w:val="auto"/>
                <w:sz w:val="36"/>
                <w:szCs w:val="36"/>
                <w:u w:val="single"/>
                <w:lang w:eastAsia="zh-CN"/>
              </w:rPr>
              <w:t>（</w:t>
            </w:r>
            <w:r>
              <w:rPr>
                <w:rFonts w:hint="eastAsia" w:eastAsia="仿宋"/>
                <w:color w:val="auto"/>
                <w:sz w:val="36"/>
                <w:szCs w:val="36"/>
                <w:u w:val="single"/>
                <w:lang w:val="en-US" w:eastAsia="zh-CN"/>
              </w:rPr>
              <w:t>一期</w:t>
            </w:r>
            <w:r>
              <w:rPr>
                <w:rFonts w:hint="eastAsia" w:eastAsia="仿宋"/>
                <w:color w:val="auto"/>
                <w:sz w:val="36"/>
                <w:szCs w:val="36"/>
                <w:u w:val="single"/>
                <w:lang w:eastAsia="zh-CN"/>
              </w:rPr>
              <w:t>）</w:t>
            </w:r>
          </w:p>
        </w:tc>
      </w:tr>
      <w:tr w14:paraId="3679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472" w:type="pct"/>
            <w:tcBorders>
              <w:top w:val="nil"/>
              <w:left w:val="nil"/>
              <w:bottom w:val="nil"/>
              <w:right w:val="nil"/>
            </w:tcBorders>
            <w:noWrap w:val="0"/>
            <w:vAlign w:val="bottom"/>
          </w:tcPr>
          <w:p w14:paraId="738D3C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right"/>
              <w:textAlignment w:val="auto"/>
              <w:rPr>
                <w:rFonts w:eastAsia="仿宋"/>
                <w:color w:val="auto"/>
                <w:sz w:val="36"/>
                <w:szCs w:val="36"/>
              </w:rPr>
            </w:pPr>
            <w:r>
              <w:rPr>
                <w:rFonts w:eastAsia="仿宋"/>
                <w:color w:val="auto"/>
                <w:sz w:val="36"/>
                <w:szCs w:val="36"/>
              </w:rPr>
              <w:t>建设单位：</w:t>
            </w:r>
          </w:p>
        </w:tc>
        <w:tc>
          <w:tcPr>
            <w:tcW w:w="3527" w:type="pct"/>
            <w:tcBorders>
              <w:top w:val="nil"/>
              <w:left w:val="nil"/>
              <w:bottom w:val="nil"/>
              <w:right w:val="nil"/>
            </w:tcBorders>
            <w:noWrap w:val="0"/>
            <w:vAlign w:val="bottom"/>
          </w:tcPr>
          <w:p w14:paraId="72B8F1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eastAsia="仿宋"/>
                <w:color w:val="auto"/>
                <w:sz w:val="36"/>
                <w:szCs w:val="36"/>
                <w:u w:val="none"/>
              </w:rPr>
            </w:pPr>
            <w:r>
              <w:rPr>
                <w:rFonts w:hint="eastAsia" w:eastAsia="仿宋"/>
                <w:color w:val="auto"/>
                <w:sz w:val="36"/>
                <w:szCs w:val="36"/>
                <w:u w:val="single"/>
              </w:rPr>
              <w:t>淮南圣大管业有限公司</w:t>
            </w:r>
          </w:p>
        </w:tc>
      </w:tr>
      <w:tr w14:paraId="771A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472" w:type="pct"/>
            <w:tcBorders>
              <w:top w:val="nil"/>
              <w:left w:val="nil"/>
              <w:bottom w:val="nil"/>
              <w:right w:val="nil"/>
            </w:tcBorders>
            <w:noWrap w:val="0"/>
            <w:vAlign w:val="bottom"/>
          </w:tcPr>
          <w:p w14:paraId="09CEB1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right"/>
              <w:textAlignment w:val="auto"/>
              <w:rPr>
                <w:rFonts w:eastAsia="仿宋"/>
                <w:color w:val="auto"/>
                <w:sz w:val="36"/>
                <w:szCs w:val="36"/>
              </w:rPr>
            </w:pPr>
            <w:r>
              <w:rPr>
                <w:rFonts w:eastAsia="仿宋"/>
                <w:color w:val="auto"/>
                <w:sz w:val="36"/>
                <w:szCs w:val="36"/>
              </w:rPr>
              <w:t>编制日期：</w:t>
            </w:r>
          </w:p>
        </w:tc>
        <w:tc>
          <w:tcPr>
            <w:tcW w:w="3527" w:type="pct"/>
            <w:tcBorders>
              <w:top w:val="nil"/>
              <w:left w:val="nil"/>
              <w:bottom w:val="nil"/>
              <w:right w:val="nil"/>
            </w:tcBorders>
            <w:noWrap w:val="0"/>
            <w:vAlign w:val="bottom"/>
          </w:tcPr>
          <w:p w14:paraId="1E153D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eastAsia="仿宋"/>
                <w:color w:val="auto"/>
                <w:sz w:val="32"/>
                <w:szCs w:val="32"/>
                <w:u w:val="none"/>
              </w:rPr>
            </w:pPr>
            <w:bookmarkStart w:id="1" w:name="_Toc36872067"/>
            <w:r>
              <w:rPr>
                <w:rFonts w:eastAsia="仿宋"/>
                <w:color w:val="auto"/>
                <w:sz w:val="32"/>
                <w:szCs w:val="32"/>
                <w:u w:val="single"/>
              </w:rPr>
              <w:t>202</w:t>
            </w:r>
            <w:r>
              <w:rPr>
                <w:rFonts w:hint="eastAsia" w:eastAsia="仿宋"/>
                <w:color w:val="auto"/>
                <w:sz w:val="32"/>
                <w:szCs w:val="32"/>
                <w:u w:val="single"/>
                <w:lang w:val="en-US" w:eastAsia="zh-CN"/>
              </w:rPr>
              <w:t>6</w:t>
            </w:r>
            <w:r>
              <w:rPr>
                <w:rFonts w:eastAsia="仿宋"/>
                <w:color w:val="auto"/>
                <w:sz w:val="32"/>
                <w:szCs w:val="32"/>
                <w:u w:val="single"/>
              </w:rPr>
              <w:t>年</w:t>
            </w:r>
            <w:bookmarkEnd w:id="1"/>
            <w:r>
              <w:rPr>
                <w:rFonts w:hint="eastAsia" w:eastAsia="仿宋"/>
                <w:color w:val="auto"/>
                <w:sz w:val="32"/>
                <w:szCs w:val="32"/>
                <w:u w:val="single"/>
                <w:lang w:val="en-US" w:eastAsia="zh-CN"/>
              </w:rPr>
              <w:t>2</w:t>
            </w:r>
            <w:r>
              <w:rPr>
                <w:rFonts w:eastAsia="仿宋"/>
                <w:color w:val="auto"/>
                <w:sz w:val="32"/>
                <w:szCs w:val="32"/>
                <w:u w:val="single"/>
              </w:rPr>
              <w:t>月</w:t>
            </w:r>
          </w:p>
        </w:tc>
      </w:tr>
    </w:tbl>
    <w:p w14:paraId="1CFF2984">
      <w:pPr>
        <w:adjustRightInd w:val="0"/>
        <w:snapToGrid w:val="0"/>
        <w:spacing w:line="288" w:lineRule="auto"/>
        <w:ind w:firstLine="1040"/>
        <w:rPr>
          <w:rFonts w:eastAsia="仿宋"/>
          <w:color w:val="0000FF"/>
          <w:sz w:val="36"/>
          <w:szCs w:val="36"/>
          <w:u w:val="single"/>
        </w:rPr>
      </w:pPr>
    </w:p>
    <w:p w14:paraId="7E4B4A1E">
      <w:pPr>
        <w:rPr>
          <w:rFonts w:eastAsia="仿宋"/>
          <w:color w:val="0000FF"/>
          <w:sz w:val="36"/>
          <w:szCs w:val="36"/>
        </w:rPr>
      </w:pPr>
    </w:p>
    <w:p w14:paraId="47D01B52">
      <w:pPr>
        <w:rPr>
          <w:rFonts w:eastAsia="仿宋"/>
          <w:color w:val="0000FF"/>
          <w:sz w:val="36"/>
          <w:szCs w:val="36"/>
        </w:rPr>
      </w:pPr>
    </w:p>
    <w:p w14:paraId="39C18052">
      <w:pPr>
        <w:bidi w:val="0"/>
        <w:rPr>
          <w:color w:val="0000FF"/>
        </w:rPr>
      </w:pPr>
    </w:p>
    <w:bookmarkEnd w:id="0"/>
    <w:p w14:paraId="7ED4FA12">
      <w:pPr>
        <w:adjustRightInd w:val="0"/>
        <w:snapToGrid w:val="0"/>
        <w:spacing w:line="288" w:lineRule="auto"/>
        <w:ind w:left="0" w:leftChars="0" w:firstLine="0" w:firstLineChars="0"/>
        <w:jc w:val="center"/>
        <w:rPr>
          <w:rFonts w:eastAsia="楷体"/>
          <w:color w:val="auto"/>
          <w:sz w:val="36"/>
          <w:szCs w:val="36"/>
        </w:rPr>
      </w:pPr>
      <w:r>
        <w:rPr>
          <w:rFonts w:eastAsia="楷体"/>
          <w:color w:val="auto"/>
          <w:sz w:val="36"/>
          <w:szCs w:val="36"/>
        </w:rPr>
        <w:t>中华人民共和国生态环境部制</w:t>
      </w:r>
    </w:p>
    <w:p w14:paraId="7641FA27">
      <w:pPr>
        <w:adjustRightInd w:val="0"/>
        <w:snapToGrid w:val="0"/>
        <w:spacing w:line="288" w:lineRule="auto"/>
        <w:ind w:firstLine="1040"/>
        <w:rPr>
          <w:rFonts w:eastAsia="仿宋"/>
          <w:color w:val="0000FF"/>
          <w:sz w:val="36"/>
          <w:szCs w:val="36"/>
        </w:rPr>
        <w:sectPr>
          <w:footerReference r:id="rId5" w:type="default"/>
          <w:pgSz w:w="11906" w:h="16838"/>
          <w:pgMar w:top="1440" w:right="1800" w:bottom="1440" w:left="1800" w:header="851" w:footer="1077" w:gutter="0"/>
          <w:pgBorders>
            <w:top w:val="none" w:sz="0" w:space="0"/>
            <w:left w:val="none" w:sz="0" w:space="0"/>
            <w:bottom w:val="none" w:sz="0" w:space="0"/>
            <w:right w:val="none" w:sz="0" w:space="0"/>
          </w:pgBorders>
          <w:pgNumType w:start="1"/>
          <w:cols w:space="720" w:num="1"/>
          <w:docGrid w:linePitch="312" w:charSpace="0"/>
        </w:sectPr>
      </w:pPr>
    </w:p>
    <w:p w14:paraId="7BB863B4">
      <w:pPr>
        <w:pStyle w:val="3"/>
        <w:bidi w:val="0"/>
        <w:rPr>
          <w:color w:val="auto"/>
        </w:rPr>
      </w:pPr>
      <w:r>
        <w:rPr>
          <w:color w:val="auto"/>
        </w:rPr>
        <w:t>一、建设项目基本情况</w:t>
      </w:r>
    </w:p>
    <w:tbl>
      <w:tblPr>
        <w:tblStyle w:val="12"/>
        <w:tblW w:w="907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162"/>
        <w:gridCol w:w="2925"/>
        <w:gridCol w:w="1575"/>
        <w:gridCol w:w="3411"/>
      </w:tblGrid>
      <w:tr w14:paraId="5B3972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667B73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项目名称</w:t>
            </w:r>
          </w:p>
        </w:tc>
        <w:tc>
          <w:tcPr>
            <w:tcW w:w="7911" w:type="dxa"/>
            <w:gridSpan w:val="3"/>
            <w:noWrap w:val="0"/>
            <w:vAlign w:val="center"/>
          </w:tcPr>
          <w:p w14:paraId="3ADB20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Cs w:val="21"/>
                <w:lang w:eastAsia="zh-CN"/>
              </w:rPr>
            </w:pPr>
            <w:r>
              <w:rPr>
                <w:rFonts w:hint="eastAsia"/>
                <w:color w:val="auto"/>
                <w:szCs w:val="21"/>
              </w:rPr>
              <w:t>圣大管业年产一万吨管材管件生产项目</w:t>
            </w:r>
            <w:r>
              <w:rPr>
                <w:rFonts w:hint="eastAsia"/>
                <w:color w:val="auto"/>
                <w:szCs w:val="21"/>
                <w:lang w:eastAsia="zh-CN"/>
              </w:rPr>
              <w:t>（</w:t>
            </w:r>
            <w:r>
              <w:rPr>
                <w:rFonts w:hint="eastAsia"/>
                <w:color w:val="auto"/>
                <w:szCs w:val="21"/>
                <w:lang w:val="en-US" w:eastAsia="zh-CN"/>
              </w:rPr>
              <w:t>一期</w:t>
            </w:r>
            <w:r>
              <w:rPr>
                <w:rFonts w:hint="eastAsia"/>
                <w:color w:val="auto"/>
                <w:szCs w:val="21"/>
                <w:lang w:eastAsia="zh-CN"/>
              </w:rPr>
              <w:t>）</w:t>
            </w:r>
          </w:p>
        </w:tc>
      </w:tr>
      <w:tr w14:paraId="6AAA8A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0A5FF6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项目代码</w:t>
            </w:r>
          </w:p>
        </w:tc>
        <w:tc>
          <w:tcPr>
            <w:tcW w:w="7911" w:type="dxa"/>
            <w:gridSpan w:val="3"/>
            <w:noWrap w:val="0"/>
            <w:vAlign w:val="center"/>
          </w:tcPr>
          <w:p w14:paraId="15DE88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FF"/>
                <w:szCs w:val="21"/>
              </w:rPr>
            </w:pPr>
            <w:r>
              <w:rPr>
                <w:rFonts w:hint="eastAsia"/>
                <w:color w:val="auto"/>
                <w:szCs w:val="21"/>
                <w:lang w:val="en-US" w:eastAsia="zh-CN"/>
              </w:rPr>
              <w:t>2</w:t>
            </w:r>
            <w:r>
              <w:rPr>
                <w:rFonts w:hint="eastAsia"/>
                <w:color w:val="auto"/>
                <w:szCs w:val="21"/>
              </w:rPr>
              <w:t>601-340406-04-01-965787</w:t>
            </w:r>
          </w:p>
        </w:tc>
      </w:tr>
      <w:tr w14:paraId="42ED31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25AAB6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建设单位联系人</w:t>
            </w:r>
          </w:p>
        </w:tc>
        <w:tc>
          <w:tcPr>
            <w:tcW w:w="2925" w:type="dxa"/>
            <w:noWrap w:val="0"/>
            <w:vAlign w:val="center"/>
          </w:tcPr>
          <w:p w14:paraId="009302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FF"/>
                <w:szCs w:val="21"/>
                <w:lang w:val="en-US" w:eastAsia="zh-CN"/>
              </w:rPr>
            </w:pPr>
            <w:r>
              <w:rPr>
                <w:rFonts w:hint="eastAsia"/>
                <w:color w:val="0000FF"/>
                <w:szCs w:val="21"/>
                <w:lang w:val="en-US" w:eastAsia="zh-CN"/>
              </w:rPr>
              <w:t>周伟</w:t>
            </w:r>
          </w:p>
        </w:tc>
        <w:tc>
          <w:tcPr>
            <w:tcW w:w="1575" w:type="dxa"/>
            <w:noWrap w:val="0"/>
            <w:vAlign w:val="center"/>
          </w:tcPr>
          <w:p w14:paraId="431C2E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FF"/>
                <w:szCs w:val="21"/>
              </w:rPr>
            </w:pPr>
            <w:r>
              <w:rPr>
                <w:color w:val="0000FF"/>
                <w:szCs w:val="21"/>
              </w:rPr>
              <w:t>联系方式</w:t>
            </w:r>
          </w:p>
        </w:tc>
        <w:tc>
          <w:tcPr>
            <w:tcW w:w="3411" w:type="dxa"/>
            <w:noWrap w:val="0"/>
            <w:vAlign w:val="center"/>
          </w:tcPr>
          <w:p w14:paraId="563A32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FF"/>
                <w:szCs w:val="21"/>
                <w:lang w:val="en-US" w:eastAsia="zh-CN"/>
              </w:rPr>
            </w:pPr>
            <w:r>
              <w:rPr>
                <w:rFonts w:hint="default" w:eastAsia="宋体"/>
                <w:color w:val="0000FF"/>
                <w:szCs w:val="21"/>
                <w:lang w:val="en-US" w:eastAsia="zh-CN"/>
              </w:rPr>
              <w:t>18855406661</w:t>
            </w:r>
          </w:p>
        </w:tc>
      </w:tr>
      <w:tr w14:paraId="3DA396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7EA5F0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建设地点</w:t>
            </w:r>
          </w:p>
        </w:tc>
        <w:tc>
          <w:tcPr>
            <w:tcW w:w="7911" w:type="dxa"/>
            <w:gridSpan w:val="3"/>
            <w:noWrap w:val="0"/>
            <w:vAlign w:val="center"/>
          </w:tcPr>
          <w:p w14:paraId="569A4E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Cs w:val="21"/>
                <w:lang w:eastAsia="zh-CN"/>
              </w:rPr>
            </w:pPr>
            <w:r>
              <w:rPr>
                <w:rFonts w:hint="eastAsia"/>
                <w:color w:val="auto"/>
                <w:kern w:val="0"/>
                <w:szCs w:val="21"/>
              </w:rPr>
              <w:t>潘集区经济开发区（北区）2号厂房</w:t>
            </w:r>
          </w:p>
        </w:tc>
      </w:tr>
      <w:tr w14:paraId="41F49F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3881B3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FF"/>
                <w:szCs w:val="21"/>
              </w:rPr>
            </w:pPr>
            <w:r>
              <w:rPr>
                <w:color w:val="auto"/>
                <w:szCs w:val="21"/>
              </w:rPr>
              <w:t>地理坐标</w:t>
            </w:r>
          </w:p>
        </w:tc>
        <w:tc>
          <w:tcPr>
            <w:tcW w:w="7911" w:type="dxa"/>
            <w:gridSpan w:val="3"/>
            <w:noWrap w:val="0"/>
            <w:vAlign w:val="center"/>
          </w:tcPr>
          <w:p w14:paraId="6D66AB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FF"/>
                <w:szCs w:val="21"/>
              </w:rPr>
            </w:pPr>
            <w:r>
              <w:rPr>
                <w:color w:val="auto"/>
                <w:szCs w:val="21"/>
              </w:rPr>
              <w:t>（</w:t>
            </w:r>
            <w:r>
              <w:rPr>
                <w:rFonts w:hint="eastAsia"/>
                <w:color w:val="auto"/>
                <w:szCs w:val="21"/>
                <w:u w:val="single"/>
              </w:rPr>
              <w:t>116</w:t>
            </w:r>
            <w:r>
              <w:rPr>
                <w:rFonts w:hint="eastAsia"/>
                <w:color w:val="auto"/>
                <w:szCs w:val="21"/>
              </w:rPr>
              <w:t>度</w:t>
            </w:r>
            <w:r>
              <w:rPr>
                <w:rFonts w:hint="eastAsia"/>
                <w:color w:val="auto"/>
                <w:szCs w:val="21"/>
                <w:u w:val="single"/>
                <w:lang w:val="en-US" w:eastAsia="zh-CN"/>
              </w:rPr>
              <w:t>54</w:t>
            </w:r>
            <w:r>
              <w:rPr>
                <w:rFonts w:hint="eastAsia"/>
                <w:color w:val="auto"/>
                <w:szCs w:val="21"/>
              </w:rPr>
              <w:t>分</w:t>
            </w:r>
            <w:r>
              <w:rPr>
                <w:rFonts w:hint="eastAsia"/>
                <w:color w:val="auto"/>
                <w:szCs w:val="21"/>
                <w:u w:val="single"/>
                <w:lang w:val="en-US" w:eastAsia="zh-CN"/>
              </w:rPr>
              <w:t>24.552</w:t>
            </w:r>
            <w:r>
              <w:rPr>
                <w:rFonts w:hint="eastAsia"/>
                <w:color w:val="auto"/>
                <w:szCs w:val="21"/>
              </w:rPr>
              <w:t>秒，</w:t>
            </w:r>
            <w:r>
              <w:rPr>
                <w:rFonts w:hint="eastAsia"/>
                <w:color w:val="auto"/>
                <w:szCs w:val="21"/>
                <w:u w:val="single"/>
              </w:rPr>
              <w:t>32</w:t>
            </w:r>
            <w:r>
              <w:rPr>
                <w:rFonts w:hint="eastAsia"/>
                <w:color w:val="auto"/>
                <w:szCs w:val="21"/>
              </w:rPr>
              <w:t>度</w:t>
            </w:r>
            <w:r>
              <w:rPr>
                <w:rFonts w:hint="eastAsia"/>
                <w:color w:val="auto"/>
                <w:szCs w:val="21"/>
                <w:u w:val="single"/>
                <w:lang w:val="en-US" w:eastAsia="zh-CN"/>
              </w:rPr>
              <w:t>42</w:t>
            </w:r>
            <w:r>
              <w:rPr>
                <w:rFonts w:hint="eastAsia"/>
                <w:color w:val="auto"/>
                <w:szCs w:val="21"/>
              </w:rPr>
              <w:t>分</w:t>
            </w:r>
            <w:r>
              <w:rPr>
                <w:rFonts w:hint="eastAsia"/>
                <w:color w:val="auto"/>
                <w:szCs w:val="21"/>
                <w:u w:val="single"/>
                <w:lang w:val="en-US" w:eastAsia="zh-CN"/>
              </w:rPr>
              <w:t>1.134</w:t>
            </w:r>
            <w:r>
              <w:rPr>
                <w:rFonts w:hint="eastAsia"/>
                <w:color w:val="auto"/>
                <w:szCs w:val="21"/>
              </w:rPr>
              <w:t>秒</w:t>
            </w:r>
            <w:r>
              <w:rPr>
                <w:color w:val="auto"/>
                <w:szCs w:val="21"/>
              </w:rPr>
              <w:t>）</w:t>
            </w:r>
          </w:p>
        </w:tc>
      </w:tr>
      <w:tr w14:paraId="69203E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49" w:hRule="atLeast"/>
          <w:jc w:val="center"/>
        </w:trPr>
        <w:tc>
          <w:tcPr>
            <w:tcW w:w="1162" w:type="dxa"/>
            <w:noWrap w:val="0"/>
            <w:tcMar>
              <w:top w:w="16" w:type="dxa"/>
              <w:left w:w="16" w:type="dxa"/>
              <w:right w:w="16" w:type="dxa"/>
            </w:tcMar>
            <w:vAlign w:val="center"/>
          </w:tcPr>
          <w:p w14:paraId="5FFB2D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国民经济行业类别</w:t>
            </w:r>
          </w:p>
        </w:tc>
        <w:tc>
          <w:tcPr>
            <w:tcW w:w="2925" w:type="dxa"/>
            <w:noWrap w:val="0"/>
            <w:vAlign w:val="center"/>
          </w:tcPr>
          <w:p w14:paraId="31AF73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eastAsia="宋体"/>
                <w:color w:val="auto"/>
                <w:szCs w:val="21"/>
                <w:lang w:eastAsia="zh-CN"/>
              </w:rPr>
            </w:pPr>
            <w:r>
              <w:rPr>
                <w:rFonts w:hint="eastAsia"/>
                <w:color w:val="auto"/>
                <w:szCs w:val="21"/>
                <w:lang w:val="en-US" w:eastAsia="zh-CN"/>
              </w:rPr>
              <w:t>C</w:t>
            </w:r>
            <w:r>
              <w:rPr>
                <w:rFonts w:hint="eastAsia"/>
                <w:color w:val="auto"/>
                <w:szCs w:val="21"/>
                <w:lang w:eastAsia="zh-CN"/>
              </w:rPr>
              <w:t>292</w:t>
            </w:r>
            <w:r>
              <w:rPr>
                <w:rFonts w:hint="eastAsia"/>
                <w:color w:val="auto"/>
                <w:szCs w:val="21"/>
                <w:lang w:val="en-US" w:eastAsia="zh-CN"/>
              </w:rPr>
              <w:t>2塑料板、管、型材制造</w:t>
            </w:r>
          </w:p>
        </w:tc>
        <w:tc>
          <w:tcPr>
            <w:tcW w:w="1575" w:type="dxa"/>
            <w:noWrap w:val="0"/>
            <w:vAlign w:val="center"/>
          </w:tcPr>
          <w:p w14:paraId="1E7984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bookmarkStart w:id="2" w:name="_Hlk49843745"/>
            <w:r>
              <w:rPr>
                <w:color w:val="auto"/>
                <w:szCs w:val="21"/>
              </w:rPr>
              <w:t>建设项目</w:t>
            </w:r>
          </w:p>
          <w:p w14:paraId="5683E7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行业类别</w:t>
            </w:r>
            <w:bookmarkEnd w:id="2"/>
          </w:p>
        </w:tc>
        <w:tc>
          <w:tcPr>
            <w:tcW w:w="3411" w:type="dxa"/>
            <w:noWrap w:val="0"/>
            <w:vAlign w:val="center"/>
          </w:tcPr>
          <w:p w14:paraId="00D54C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rFonts w:hint="eastAsia"/>
                <w:color w:val="auto"/>
                <w:szCs w:val="21"/>
              </w:rPr>
              <w:t>二十六-橡胶和塑料制品业-53塑料制品业-其他</w:t>
            </w:r>
          </w:p>
        </w:tc>
      </w:tr>
      <w:tr w14:paraId="26B92D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01" w:hRule="atLeast"/>
          <w:jc w:val="center"/>
        </w:trPr>
        <w:tc>
          <w:tcPr>
            <w:tcW w:w="1162" w:type="dxa"/>
            <w:noWrap w:val="0"/>
            <w:tcMar>
              <w:top w:w="16" w:type="dxa"/>
              <w:left w:w="16" w:type="dxa"/>
              <w:right w:w="16" w:type="dxa"/>
            </w:tcMar>
            <w:vAlign w:val="center"/>
          </w:tcPr>
          <w:p w14:paraId="115CF0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建设性质</w:t>
            </w:r>
          </w:p>
        </w:tc>
        <w:tc>
          <w:tcPr>
            <w:tcW w:w="2925" w:type="dxa"/>
            <w:noWrap w:val="0"/>
            <w:vAlign w:val="center"/>
          </w:tcPr>
          <w:p w14:paraId="0CB5C0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52"/>
            </w:r>
            <w:r>
              <w:rPr>
                <w:color w:val="auto"/>
                <w:szCs w:val="21"/>
              </w:rPr>
              <w:t>新建（迁建）</w:t>
            </w:r>
          </w:p>
          <w:p w14:paraId="0C8F96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A3"/>
            </w:r>
            <w:r>
              <w:rPr>
                <w:color w:val="auto"/>
                <w:szCs w:val="21"/>
              </w:rPr>
              <w:t>改建</w:t>
            </w:r>
          </w:p>
          <w:p w14:paraId="6BF4A2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A3"/>
            </w:r>
            <w:r>
              <w:rPr>
                <w:color w:val="auto"/>
                <w:szCs w:val="21"/>
              </w:rPr>
              <w:t>扩建</w:t>
            </w:r>
          </w:p>
          <w:p w14:paraId="3A9AE2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A3"/>
            </w:r>
            <w:r>
              <w:rPr>
                <w:color w:val="auto"/>
                <w:szCs w:val="21"/>
              </w:rPr>
              <w:t>技术改造</w:t>
            </w:r>
          </w:p>
        </w:tc>
        <w:tc>
          <w:tcPr>
            <w:tcW w:w="1575" w:type="dxa"/>
            <w:noWrap w:val="0"/>
            <w:vAlign w:val="center"/>
          </w:tcPr>
          <w:p w14:paraId="538E3A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建设项目</w:t>
            </w:r>
          </w:p>
          <w:p w14:paraId="4BCD47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申报情形</w:t>
            </w:r>
          </w:p>
        </w:tc>
        <w:tc>
          <w:tcPr>
            <w:tcW w:w="3411" w:type="dxa"/>
            <w:noWrap w:val="0"/>
            <w:vAlign w:val="center"/>
          </w:tcPr>
          <w:p w14:paraId="720367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52"/>
            </w:r>
            <w:r>
              <w:rPr>
                <w:color w:val="auto"/>
                <w:szCs w:val="21"/>
              </w:rPr>
              <w:t>首次申报项目</w:t>
            </w:r>
          </w:p>
          <w:p w14:paraId="49997B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A3"/>
            </w:r>
            <w:r>
              <w:rPr>
                <w:color w:val="auto"/>
                <w:szCs w:val="21"/>
              </w:rPr>
              <w:t>不予批准后再次申报项目</w:t>
            </w:r>
          </w:p>
          <w:p w14:paraId="7D543E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A3"/>
            </w:r>
            <w:r>
              <w:rPr>
                <w:color w:val="auto"/>
                <w:szCs w:val="21"/>
              </w:rPr>
              <w:t>超五年重新审核项目</w:t>
            </w:r>
          </w:p>
          <w:p w14:paraId="5E14C8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A3"/>
            </w:r>
            <w:r>
              <w:rPr>
                <w:color w:val="auto"/>
                <w:szCs w:val="21"/>
              </w:rPr>
              <w:t>重大变动重新报批项目</w:t>
            </w:r>
          </w:p>
        </w:tc>
      </w:tr>
      <w:tr w14:paraId="47C70C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1162" w:type="dxa"/>
            <w:noWrap w:val="0"/>
            <w:tcMar>
              <w:top w:w="16" w:type="dxa"/>
              <w:left w:w="16" w:type="dxa"/>
              <w:right w:w="16" w:type="dxa"/>
            </w:tcMar>
            <w:vAlign w:val="center"/>
          </w:tcPr>
          <w:p w14:paraId="76C4D5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项目审批（核准/备案）部门</w:t>
            </w:r>
          </w:p>
        </w:tc>
        <w:tc>
          <w:tcPr>
            <w:tcW w:w="2925" w:type="dxa"/>
            <w:noWrap w:val="0"/>
            <w:vAlign w:val="center"/>
          </w:tcPr>
          <w:p w14:paraId="0DE57D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rFonts w:hint="eastAsia" w:cs="宋体"/>
                <w:color w:val="auto"/>
                <w:szCs w:val="21"/>
                <w:lang w:val="en-US" w:eastAsia="zh-CN"/>
              </w:rPr>
              <w:t>潘集区发展改革委</w:t>
            </w:r>
          </w:p>
        </w:tc>
        <w:tc>
          <w:tcPr>
            <w:tcW w:w="1575" w:type="dxa"/>
            <w:noWrap w:val="0"/>
            <w:vAlign w:val="center"/>
          </w:tcPr>
          <w:p w14:paraId="0C9BB4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项目审批（核准/备案）文号</w:t>
            </w:r>
          </w:p>
        </w:tc>
        <w:tc>
          <w:tcPr>
            <w:tcW w:w="3411" w:type="dxa"/>
            <w:noWrap w:val="0"/>
            <w:vAlign w:val="center"/>
          </w:tcPr>
          <w:p w14:paraId="0F998C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rFonts w:hint="eastAsia" w:hAnsi="宋体"/>
                <w:color w:val="auto"/>
                <w:szCs w:val="21"/>
              </w:rPr>
              <w:t>/</w:t>
            </w:r>
          </w:p>
        </w:tc>
      </w:tr>
      <w:tr w14:paraId="7207C4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1A8514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总投资（万元）</w:t>
            </w:r>
          </w:p>
        </w:tc>
        <w:tc>
          <w:tcPr>
            <w:tcW w:w="2925" w:type="dxa"/>
            <w:noWrap w:val="0"/>
            <w:vAlign w:val="center"/>
          </w:tcPr>
          <w:p w14:paraId="213E59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Cs w:val="21"/>
                <w:lang w:val="en-US" w:eastAsia="zh-CN"/>
              </w:rPr>
            </w:pPr>
            <w:r>
              <w:rPr>
                <w:rFonts w:hint="eastAsia"/>
                <w:color w:val="auto"/>
                <w:szCs w:val="21"/>
                <w:lang w:val="en-US" w:eastAsia="zh-CN"/>
              </w:rPr>
              <w:t>3400</w:t>
            </w:r>
          </w:p>
        </w:tc>
        <w:tc>
          <w:tcPr>
            <w:tcW w:w="1575" w:type="dxa"/>
            <w:noWrap w:val="0"/>
            <w:tcMar>
              <w:top w:w="16" w:type="dxa"/>
              <w:left w:w="16" w:type="dxa"/>
              <w:right w:w="16" w:type="dxa"/>
            </w:tcMar>
            <w:vAlign w:val="center"/>
          </w:tcPr>
          <w:p w14:paraId="0399F2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环保投资（万元）</w:t>
            </w:r>
          </w:p>
        </w:tc>
        <w:tc>
          <w:tcPr>
            <w:tcW w:w="3411" w:type="dxa"/>
            <w:noWrap w:val="0"/>
            <w:vAlign w:val="center"/>
          </w:tcPr>
          <w:p w14:paraId="146508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Cs w:val="21"/>
                <w:lang w:val="en-US" w:eastAsia="zh-CN"/>
              </w:rPr>
            </w:pPr>
            <w:r>
              <w:rPr>
                <w:rFonts w:hint="eastAsia"/>
                <w:color w:val="auto"/>
                <w:szCs w:val="21"/>
                <w:lang w:val="en-US" w:eastAsia="zh-CN"/>
              </w:rPr>
              <w:t>20</w:t>
            </w:r>
          </w:p>
        </w:tc>
      </w:tr>
      <w:tr w14:paraId="5F582E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6B5EBD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环保投资占比（%）</w:t>
            </w:r>
          </w:p>
        </w:tc>
        <w:tc>
          <w:tcPr>
            <w:tcW w:w="2925" w:type="dxa"/>
            <w:noWrap w:val="0"/>
            <w:vAlign w:val="center"/>
          </w:tcPr>
          <w:p w14:paraId="1C5875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Cs w:val="21"/>
                <w:lang w:val="en-US" w:eastAsia="zh-CN"/>
              </w:rPr>
            </w:pPr>
            <w:r>
              <w:rPr>
                <w:rFonts w:hint="eastAsia"/>
                <w:color w:val="auto"/>
                <w:szCs w:val="21"/>
                <w:lang w:val="en-US" w:eastAsia="zh-CN"/>
              </w:rPr>
              <w:t>0.59</w:t>
            </w:r>
          </w:p>
        </w:tc>
        <w:tc>
          <w:tcPr>
            <w:tcW w:w="1575" w:type="dxa"/>
            <w:noWrap w:val="0"/>
            <w:tcMar>
              <w:top w:w="16" w:type="dxa"/>
              <w:left w:w="16" w:type="dxa"/>
              <w:right w:w="16" w:type="dxa"/>
            </w:tcMar>
            <w:vAlign w:val="center"/>
          </w:tcPr>
          <w:p w14:paraId="7666BA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施工工期</w:t>
            </w:r>
          </w:p>
        </w:tc>
        <w:tc>
          <w:tcPr>
            <w:tcW w:w="3411" w:type="dxa"/>
            <w:noWrap w:val="0"/>
            <w:vAlign w:val="center"/>
          </w:tcPr>
          <w:p w14:paraId="5445B6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rFonts w:hint="eastAsia"/>
                <w:color w:val="auto"/>
                <w:szCs w:val="21"/>
                <w:lang w:val="en-US" w:eastAsia="zh-CN"/>
              </w:rPr>
              <w:t>2</w:t>
            </w:r>
            <w:r>
              <w:rPr>
                <w:rFonts w:hint="eastAsia"/>
                <w:color w:val="auto"/>
                <w:szCs w:val="21"/>
              </w:rPr>
              <w:t>个月</w:t>
            </w:r>
          </w:p>
        </w:tc>
      </w:tr>
      <w:tr w14:paraId="01A670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766124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是否开工建设</w:t>
            </w:r>
          </w:p>
        </w:tc>
        <w:tc>
          <w:tcPr>
            <w:tcW w:w="2925" w:type="dxa"/>
            <w:noWrap w:val="0"/>
            <w:vAlign w:val="center"/>
          </w:tcPr>
          <w:p w14:paraId="3A6519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auto"/>
                <w:szCs w:val="21"/>
              </w:rPr>
            </w:pPr>
            <w:r>
              <w:rPr>
                <w:color w:val="auto"/>
                <w:szCs w:val="21"/>
              </w:rPr>
              <w:sym w:font="Wingdings 2" w:char="0052"/>
            </w:r>
            <w:r>
              <w:rPr>
                <w:color w:val="auto"/>
                <w:szCs w:val="21"/>
              </w:rPr>
              <w:t>否</w:t>
            </w:r>
          </w:p>
          <w:p w14:paraId="39F2EB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auto"/>
                <w:szCs w:val="21"/>
              </w:rPr>
            </w:pPr>
            <w:r>
              <w:rPr>
                <w:color w:val="auto"/>
                <w:szCs w:val="21"/>
              </w:rPr>
              <w:sym w:font="Wingdings 2" w:char="00A3"/>
            </w:r>
            <w:r>
              <w:rPr>
                <w:color w:val="auto"/>
                <w:szCs w:val="21"/>
              </w:rPr>
              <w:t>是：</w:t>
            </w:r>
            <w:r>
              <w:rPr>
                <w:color w:val="auto"/>
                <w:szCs w:val="21"/>
                <w:u w:val="single"/>
              </w:rPr>
              <w:t xml:space="preserve">         </w:t>
            </w:r>
          </w:p>
        </w:tc>
        <w:tc>
          <w:tcPr>
            <w:tcW w:w="1575" w:type="dxa"/>
            <w:noWrap w:val="0"/>
            <w:tcMar>
              <w:top w:w="16" w:type="dxa"/>
              <w:left w:w="16" w:type="dxa"/>
              <w:right w:w="16" w:type="dxa"/>
            </w:tcMar>
            <w:vAlign w:val="center"/>
          </w:tcPr>
          <w:p w14:paraId="739388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pacing w:val="-6"/>
                <w:szCs w:val="21"/>
              </w:rPr>
              <w:t>用地面积（m</w:t>
            </w:r>
            <w:r>
              <w:rPr>
                <w:color w:val="auto"/>
                <w:spacing w:val="-6"/>
                <w:szCs w:val="21"/>
                <w:vertAlign w:val="superscript"/>
              </w:rPr>
              <w:t>2</w:t>
            </w:r>
            <w:r>
              <w:rPr>
                <w:color w:val="auto"/>
                <w:spacing w:val="-6"/>
                <w:szCs w:val="21"/>
              </w:rPr>
              <w:t>）</w:t>
            </w:r>
          </w:p>
        </w:tc>
        <w:tc>
          <w:tcPr>
            <w:tcW w:w="3411" w:type="dxa"/>
            <w:noWrap w:val="0"/>
            <w:vAlign w:val="center"/>
          </w:tcPr>
          <w:p w14:paraId="5967ED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Cs w:val="21"/>
                <w:lang w:val="en-US" w:eastAsia="zh-CN"/>
              </w:rPr>
            </w:pPr>
            <w:r>
              <w:rPr>
                <w:rFonts w:hint="eastAsia"/>
                <w:color w:val="auto"/>
                <w:szCs w:val="21"/>
                <w:lang w:val="en-US" w:eastAsia="zh-CN"/>
              </w:rPr>
              <w:t>5000</w:t>
            </w:r>
          </w:p>
        </w:tc>
      </w:tr>
      <w:tr w14:paraId="6AAB5D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162" w:type="dxa"/>
            <w:noWrap w:val="0"/>
            <w:vAlign w:val="center"/>
          </w:tcPr>
          <w:p w14:paraId="104DB32C">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color w:val="0000FF"/>
              </w:rPr>
            </w:pPr>
            <w:r>
              <w:rPr>
                <w:color w:val="auto"/>
              </w:rPr>
              <w:t>专项评价设置情况</w:t>
            </w:r>
          </w:p>
        </w:tc>
        <w:tc>
          <w:tcPr>
            <w:tcW w:w="7911" w:type="dxa"/>
            <w:gridSpan w:val="3"/>
            <w:noWrap w:val="0"/>
            <w:vAlign w:val="center"/>
          </w:tcPr>
          <w:p w14:paraId="57AAB9DE">
            <w:pPr>
              <w:bidi w:val="0"/>
              <w:rPr>
                <w:rFonts w:hint="default"/>
                <w:color w:val="auto"/>
                <w:lang w:val="en-US" w:eastAsia="zh-CN"/>
              </w:rPr>
            </w:pPr>
            <w:r>
              <w:rPr>
                <w:rFonts w:hint="eastAsia"/>
                <w:color w:val="auto"/>
                <w:lang w:val="en-US" w:eastAsia="zh-CN"/>
              </w:rPr>
              <w:t>专项评价设置情况如下：</w:t>
            </w:r>
          </w:p>
          <w:p w14:paraId="3460A520">
            <w:pPr>
              <w:pStyle w:val="21"/>
              <w:bidi w:val="0"/>
              <w:rPr>
                <w:rFonts w:hint="default"/>
                <w:color w:val="auto"/>
                <w:lang w:val="en-US"/>
              </w:rPr>
            </w:pPr>
            <w:r>
              <w:rPr>
                <w:rFonts w:hint="eastAsia"/>
                <w:color w:val="auto"/>
              </w:rPr>
              <w:t>表1-</w:t>
            </w:r>
            <w:r>
              <w:rPr>
                <w:rFonts w:hint="eastAsia"/>
                <w:color w:val="auto"/>
                <w:lang w:val="en-US" w:eastAsia="zh-CN"/>
              </w:rPr>
              <w:t>1</w:t>
            </w:r>
            <w:r>
              <w:rPr>
                <w:rFonts w:hint="eastAsia"/>
                <w:color w:val="auto"/>
              </w:rPr>
              <w:t xml:space="preserve">  </w:t>
            </w:r>
            <w:r>
              <w:rPr>
                <w:rFonts w:hint="eastAsia"/>
                <w:color w:val="auto"/>
                <w:lang w:val="en-US" w:eastAsia="zh-CN"/>
              </w:rPr>
              <w:t>专项评价设置情况</w:t>
            </w:r>
          </w:p>
          <w:tbl>
            <w:tblPr>
              <w:tblStyle w:val="13"/>
              <w:tblW w:w="768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80"/>
              <w:gridCol w:w="3023"/>
              <w:gridCol w:w="3345"/>
              <w:gridCol w:w="538"/>
            </w:tblGrid>
            <w:tr w14:paraId="71CDD9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780" w:type="dxa"/>
                  <w:tcBorders>
                    <w:tl2br w:val="nil"/>
                    <w:tr2bl w:val="nil"/>
                  </w:tcBorders>
                  <w:noWrap w:val="0"/>
                  <w:vAlign w:val="center"/>
                </w:tcPr>
                <w:p w14:paraId="72DBE595">
                  <w:pPr>
                    <w:pStyle w:val="22"/>
                    <w:bidi w:val="0"/>
                    <w:rPr>
                      <w:rFonts w:hint="default"/>
                      <w:b/>
                      <w:bCs/>
                      <w:color w:val="auto"/>
                      <w:lang w:val="en-US" w:eastAsia="zh-CN"/>
                    </w:rPr>
                  </w:pPr>
                  <w:r>
                    <w:rPr>
                      <w:rFonts w:hint="eastAsia"/>
                      <w:b/>
                      <w:bCs/>
                      <w:color w:val="auto"/>
                      <w:lang w:val="en-US" w:eastAsia="zh-CN"/>
                    </w:rPr>
                    <w:t>专项评价类别</w:t>
                  </w:r>
                </w:p>
              </w:tc>
              <w:tc>
                <w:tcPr>
                  <w:tcW w:w="3023" w:type="dxa"/>
                  <w:tcBorders>
                    <w:tl2br w:val="nil"/>
                    <w:tr2bl w:val="nil"/>
                  </w:tcBorders>
                  <w:noWrap w:val="0"/>
                  <w:vAlign w:val="center"/>
                </w:tcPr>
                <w:p w14:paraId="04E50297">
                  <w:pPr>
                    <w:pStyle w:val="22"/>
                    <w:bidi w:val="0"/>
                    <w:rPr>
                      <w:rFonts w:hint="default"/>
                      <w:b/>
                      <w:bCs/>
                      <w:color w:val="auto"/>
                      <w:lang w:val="en-US" w:eastAsia="zh-CN"/>
                    </w:rPr>
                  </w:pPr>
                  <w:r>
                    <w:rPr>
                      <w:rFonts w:hint="eastAsia"/>
                      <w:b/>
                      <w:bCs/>
                      <w:color w:val="auto"/>
                      <w:lang w:val="en-US" w:eastAsia="zh-CN"/>
                    </w:rPr>
                    <w:t>设置原则</w:t>
                  </w:r>
                </w:p>
              </w:tc>
              <w:tc>
                <w:tcPr>
                  <w:tcW w:w="3345" w:type="dxa"/>
                  <w:tcBorders>
                    <w:tl2br w:val="nil"/>
                    <w:tr2bl w:val="nil"/>
                  </w:tcBorders>
                  <w:noWrap w:val="0"/>
                  <w:vAlign w:val="center"/>
                </w:tcPr>
                <w:p w14:paraId="70AAACCD">
                  <w:pPr>
                    <w:pStyle w:val="22"/>
                    <w:bidi w:val="0"/>
                    <w:rPr>
                      <w:rFonts w:hint="default"/>
                      <w:b/>
                      <w:bCs/>
                      <w:color w:val="auto"/>
                      <w:lang w:val="en-US" w:eastAsia="zh-CN"/>
                    </w:rPr>
                  </w:pPr>
                  <w:r>
                    <w:rPr>
                      <w:rFonts w:hint="eastAsia"/>
                      <w:b/>
                      <w:bCs/>
                      <w:color w:val="auto"/>
                      <w:lang w:val="en-US" w:eastAsia="zh-CN"/>
                    </w:rPr>
                    <w:t>本项目情况</w:t>
                  </w:r>
                </w:p>
              </w:tc>
              <w:tc>
                <w:tcPr>
                  <w:tcW w:w="538" w:type="dxa"/>
                  <w:tcBorders>
                    <w:tl2br w:val="nil"/>
                    <w:tr2bl w:val="nil"/>
                  </w:tcBorders>
                  <w:noWrap w:val="0"/>
                  <w:vAlign w:val="center"/>
                </w:tcPr>
                <w:p w14:paraId="44BFFB27">
                  <w:pPr>
                    <w:pStyle w:val="22"/>
                    <w:bidi w:val="0"/>
                    <w:rPr>
                      <w:rFonts w:hint="default"/>
                      <w:b/>
                      <w:bCs/>
                      <w:color w:val="auto"/>
                      <w:lang w:val="en-US" w:eastAsia="zh-CN"/>
                    </w:rPr>
                  </w:pPr>
                  <w:r>
                    <w:rPr>
                      <w:rFonts w:hint="eastAsia"/>
                      <w:b/>
                      <w:bCs/>
                      <w:color w:val="auto"/>
                      <w:lang w:val="en-US" w:eastAsia="zh-CN"/>
                    </w:rPr>
                    <w:t>是否设置</w:t>
                  </w:r>
                </w:p>
              </w:tc>
            </w:tr>
            <w:tr w14:paraId="50BDB4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780" w:type="dxa"/>
                  <w:tcBorders>
                    <w:tl2br w:val="nil"/>
                    <w:tr2bl w:val="nil"/>
                  </w:tcBorders>
                  <w:noWrap w:val="0"/>
                  <w:vAlign w:val="center"/>
                </w:tcPr>
                <w:p w14:paraId="7173AEA2">
                  <w:pPr>
                    <w:pStyle w:val="22"/>
                    <w:bidi w:val="0"/>
                    <w:rPr>
                      <w:rFonts w:hint="default"/>
                      <w:color w:val="auto"/>
                      <w:lang w:val="en-US" w:eastAsia="zh-CN"/>
                    </w:rPr>
                  </w:pPr>
                  <w:r>
                    <w:rPr>
                      <w:rFonts w:hint="eastAsia"/>
                      <w:color w:val="auto"/>
                      <w:lang w:val="en-US" w:eastAsia="zh-CN"/>
                    </w:rPr>
                    <w:t>大气</w:t>
                  </w:r>
                </w:p>
              </w:tc>
              <w:tc>
                <w:tcPr>
                  <w:tcW w:w="3023" w:type="dxa"/>
                  <w:tcBorders>
                    <w:tl2br w:val="nil"/>
                    <w:tr2bl w:val="nil"/>
                  </w:tcBorders>
                  <w:noWrap w:val="0"/>
                  <w:vAlign w:val="center"/>
                </w:tcPr>
                <w:p w14:paraId="4BC63B9C">
                  <w:pPr>
                    <w:pStyle w:val="22"/>
                    <w:bidi w:val="0"/>
                    <w:rPr>
                      <w:rFonts w:hint="eastAsia"/>
                      <w:color w:val="auto"/>
                      <w:lang w:val="en-US" w:eastAsia="zh-CN"/>
                    </w:rPr>
                  </w:pPr>
                  <w:r>
                    <w:rPr>
                      <w:rFonts w:hint="eastAsia"/>
                      <w:color w:val="auto"/>
                      <w:lang w:val="en-US" w:eastAsia="zh-CN"/>
                    </w:rPr>
                    <w:t>排放废气含有毒有害污染物、二噁英、苯并[a]芘、氰化物、氯气且厂界外500米范围内有环境空气保护目标的建设项目</w:t>
                  </w:r>
                </w:p>
              </w:tc>
              <w:tc>
                <w:tcPr>
                  <w:tcW w:w="3345" w:type="dxa"/>
                  <w:tcBorders>
                    <w:tl2br w:val="nil"/>
                    <w:tr2bl w:val="nil"/>
                  </w:tcBorders>
                  <w:noWrap w:val="0"/>
                  <w:vAlign w:val="center"/>
                </w:tcPr>
                <w:p w14:paraId="4A58A9DD">
                  <w:pPr>
                    <w:pStyle w:val="22"/>
                    <w:bidi w:val="0"/>
                    <w:rPr>
                      <w:rFonts w:hint="default"/>
                      <w:color w:val="auto"/>
                      <w:lang w:val="en-US" w:eastAsia="zh-CN"/>
                    </w:rPr>
                  </w:pPr>
                  <w:r>
                    <w:rPr>
                      <w:rFonts w:hint="eastAsia"/>
                      <w:color w:val="auto"/>
                      <w:lang w:val="en-US" w:eastAsia="zh-CN"/>
                    </w:rPr>
                    <w:t>本项目主要废气污染物为颗粒物、非甲烷总烃，不属于《有毒有害大气污染物名录》规定的有毒有害污染物及二噁英、苯并[a]芘、氰化物、氯气</w:t>
                  </w:r>
                </w:p>
              </w:tc>
              <w:tc>
                <w:tcPr>
                  <w:tcW w:w="538" w:type="dxa"/>
                  <w:tcBorders>
                    <w:tl2br w:val="nil"/>
                    <w:tr2bl w:val="nil"/>
                  </w:tcBorders>
                  <w:noWrap w:val="0"/>
                  <w:vAlign w:val="center"/>
                </w:tcPr>
                <w:p w14:paraId="0FDC180C">
                  <w:pPr>
                    <w:pStyle w:val="22"/>
                    <w:bidi w:val="0"/>
                    <w:rPr>
                      <w:rFonts w:hint="default"/>
                      <w:color w:val="auto"/>
                      <w:lang w:val="en-US" w:eastAsia="zh-CN"/>
                    </w:rPr>
                  </w:pPr>
                  <w:r>
                    <w:rPr>
                      <w:rFonts w:hint="eastAsia"/>
                      <w:color w:val="auto"/>
                      <w:lang w:val="en-US" w:eastAsia="zh-CN"/>
                    </w:rPr>
                    <w:t>否</w:t>
                  </w:r>
                </w:p>
              </w:tc>
            </w:tr>
            <w:tr w14:paraId="3959AE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780" w:type="dxa"/>
                  <w:tcBorders>
                    <w:tl2br w:val="nil"/>
                    <w:tr2bl w:val="nil"/>
                  </w:tcBorders>
                  <w:noWrap w:val="0"/>
                  <w:vAlign w:val="center"/>
                </w:tcPr>
                <w:p w14:paraId="4763FF0E">
                  <w:pPr>
                    <w:pStyle w:val="22"/>
                    <w:bidi w:val="0"/>
                    <w:rPr>
                      <w:rFonts w:hint="default"/>
                      <w:color w:val="auto"/>
                      <w:lang w:val="en-US" w:eastAsia="zh-CN"/>
                    </w:rPr>
                  </w:pPr>
                  <w:r>
                    <w:rPr>
                      <w:rFonts w:hint="eastAsia"/>
                      <w:color w:val="auto"/>
                      <w:lang w:val="en-US" w:eastAsia="zh-CN"/>
                    </w:rPr>
                    <w:t>地表水</w:t>
                  </w:r>
                </w:p>
              </w:tc>
              <w:tc>
                <w:tcPr>
                  <w:tcW w:w="3023" w:type="dxa"/>
                  <w:tcBorders>
                    <w:tl2br w:val="nil"/>
                    <w:tr2bl w:val="nil"/>
                  </w:tcBorders>
                  <w:noWrap w:val="0"/>
                  <w:vAlign w:val="center"/>
                </w:tcPr>
                <w:p w14:paraId="760A3455">
                  <w:pPr>
                    <w:pStyle w:val="22"/>
                    <w:bidi w:val="0"/>
                    <w:rPr>
                      <w:rFonts w:hint="eastAsia"/>
                      <w:color w:val="auto"/>
                      <w:lang w:val="en-US" w:eastAsia="zh-CN"/>
                    </w:rPr>
                  </w:pPr>
                  <w:r>
                    <w:rPr>
                      <w:rFonts w:hint="eastAsia"/>
                      <w:color w:val="auto"/>
                      <w:lang w:val="en-US" w:eastAsia="zh-CN"/>
                    </w:rPr>
                    <w:t>新增工业废水直排建设项目（槽罐车外送污水处理厂的除外）；新增废水直排的污水集中处理厂</w:t>
                  </w:r>
                </w:p>
              </w:tc>
              <w:tc>
                <w:tcPr>
                  <w:tcW w:w="3345" w:type="dxa"/>
                  <w:tcBorders>
                    <w:tl2br w:val="nil"/>
                    <w:tr2bl w:val="nil"/>
                  </w:tcBorders>
                  <w:noWrap w:val="0"/>
                  <w:vAlign w:val="center"/>
                </w:tcPr>
                <w:p w14:paraId="1DA581AA">
                  <w:pPr>
                    <w:pStyle w:val="22"/>
                    <w:bidi w:val="0"/>
                    <w:rPr>
                      <w:rFonts w:hint="default"/>
                      <w:color w:val="auto"/>
                      <w:lang w:val="en-US" w:eastAsia="zh-CN"/>
                    </w:rPr>
                  </w:pPr>
                  <w:r>
                    <w:rPr>
                      <w:rFonts w:hint="eastAsia"/>
                      <w:color w:val="auto"/>
                      <w:lang w:val="en-US" w:eastAsia="zh-CN"/>
                    </w:rPr>
                    <w:t>本项目废水经开发区污水管网排入开发区污水处理厂处理达标后外排，不直排</w:t>
                  </w:r>
                </w:p>
              </w:tc>
              <w:tc>
                <w:tcPr>
                  <w:tcW w:w="538" w:type="dxa"/>
                  <w:tcBorders>
                    <w:tl2br w:val="nil"/>
                    <w:tr2bl w:val="nil"/>
                  </w:tcBorders>
                  <w:noWrap w:val="0"/>
                  <w:vAlign w:val="center"/>
                </w:tcPr>
                <w:p w14:paraId="589B2879">
                  <w:pPr>
                    <w:pStyle w:val="22"/>
                    <w:bidi w:val="0"/>
                    <w:rPr>
                      <w:rFonts w:hint="default"/>
                      <w:color w:val="auto"/>
                      <w:lang w:val="en-US" w:eastAsia="zh-CN"/>
                    </w:rPr>
                  </w:pPr>
                  <w:r>
                    <w:rPr>
                      <w:rFonts w:hint="eastAsia"/>
                      <w:color w:val="auto"/>
                      <w:lang w:val="en-US" w:eastAsia="zh-CN"/>
                    </w:rPr>
                    <w:t>否</w:t>
                  </w:r>
                </w:p>
              </w:tc>
            </w:tr>
            <w:tr w14:paraId="6BE19F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780" w:type="dxa"/>
                  <w:tcBorders>
                    <w:tl2br w:val="nil"/>
                    <w:tr2bl w:val="nil"/>
                  </w:tcBorders>
                  <w:noWrap w:val="0"/>
                  <w:vAlign w:val="center"/>
                </w:tcPr>
                <w:p w14:paraId="49D89787">
                  <w:pPr>
                    <w:pStyle w:val="22"/>
                    <w:bidi w:val="0"/>
                    <w:rPr>
                      <w:rFonts w:hint="default"/>
                      <w:color w:val="auto"/>
                      <w:lang w:val="en-US" w:eastAsia="zh-CN"/>
                    </w:rPr>
                  </w:pPr>
                  <w:r>
                    <w:rPr>
                      <w:rFonts w:hint="eastAsia"/>
                      <w:color w:val="auto"/>
                      <w:lang w:val="en-US" w:eastAsia="zh-CN"/>
                    </w:rPr>
                    <w:t>环境风险</w:t>
                  </w:r>
                </w:p>
              </w:tc>
              <w:tc>
                <w:tcPr>
                  <w:tcW w:w="3023" w:type="dxa"/>
                  <w:tcBorders>
                    <w:tl2br w:val="nil"/>
                    <w:tr2bl w:val="nil"/>
                  </w:tcBorders>
                  <w:noWrap w:val="0"/>
                  <w:vAlign w:val="center"/>
                </w:tcPr>
                <w:p w14:paraId="7AE0DEBA">
                  <w:pPr>
                    <w:pStyle w:val="22"/>
                    <w:bidi w:val="0"/>
                    <w:rPr>
                      <w:rFonts w:hint="eastAsia"/>
                      <w:color w:val="auto"/>
                      <w:lang w:val="en-US" w:eastAsia="zh-CN"/>
                    </w:rPr>
                  </w:pPr>
                  <w:r>
                    <w:rPr>
                      <w:rFonts w:hint="eastAsia"/>
                      <w:color w:val="auto"/>
                      <w:lang w:val="en-US" w:eastAsia="zh-CN"/>
                    </w:rPr>
                    <w:t>有毒有害和易燃易爆危险物质存储量超过临界量的建设项目</w:t>
                  </w:r>
                </w:p>
              </w:tc>
              <w:tc>
                <w:tcPr>
                  <w:tcW w:w="3345" w:type="dxa"/>
                  <w:tcBorders>
                    <w:tl2br w:val="nil"/>
                    <w:tr2bl w:val="nil"/>
                  </w:tcBorders>
                  <w:noWrap w:val="0"/>
                  <w:vAlign w:val="center"/>
                </w:tcPr>
                <w:p w14:paraId="7F35A59B">
                  <w:pPr>
                    <w:pStyle w:val="22"/>
                    <w:bidi w:val="0"/>
                    <w:rPr>
                      <w:rFonts w:hint="default"/>
                      <w:color w:val="auto"/>
                      <w:lang w:val="en-US" w:eastAsia="zh-CN"/>
                    </w:rPr>
                  </w:pPr>
                  <w:r>
                    <w:rPr>
                      <w:rFonts w:hint="eastAsia"/>
                      <w:color w:val="auto"/>
                      <w:lang w:val="en-US" w:eastAsia="zh-CN"/>
                    </w:rPr>
                    <w:t>本项目有毒有害和易燃易爆危险物质的存储量未超过临界量</w:t>
                  </w:r>
                </w:p>
              </w:tc>
              <w:tc>
                <w:tcPr>
                  <w:tcW w:w="538" w:type="dxa"/>
                  <w:tcBorders>
                    <w:tl2br w:val="nil"/>
                    <w:tr2bl w:val="nil"/>
                  </w:tcBorders>
                  <w:noWrap w:val="0"/>
                  <w:vAlign w:val="center"/>
                </w:tcPr>
                <w:p w14:paraId="106AF585">
                  <w:pPr>
                    <w:pStyle w:val="22"/>
                    <w:bidi w:val="0"/>
                    <w:rPr>
                      <w:rFonts w:hint="default"/>
                      <w:color w:val="auto"/>
                      <w:lang w:val="en-US" w:eastAsia="zh-CN"/>
                    </w:rPr>
                  </w:pPr>
                  <w:r>
                    <w:rPr>
                      <w:rFonts w:hint="eastAsia"/>
                      <w:color w:val="auto"/>
                      <w:lang w:val="en-US" w:eastAsia="zh-CN"/>
                    </w:rPr>
                    <w:t>否</w:t>
                  </w:r>
                </w:p>
              </w:tc>
            </w:tr>
            <w:tr w14:paraId="0882E0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780" w:type="dxa"/>
                  <w:tcBorders>
                    <w:tl2br w:val="nil"/>
                    <w:tr2bl w:val="nil"/>
                  </w:tcBorders>
                  <w:noWrap w:val="0"/>
                  <w:vAlign w:val="center"/>
                </w:tcPr>
                <w:p w14:paraId="583B7007">
                  <w:pPr>
                    <w:pStyle w:val="22"/>
                    <w:bidi w:val="0"/>
                    <w:rPr>
                      <w:rFonts w:hint="default"/>
                      <w:color w:val="auto"/>
                      <w:lang w:val="en-US" w:eastAsia="zh-CN"/>
                    </w:rPr>
                  </w:pPr>
                  <w:r>
                    <w:rPr>
                      <w:rFonts w:hint="eastAsia"/>
                      <w:color w:val="auto"/>
                      <w:lang w:val="en-US" w:eastAsia="zh-CN"/>
                    </w:rPr>
                    <w:t>生态</w:t>
                  </w:r>
                </w:p>
              </w:tc>
              <w:tc>
                <w:tcPr>
                  <w:tcW w:w="3023" w:type="dxa"/>
                  <w:tcBorders>
                    <w:tl2br w:val="nil"/>
                    <w:tr2bl w:val="nil"/>
                  </w:tcBorders>
                  <w:noWrap w:val="0"/>
                  <w:vAlign w:val="center"/>
                </w:tcPr>
                <w:p w14:paraId="03EC879B">
                  <w:pPr>
                    <w:pStyle w:val="22"/>
                    <w:bidi w:val="0"/>
                    <w:rPr>
                      <w:rFonts w:hint="eastAsia"/>
                      <w:color w:val="auto"/>
                      <w:lang w:val="en-US" w:eastAsia="zh-CN"/>
                    </w:rPr>
                  </w:pPr>
                  <w:r>
                    <w:rPr>
                      <w:rFonts w:hint="eastAsia"/>
                      <w:color w:val="auto"/>
                      <w:lang w:val="en-US" w:eastAsia="zh-CN"/>
                    </w:rPr>
                    <w:t>取水口下游500米范围内有重要水生生物的自然产卵场、索饵场、越冬场和洄游通道的新增河道取水的污染类建设项目</w:t>
                  </w:r>
                </w:p>
              </w:tc>
              <w:tc>
                <w:tcPr>
                  <w:tcW w:w="3345" w:type="dxa"/>
                  <w:tcBorders>
                    <w:tl2br w:val="nil"/>
                    <w:tr2bl w:val="nil"/>
                  </w:tcBorders>
                  <w:noWrap w:val="0"/>
                  <w:vAlign w:val="center"/>
                </w:tcPr>
                <w:p w14:paraId="5F7D2806">
                  <w:pPr>
                    <w:pStyle w:val="22"/>
                    <w:bidi w:val="0"/>
                    <w:rPr>
                      <w:rFonts w:hint="default"/>
                      <w:color w:val="auto"/>
                      <w:lang w:val="en-US" w:eastAsia="zh-CN"/>
                    </w:rPr>
                  </w:pPr>
                  <w:r>
                    <w:rPr>
                      <w:rFonts w:hint="eastAsia"/>
                      <w:color w:val="auto"/>
                      <w:lang w:val="en-US" w:eastAsia="zh-CN"/>
                    </w:rPr>
                    <w:t>本项目用水为市政自来水，不涉及取水口</w:t>
                  </w:r>
                </w:p>
              </w:tc>
              <w:tc>
                <w:tcPr>
                  <w:tcW w:w="538" w:type="dxa"/>
                  <w:tcBorders>
                    <w:tl2br w:val="nil"/>
                    <w:tr2bl w:val="nil"/>
                  </w:tcBorders>
                  <w:noWrap w:val="0"/>
                  <w:vAlign w:val="center"/>
                </w:tcPr>
                <w:p w14:paraId="116152DD">
                  <w:pPr>
                    <w:pStyle w:val="22"/>
                    <w:bidi w:val="0"/>
                    <w:rPr>
                      <w:rFonts w:hint="default"/>
                      <w:color w:val="auto"/>
                      <w:lang w:val="en-US" w:eastAsia="zh-CN"/>
                    </w:rPr>
                  </w:pPr>
                  <w:r>
                    <w:rPr>
                      <w:rFonts w:hint="eastAsia"/>
                      <w:color w:val="auto"/>
                      <w:lang w:val="en-US" w:eastAsia="zh-CN"/>
                    </w:rPr>
                    <w:t>否</w:t>
                  </w:r>
                </w:p>
              </w:tc>
            </w:tr>
            <w:tr w14:paraId="62121C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780" w:type="dxa"/>
                  <w:tcBorders>
                    <w:tl2br w:val="nil"/>
                    <w:tr2bl w:val="nil"/>
                  </w:tcBorders>
                  <w:noWrap w:val="0"/>
                  <w:vAlign w:val="center"/>
                </w:tcPr>
                <w:p w14:paraId="65539EA1">
                  <w:pPr>
                    <w:pStyle w:val="22"/>
                    <w:bidi w:val="0"/>
                    <w:rPr>
                      <w:rFonts w:hint="default"/>
                      <w:color w:val="auto"/>
                      <w:lang w:val="en-US" w:eastAsia="zh-CN"/>
                    </w:rPr>
                  </w:pPr>
                  <w:r>
                    <w:rPr>
                      <w:rFonts w:hint="eastAsia"/>
                      <w:color w:val="auto"/>
                      <w:lang w:val="en-US" w:eastAsia="zh-CN"/>
                    </w:rPr>
                    <w:t>海洋</w:t>
                  </w:r>
                </w:p>
              </w:tc>
              <w:tc>
                <w:tcPr>
                  <w:tcW w:w="3023" w:type="dxa"/>
                  <w:tcBorders>
                    <w:tl2br w:val="nil"/>
                    <w:tr2bl w:val="nil"/>
                  </w:tcBorders>
                  <w:noWrap w:val="0"/>
                  <w:vAlign w:val="center"/>
                </w:tcPr>
                <w:p w14:paraId="441914B2">
                  <w:pPr>
                    <w:pStyle w:val="22"/>
                    <w:bidi w:val="0"/>
                    <w:rPr>
                      <w:rFonts w:hint="eastAsia"/>
                      <w:color w:val="auto"/>
                      <w:lang w:val="en-US" w:eastAsia="zh-CN"/>
                    </w:rPr>
                  </w:pPr>
                  <w:r>
                    <w:rPr>
                      <w:rFonts w:hint="eastAsia"/>
                      <w:color w:val="auto"/>
                      <w:lang w:val="en-US" w:eastAsia="zh-CN"/>
                    </w:rPr>
                    <w:t>直接向海排放污染物的海洋工程建设项目</w:t>
                  </w:r>
                </w:p>
              </w:tc>
              <w:tc>
                <w:tcPr>
                  <w:tcW w:w="3345" w:type="dxa"/>
                  <w:tcBorders>
                    <w:tl2br w:val="nil"/>
                    <w:tr2bl w:val="nil"/>
                  </w:tcBorders>
                  <w:noWrap w:val="0"/>
                  <w:vAlign w:val="center"/>
                </w:tcPr>
                <w:p w14:paraId="63C920A6">
                  <w:pPr>
                    <w:pStyle w:val="22"/>
                    <w:bidi w:val="0"/>
                    <w:rPr>
                      <w:rFonts w:hint="default"/>
                      <w:color w:val="auto"/>
                      <w:lang w:val="en-US" w:eastAsia="zh-CN"/>
                    </w:rPr>
                  </w:pPr>
                  <w:r>
                    <w:rPr>
                      <w:rFonts w:hint="eastAsia"/>
                      <w:color w:val="auto"/>
                      <w:lang w:val="en-US" w:eastAsia="zh-CN"/>
                    </w:rPr>
                    <w:t>本项目不涉及向海排放污染物</w:t>
                  </w:r>
                </w:p>
              </w:tc>
              <w:tc>
                <w:tcPr>
                  <w:tcW w:w="538" w:type="dxa"/>
                  <w:tcBorders>
                    <w:tl2br w:val="nil"/>
                    <w:tr2bl w:val="nil"/>
                  </w:tcBorders>
                  <w:noWrap w:val="0"/>
                  <w:vAlign w:val="center"/>
                </w:tcPr>
                <w:p w14:paraId="12A8A13D">
                  <w:pPr>
                    <w:pStyle w:val="22"/>
                    <w:bidi w:val="0"/>
                    <w:rPr>
                      <w:rFonts w:hint="default"/>
                      <w:color w:val="auto"/>
                      <w:lang w:val="en-US" w:eastAsia="zh-CN"/>
                    </w:rPr>
                  </w:pPr>
                  <w:r>
                    <w:rPr>
                      <w:rFonts w:hint="eastAsia"/>
                      <w:color w:val="auto"/>
                      <w:lang w:val="en-US" w:eastAsia="zh-CN"/>
                    </w:rPr>
                    <w:t>否</w:t>
                  </w:r>
                </w:p>
              </w:tc>
            </w:tr>
          </w:tbl>
          <w:p w14:paraId="05E90FD1">
            <w:pPr>
              <w:bidi w:val="0"/>
              <w:rPr>
                <w:color w:val="0000FF"/>
                <w:szCs w:val="21"/>
              </w:rPr>
            </w:pPr>
            <w:r>
              <w:rPr>
                <w:rFonts w:hint="eastAsia"/>
                <w:color w:val="auto"/>
                <w:lang w:val="en-US" w:eastAsia="zh-CN"/>
              </w:rPr>
              <w:t>综上，对照《建设项目环境影响报告表编制技术指南（污染影响类）（试行）》专项评价设置原则，本项目无须设置专项评价。</w:t>
            </w:r>
          </w:p>
        </w:tc>
      </w:tr>
      <w:tr w14:paraId="5B0A69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08" w:hRule="atLeast"/>
          <w:jc w:val="center"/>
        </w:trPr>
        <w:tc>
          <w:tcPr>
            <w:tcW w:w="1162" w:type="dxa"/>
            <w:noWrap w:val="0"/>
            <w:vAlign w:val="center"/>
          </w:tcPr>
          <w:p w14:paraId="770AFC25">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color w:val="auto"/>
              </w:rPr>
            </w:pPr>
            <w:r>
              <w:rPr>
                <w:color w:val="auto"/>
              </w:rPr>
              <w:t>规划情况</w:t>
            </w:r>
          </w:p>
        </w:tc>
        <w:tc>
          <w:tcPr>
            <w:tcW w:w="7911" w:type="dxa"/>
            <w:gridSpan w:val="3"/>
            <w:noWrap w:val="0"/>
            <w:vAlign w:val="center"/>
          </w:tcPr>
          <w:p w14:paraId="5EEC73A3">
            <w:pPr>
              <w:bidi w:val="0"/>
              <w:rPr>
                <w:rFonts w:hint="eastAsia"/>
                <w:color w:val="auto"/>
              </w:rPr>
            </w:pPr>
            <w:r>
              <w:rPr>
                <w:rFonts w:hint="eastAsia"/>
                <w:color w:val="auto"/>
              </w:rPr>
              <w:t>规划名称：《安徽（淮南）现代煤化工产业园总体规划》</w:t>
            </w:r>
          </w:p>
          <w:p w14:paraId="107691CC">
            <w:pPr>
              <w:bidi w:val="0"/>
              <w:rPr>
                <w:rFonts w:hint="eastAsia"/>
                <w:color w:val="auto"/>
              </w:rPr>
            </w:pPr>
            <w:r>
              <w:rPr>
                <w:rFonts w:hint="eastAsia"/>
                <w:color w:val="auto"/>
              </w:rPr>
              <w:t>审批机关及审批时间：安徽省人民政府，2010年12月23日</w:t>
            </w:r>
          </w:p>
          <w:p w14:paraId="37670EEC">
            <w:pPr>
              <w:bidi w:val="0"/>
              <w:rPr>
                <w:color w:val="auto"/>
              </w:rPr>
            </w:pPr>
            <w:r>
              <w:rPr>
                <w:rFonts w:hint="eastAsia"/>
                <w:color w:val="auto"/>
              </w:rPr>
              <w:t>审批文件名称及审批文号：《安徽省人民政府关于筹建安徽淮南现代煤化工产业园的批复》，皖政秘</w:t>
            </w:r>
            <w:r>
              <w:rPr>
                <w:rFonts w:hint="eastAsia"/>
                <w:color w:val="auto"/>
                <w:lang w:eastAsia="zh-CN"/>
              </w:rPr>
              <w:t>〔2010〕423号</w:t>
            </w:r>
          </w:p>
        </w:tc>
      </w:tr>
      <w:tr w14:paraId="06E8EC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29" w:hRule="atLeast"/>
          <w:jc w:val="center"/>
        </w:trPr>
        <w:tc>
          <w:tcPr>
            <w:tcW w:w="1162" w:type="dxa"/>
            <w:noWrap w:val="0"/>
            <w:vAlign w:val="center"/>
          </w:tcPr>
          <w:p w14:paraId="238B0A87">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color w:val="auto"/>
              </w:rPr>
            </w:pPr>
            <w:r>
              <w:rPr>
                <w:color w:val="auto"/>
              </w:rPr>
              <w:t>规划环境影响评价情况</w:t>
            </w:r>
          </w:p>
        </w:tc>
        <w:tc>
          <w:tcPr>
            <w:tcW w:w="7911" w:type="dxa"/>
            <w:gridSpan w:val="3"/>
            <w:noWrap w:val="0"/>
            <w:vAlign w:val="center"/>
          </w:tcPr>
          <w:p w14:paraId="0A71B794">
            <w:pPr>
              <w:bidi w:val="0"/>
              <w:rPr>
                <w:rFonts w:hint="eastAsia"/>
                <w:color w:val="auto"/>
              </w:rPr>
            </w:pPr>
            <w:r>
              <w:rPr>
                <w:rFonts w:hint="eastAsia"/>
                <w:color w:val="auto"/>
              </w:rPr>
              <w:t>规划环评文件名称：《安徽淮南潘集经济开发区</w:t>
            </w:r>
            <w:r>
              <w:rPr>
                <w:rFonts w:hint="eastAsia"/>
                <w:color w:val="auto"/>
                <w:lang w:eastAsia="zh-CN"/>
              </w:rPr>
              <w:t>（</w:t>
            </w:r>
            <w:r>
              <w:rPr>
                <w:rFonts w:hint="eastAsia"/>
                <w:color w:val="auto"/>
              </w:rPr>
              <w:t>安徽淮南现代煤</w:t>
            </w:r>
            <w:r>
              <w:rPr>
                <w:rFonts w:hint="eastAsia"/>
                <w:color w:val="auto"/>
                <w:lang w:val="en-US" w:eastAsia="zh-CN"/>
              </w:rPr>
              <w:t>化</w:t>
            </w:r>
            <w:r>
              <w:rPr>
                <w:rFonts w:hint="eastAsia"/>
                <w:color w:val="auto"/>
              </w:rPr>
              <w:t>工产业园</w:t>
            </w:r>
            <w:r>
              <w:rPr>
                <w:rFonts w:hint="eastAsia"/>
                <w:color w:val="auto"/>
                <w:lang w:eastAsia="zh-CN"/>
              </w:rPr>
              <w:t>）</w:t>
            </w:r>
            <w:r>
              <w:rPr>
                <w:rFonts w:hint="eastAsia"/>
                <w:color w:val="auto"/>
              </w:rPr>
              <w:t>总体发展规划</w:t>
            </w:r>
            <w:r>
              <w:rPr>
                <w:rFonts w:hint="eastAsia"/>
                <w:color w:val="auto"/>
                <w:lang w:eastAsia="zh-CN"/>
              </w:rPr>
              <w:t>（</w:t>
            </w:r>
            <w:r>
              <w:rPr>
                <w:rFonts w:hint="eastAsia"/>
                <w:color w:val="auto"/>
              </w:rPr>
              <w:t>2022-2035年</w:t>
            </w:r>
            <w:r>
              <w:rPr>
                <w:rFonts w:hint="eastAsia"/>
                <w:color w:val="auto"/>
                <w:lang w:eastAsia="zh-CN"/>
              </w:rPr>
              <w:t>）</w:t>
            </w:r>
            <w:r>
              <w:rPr>
                <w:rFonts w:hint="eastAsia"/>
                <w:color w:val="auto"/>
              </w:rPr>
              <w:t>主导产业变更环境影响报告书》</w:t>
            </w:r>
          </w:p>
          <w:p w14:paraId="020CFCC6">
            <w:pPr>
              <w:bidi w:val="0"/>
              <w:rPr>
                <w:rFonts w:hint="eastAsia"/>
                <w:color w:val="auto"/>
              </w:rPr>
            </w:pPr>
            <w:r>
              <w:rPr>
                <w:rFonts w:hint="eastAsia"/>
                <w:color w:val="auto"/>
              </w:rPr>
              <w:t>召集审查机关：淮南市生态环境局</w:t>
            </w:r>
          </w:p>
          <w:p w14:paraId="67E3776C">
            <w:pPr>
              <w:bidi w:val="0"/>
              <w:rPr>
                <w:rFonts w:hint="eastAsia" w:eastAsia="宋体"/>
                <w:color w:val="auto"/>
                <w:szCs w:val="21"/>
                <w:lang w:eastAsia="zh-CN"/>
              </w:rPr>
            </w:pPr>
            <w:r>
              <w:rPr>
                <w:rFonts w:hint="eastAsia"/>
                <w:color w:val="auto"/>
              </w:rPr>
              <w:t>审查文件名称及文号：关于印发《安徽淮南潘集经济开发区</w:t>
            </w:r>
            <w:r>
              <w:rPr>
                <w:rFonts w:hint="eastAsia"/>
                <w:color w:val="auto"/>
                <w:lang w:eastAsia="zh-CN"/>
              </w:rPr>
              <w:t>（</w:t>
            </w:r>
            <w:r>
              <w:rPr>
                <w:rFonts w:hint="eastAsia"/>
                <w:color w:val="auto"/>
              </w:rPr>
              <w:t>安徽淮南现代煤化工产业园</w:t>
            </w:r>
            <w:r>
              <w:rPr>
                <w:rFonts w:hint="eastAsia"/>
                <w:color w:val="auto"/>
                <w:lang w:eastAsia="zh-CN"/>
              </w:rPr>
              <w:t>）</w:t>
            </w:r>
            <w:r>
              <w:rPr>
                <w:rFonts w:hint="eastAsia"/>
                <w:color w:val="auto"/>
              </w:rPr>
              <w:t>总体发展规划</w:t>
            </w:r>
            <w:r>
              <w:rPr>
                <w:rFonts w:hint="eastAsia"/>
                <w:color w:val="auto"/>
                <w:lang w:eastAsia="zh-CN"/>
              </w:rPr>
              <w:t>（</w:t>
            </w:r>
            <w:r>
              <w:rPr>
                <w:rFonts w:hint="eastAsia"/>
                <w:color w:val="auto"/>
              </w:rPr>
              <w:t>2022-2035年</w:t>
            </w:r>
            <w:r>
              <w:rPr>
                <w:rFonts w:hint="eastAsia"/>
                <w:color w:val="auto"/>
                <w:lang w:eastAsia="zh-CN"/>
              </w:rPr>
              <w:t>）</w:t>
            </w:r>
            <w:r>
              <w:rPr>
                <w:rFonts w:hint="eastAsia"/>
                <w:color w:val="auto"/>
              </w:rPr>
              <w:t>主导产业变更环境影响报告书》审查意见的函；淮环函</w:t>
            </w:r>
            <w:r>
              <w:rPr>
                <w:rFonts w:hint="eastAsia"/>
                <w:color w:val="auto"/>
                <w:lang w:eastAsia="zh-CN"/>
              </w:rPr>
              <w:t>〔2024〕47号。</w:t>
            </w:r>
          </w:p>
        </w:tc>
      </w:tr>
      <w:tr w14:paraId="44FA38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57" w:hRule="atLeast"/>
          <w:jc w:val="center"/>
        </w:trPr>
        <w:tc>
          <w:tcPr>
            <w:tcW w:w="1162" w:type="dxa"/>
            <w:noWrap w:val="0"/>
            <w:vAlign w:val="center"/>
          </w:tcPr>
          <w:p w14:paraId="518AC2F1">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color w:val="auto"/>
              </w:rPr>
            </w:pPr>
            <w:r>
              <w:rPr>
                <w:color w:val="auto"/>
              </w:rPr>
              <w:t>规划及规划环境影响评价符合性分析</w:t>
            </w:r>
          </w:p>
        </w:tc>
        <w:tc>
          <w:tcPr>
            <w:tcW w:w="7911" w:type="dxa"/>
            <w:gridSpan w:val="3"/>
            <w:noWrap w:val="0"/>
            <w:vAlign w:val="center"/>
          </w:tcPr>
          <w:p w14:paraId="2E0AD894">
            <w:pPr>
              <w:bidi w:val="0"/>
              <w:rPr>
                <w:rFonts w:hint="default"/>
                <w:b/>
                <w:bCs/>
                <w:color w:val="auto"/>
                <w:lang w:val="en-US" w:eastAsia="zh-CN"/>
              </w:rPr>
            </w:pPr>
            <w:r>
              <w:rPr>
                <w:rFonts w:hint="default"/>
                <w:b/>
                <w:bCs/>
                <w:color w:val="auto"/>
                <w:lang w:val="en-US" w:eastAsia="zh-CN"/>
              </w:rPr>
              <w:t>1、与《安徽（淮南）现代煤化工产业园总体规划》的相符性分析</w:t>
            </w:r>
          </w:p>
          <w:p w14:paraId="6348D10A">
            <w:pPr>
              <w:bidi w:val="0"/>
              <w:rPr>
                <w:rFonts w:hint="default"/>
                <w:color w:val="auto"/>
                <w:lang w:val="en-US" w:eastAsia="zh-CN"/>
              </w:rPr>
            </w:pPr>
            <w:r>
              <w:rPr>
                <w:rFonts w:hint="default"/>
                <w:color w:val="auto"/>
                <w:lang w:val="en-US" w:eastAsia="zh-CN"/>
              </w:rPr>
              <w:t>安徽</w:t>
            </w:r>
            <w:r>
              <w:rPr>
                <w:rFonts w:hint="eastAsia"/>
                <w:color w:val="auto"/>
                <w:lang w:val="en-US" w:eastAsia="zh-CN"/>
              </w:rPr>
              <w:t>（</w:t>
            </w:r>
            <w:r>
              <w:rPr>
                <w:rFonts w:hint="default"/>
                <w:color w:val="auto"/>
                <w:lang w:val="en-US" w:eastAsia="zh-CN"/>
              </w:rPr>
              <w:t>淮南</w:t>
            </w:r>
            <w:r>
              <w:rPr>
                <w:rFonts w:hint="eastAsia"/>
                <w:color w:val="auto"/>
                <w:lang w:val="en-US" w:eastAsia="zh-CN"/>
              </w:rPr>
              <w:t>）</w:t>
            </w:r>
            <w:r>
              <w:rPr>
                <w:rFonts w:hint="default"/>
                <w:color w:val="auto"/>
                <w:lang w:val="en-US" w:eastAsia="zh-CN"/>
              </w:rPr>
              <w:t>现代煤化工产业园（以下简称</w:t>
            </w:r>
            <w:r>
              <w:rPr>
                <w:rFonts w:hint="eastAsia"/>
                <w:color w:val="auto"/>
                <w:lang w:val="en-US" w:eastAsia="zh-CN"/>
              </w:rPr>
              <w:t>“</w:t>
            </w:r>
            <w:r>
              <w:rPr>
                <w:rFonts w:hint="default"/>
                <w:color w:val="auto"/>
                <w:lang w:val="en-US" w:eastAsia="zh-CN"/>
              </w:rPr>
              <w:t>煤化工园区</w:t>
            </w:r>
            <w:r>
              <w:rPr>
                <w:rFonts w:hint="eastAsia"/>
                <w:color w:val="auto"/>
                <w:lang w:val="en-US" w:eastAsia="zh-CN"/>
              </w:rPr>
              <w:t>”</w:t>
            </w:r>
            <w:r>
              <w:rPr>
                <w:rFonts w:hint="default"/>
                <w:color w:val="auto"/>
                <w:lang w:val="en-US" w:eastAsia="zh-CN"/>
              </w:rPr>
              <w:t>）于2010年12月获安徽省人民政府批准设立，规划范围为：东至大圩自然庄，西至西圩自然庄，南至姚凤路，北至合淮阜铁路和平电公司铁路专用线，规划面积12.7km</w:t>
            </w:r>
            <w:r>
              <w:rPr>
                <w:rFonts w:hint="default"/>
                <w:color w:val="auto"/>
                <w:vertAlign w:val="superscript"/>
                <w:lang w:val="en-US" w:eastAsia="zh-CN"/>
              </w:rPr>
              <w:t>2</w:t>
            </w:r>
            <w:r>
              <w:rPr>
                <w:rFonts w:hint="default"/>
                <w:color w:val="auto"/>
                <w:lang w:val="en-US" w:eastAsia="zh-CN"/>
              </w:rPr>
              <w:t>。</w:t>
            </w:r>
          </w:p>
          <w:p w14:paraId="7441DF3E">
            <w:pPr>
              <w:bidi w:val="0"/>
              <w:rPr>
                <w:rFonts w:hint="default"/>
                <w:color w:val="auto"/>
                <w:lang w:val="en-US" w:eastAsia="zh-CN"/>
              </w:rPr>
            </w:pPr>
            <w:r>
              <w:rPr>
                <w:rFonts w:hint="default"/>
                <w:color w:val="auto"/>
                <w:lang w:val="en-US" w:eastAsia="zh-CN"/>
              </w:rPr>
              <w:t>安徽（淮南）现代煤化工产业园的产业定位为：适应淮南煤化工产业园特色化发展的要求，立足长三角</w:t>
            </w:r>
            <w:r>
              <w:rPr>
                <w:rFonts w:hint="eastAsia"/>
                <w:color w:val="auto"/>
                <w:lang w:val="en-US" w:eastAsia="zh-CN"/>
              </w:rPr>
              <w:t>区域</w:t>
            </w:r>
            <w:r>
              <w:rPr>
                <w:rFonts w:hint="default"/>
                <w:color w:val="auto"/>
                <w:lang w:val="en-US" w:eastAsia="zh-CN"/>
              </w:rPr>
              <w:t>发展分工，大力发展煤化工产业以及延伸产业，积极引导企业、技术、人才等向园区集聚，建设中国中部地区一流的现代煤化工产业园，为优化全省产业结构、培育和壮大主导产业、完善现代产业体系作出贡献。①主导产业：园区以煤气化工、煤制天然气和精细化工为主导产业，主导产业具体分为煤基石化板块、替代燃料板块和精细化工、新材料板块。煤基石化板块——煤制烯烃、煤制芳烃、煤制乙二醇等；替代燃料板块——煤制天然气、煤制油、煤制乙醇等；精细化工、新材料板块——精细化工、化工新材料等。②延伸产业：有关资源综合利用产业。③配套产业：根据淮南市十三五规划，十三五期间要推动淮化集团和德邦化工等主城区化工企业搬迁改造，计划2019年开始搬迁，3年左右完成。配套产业主要承接淮化集团、德邦公司等主城区化工企业搬迁，建设以合成氨为核心，尿素、联碱、</w:t>
            </w:r>
            <w:r>
              <w:rPr>
                <w:rFonts w:hint="eastAsia"/>
                <w:color w:val="auto"/>
                <w:lang w:val="en-US" w:eastAsia="zh-CN"/>
              </w:rPr>
              <w:t>氯</w:t>
            </w:r>
            <w:r>
              <w:rPr>
                <w:rFonts w:hint="default"/>
                <w:color w:val="auto"/>
                <w:lang w:val="en-US" w:eastAsia="zh-CN"/>
              </w:rPr>
              <w:t>化铵、硝基复合肥及硝酸下游产品为补充的产业链及生产性和生活性服务业等。</w:t>
            </w:r>
          </w:p>
          <w:p w14:paraId="3D23CD95">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lang w:val="en-US" w:eastAsia="zh-CN"/>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3192145</wp:posOffset>
                      </wp:positionH>
                      <wp:positionV relativeFrom="paragraph">
                        <wp:posOffset>2110105</wp:posOffset>
                      </wp:positionV>
                      <wp:extent cx="1185545" cy="210185"/>
                      <wp:effectExtent l="5080" t="387350" r="9525" b="12065"/>
                      <wp:wrapNone/>
                      <wp:docPr id="6" name="矩形标注 6"/>
                      <wp:cNvGraphicFramePr/>
                      <a:graphic xmlns:a="http://schemas.openxmlformats.org/drawingml/2006/main">
                        <a:graphicData uri="http://schemas.microsoft.com/office/word/2010/wordprocessingShape">
                          <wps:wsp>
                            <wps:cNvSpPr/>
                            <wps:spPr>
                              <a:xfrm>
                                <a:off x="4368800" y="4719955"/>
                                <a:ext cx="1185545" cy="210185"/>
                              </a:xfrm>
                              <a:prstGeom prst="wedgeRectCallout">
                                <a:avLst>
                                  <a:gd name="adj1" fmla="val 42394"/>
                                  <a:gd name="adj2" fmla="val -227039"/>
                                </a:avLst>
                              </a:prstGeom>
                              <a:noFill/>
                              <a:ln w="9525" cap="flat" cmpd="sng">
                                <a:solidFill>
                                  <a:srgbClr val="000000"/>
                                </a:solidFill>
                                <a:prstDash val="solid"/>
                                <a:miter/>
                                <a:headEnd type="none" w="med" len="med"/>
                                <a:tailEnd type="none" w="med" len="med"/>
                              </a:ln>
                            </wps:spPr>
                            <wps:txbx>
                              <w:txbxContent>
                                <w:p w14:paraId="756C706E">
                                  <w:pPr>
                                    <w:ind w:left="0" w:leftChars="0" w:firstLine="0" w:firstLineChars="0"/>
                                    <w:jc w:val="both"/>
                                    <w:rPr>
                                      <w:rFonts w:hint="default" w:eastAsia="宋体"/>
                                      <w:lang w:val="en-US" w:eastAsia="zh-CN"/>
                                    </w:rPr>
                                  </w:pPr>
                                  <w:r>
                                    <w:rPr>
                                      <w:rFonts w:hint="eastAsia"/>
                                      <w:lang w:val="en-US" w:eastAsia="zh-CN"/>
                                    </w:rPr>
                                    <w:t>本项目所在位置</w:t>
                                  </w:r>
                                </w:p>
                              </w:txbxContent>
                            </wps:txbx>
                            <wps:bodyPr rot="0" spcFirstLastPara="0" vertOverflow="overflow" horzOverflow="overflow" vert="horz" wrap="square" lIns="0" tIns="0" rIns="0" bIns="0" numCol="1" spcCol="0" rtlCol="0" fromWordArt="0" anchor="ctr" anchorCtr="0" forceAA="0" upright="1" compatLnSpc="1">
                              <a:noAutofit/>
                            </wps:bodyPr>
                          </wps:wsp>
                        </a:graphicData>
                      </a:graphic>
                    </wp:anchor>
                  </w:drawing>
                </mc:Choice>
                <mc:Fallback>
                  <w:pict>
                    <v:shape id="_x0000_s1026" o:spid="_x0000_s1026" o:spt="61" type="#_x0000_t61" style="position:absolute;left:0pt;margin-left:251.35pt;margin-top:166.15pt;height:16.55pt;width:93.35pt;z-index:251661312;v-text-anchor:middle;mso-width-relative:page;mso-height-relative:page;" filled="f" stroked="t" coordsize="21600,21600" o:gfxdata="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AAAAABkcnMvUEsBAhQAFAAAAAgAh07iQMY9SYPXAAAACwEA&#10;AA8AAAAAAAAAAQAgAAAAIgAAAGRycy9kb3ducmV2LnhtbFBLAQIUABQAAAAIAIdO4kCjdfBexgIA&#10;AH4FAAAOAAAAAAAAAAEAIAAAACYBAABkcnMvZTJvRG9jLnhtbFBLBQYAAAAABgAGAFkBAABeBgAA&#10;AAA=&#10;" adj="19957,-38240">
                      <v:fill on="f" focussize="0,0"/>
                      <v:stroke color="#000000" joinstyle="miter"/>
                      <v:imagedata o:title=""/>
                      <o:lock v:ext="edit" aspectratio="f"/>
                      <v:textbox inset="0mm,0mm,0mm,0mm">
                        <w:txbxContent>
                          <w:p w14:paraId="756C706E">
                            <w:pPr>
                              <w:ind w:left="0" w:leftChars="0" w:firstLine="0" w:firstLineChars="0"/>
                              <w:jc w:val="both"/>
                              <w:rPr>
                                <w:rFonts w:hint="default" w:eastAsia="宋体"/>
                                <w:lang w:val="en-US" w:eastAsia="zh-CN"/>
                              </w:rPr>
                            </w:pPr>
                            <w:r>
                              <w:rPr>
                                <w:rFonts w:hint="eastAsia"/>
                                <w:lang w:val="en-US" w:eastAsia="zh-CN"/>
                              </w:rPr>
                              <w:t>本项目所在位置</w:t>
                            </w:r>
                          </w:p>
                        </w:txbxContent>
                      </v:textbox>
                    </v:shap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4267200</wp:posOffset>
                      </wp:positionH>
                      <wp:positionV relativeFrom="paragraph">
                        <wp:posOffset>1669415</wp:posOffset>
                      </wp:positionV>
                      <wp:extent cx="76200" cy="76200"/>
                      <wp:effectExtent l="4445" t="4445" r="14605" b="14605"/>
                      <wp:wrapNone/>
                      <wp:docPr id="4" name="矩形 4"/>
                      <wp:cNvGraphicFramePr/>
                      <a:graphic xmlns:a="http://schemas.openxmlformats.org/drawingml/2006/main">
                        <a:graphicData uri="http://schemas.microsoft.com/office/word/2010/wordprocessingShape">
                          <wps:wsp>
                            <wps:cNvSpPr/>
                            <wps:spPr>
                              <a:xfrm>
                                <a:off x="4723130" y="4677410"/>
                                <a:ext cx="76200" cy="76200"/>
                              </a:xfrm>
                              <a:prstGeom prst="rect">
                                <a:avLst/>
                              </a:prstGeom>
                              <a:noFill/>
                              <a:ln w="9525" cap="flat" cmpd="sng">
                                <a:solidFill>
                                  <a:srgbClr val="000000"/>
                                </a:solidFill>
                                <a:prstDash val="solid"/>
                                <a:miter/>
                                <a:headEnd type="none" w="med" len="med"/>
                                <a:tailEnd type="none" w="med" len="med"/>
                              </a:ln>
                            </wps:spPr>
                            <wps:bodyPr rot="0" spcFirstLastPara="0" vertOverflow="overflow" horzOverflow="overflow" vert="horz" wrap="square" lIns="91440" tIns="45720" rIns="91440" bIns="45720" numCol="1" spcCol="0" rtlCol="0" fromWordArt="0" anchor="ctr" anchorCtr="0" forceAA="0" upright="1" compatLnSpc="1">
                              <a:noAutofit/>
                            </wps:bodyPr>
                          </wps:wsp>
                        </a:graphicData>
                      </a:graphic>
                    </wp:anchor>
                  </w:drawing>
                </mc:Choice>
                <mc:Fallback>
                  <w:pict>
                    <v:rect id="_x0000_s1026" o:spid="_x0000_s1026" o:spt="1" style="position:absolute;left:0pt;margin-left:336pt;margin-top:131.45pt;height:6pt;width:6pt;z-index:251660288;v-text-anchor:middle;mso-width-relative:page;mso-height-relative:page;" filled="f" stroked="t" coordsize="21600,21600" o:gfxdata="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PJNxXTbAAAACwEA&#10;AA8AAAAAAAAAAQAgAAAAIgAAAGRycy9kb3ducmV2LnhtbFBLAQIUABQAAAAIAIdO4kAnupjAiQIA&#10;ABsFAAAOAAAAAAAAAAEAIAAAACoBAABkcnMvZTJvRG9jLnhtbFBLBQYAAAAABgAGAFkBAAAlBgAA&#10;AAA=&#10;">
                      <v:fill on="f" focussize="0,0"/>
                      <v:stroke color="#000000" joinstyle="miter"/>
                      <v:imagedata o:title=""/>
                      <o:lock v:ext="edit" aspectratio="f"/>
                    </v:rect>
                  </w:pict>
                </mc:Fallback>
              </mc:AlternateContent>
            </w:r>
            <w:r>
              <w:rPr>
                <w:color w:val="auto"/>
              </w:rPr>
              <w:drawing>
                <wp:inline distT="0" distB="0" distL="114300" distR="114300">
                  <wp:extent cx="4986020" cy="3442970"/>
                  <wp:effectExtent l="0" t="0" r="5080" b="5080"/>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pic:cNvPicPr>
                            <a:picLocks noChangeAspect="1"/>
                          </pic:cNvPicPr>
                        </pic:nvPicPr>
                        <pic:blipFill>
                          <a:blip r:embed="rId9"/>
                          <a:stretch>
                            <a:fillRect/>
                          </a:stretch>
                        </pic:blipFill>
                        <pic:spPr>
                          <a:xfrm>
                            <a:off x="0" y="0"/>
                            <a:ext cx="4986020" cy="3442970"/>
                          </a:xfrm>
                          <a:prstGeom prst="rect">
                            <a:avLst/>
                          </a:prstGeom>
                          <a:noFill/>
                          <a:ln>
                            <a:noFill/>
                          </a:ln>
                        </pic:spPr>
                      </pic:pic>
                    </a:graphicData>
                  </a:graphic>
                </wp:inline>
              </w:drawing>
            </w:r>
          </w:p>
          <w:p w14:paraId="685EFE66">
            <w:pPr>
              <w:bidi w:val="0"/>
              <w:jc w:val="center"/>
              <w:rPr>
                <w:rFonts w:hint="default"/>
                <w:color w:val="auto"/>
                <w:lang w:val="en-US" w:eastAsia="zh-CN"/>
              </w:rPr>
            </w:pPr>
            <w:r>
              <w:rPr>
                <w:rFonts w:hint="eastAsia"/>
                <w:b/>
                <w:bCs/>
                <w:color w:val="auto"/>
                <w:lang w:val="en-US" w:eastAsia="zh-CN"/>
              </w:rPr>
              <w:t>图1-1  本项目在园区中位置图</w:t>
            </w:r>
          </w:p>
          <w:p w14:paraId="0D002591">
            <w:pPr>
              <w:bidi w:val="0"/>
              <w:rPr>
                <w:rFonts w:hint="eastAsia"/>
                <w:color w:val="auto"/>
                <w:lang w:val="en-US" w:eastAsia="zh-CN"/>
              </w:rPr>
            </w:pPr>
            <w:r>
              <w:rPr>
                <w:rFonts w:hint="default"/>
                <w:color w:val="auto"/>
                <w:lang w:val="en-US" w:eastAsia="zh-CN"/>
              </w:rPr>
              <w:t>本项目选址位于</w:t>
            </w:r>
            <w:r>
              <w:rPr>
                <w:rFonts w:hint="eastAsia"/>
                <w:color w:val="auto"/>
              </w:rPr>
              <w:t>安徽省淮南市潘集区经济开发区（北区）</w:t>
            </w:r>
            <w:r>
              <w:rPr>
                <w:rFonts w:hint="eastAsia"/>
                <w:color w:val="auto"/>
                <w:lang w:eastAsia="zh-CN"/>
              </w:rPr>
              <w:t>，</w:t>
            </w:r>
            <w:r>
              <w:rPr>
                <w:rFonts w:hint="default"/>
                <w:color w:val="auto"/>
                <w:lang w:val="en-US" w:eastAsia="zh-CN"/>
              </w:rPr>
              <w:t>用地性质为</w:t>
            </w:r>
            <w:r>
              <w:rPr>
                <w:rFonts w:hint="eastAsia"/>
                <w:color w:val="auto"/>
                <w:lang w:val="en-US" w:eastAsia="zh-CN"/>
              </w:rPr>
              <w:t>二类</w:t>
            </w:r>
            <w:r>
              <w:rPr>
                <w:rFonts w:hint="default"/>
                <w:color w:val="auto"/>
                <w:lang w:val="en-US" w:eastAsia="zh-CN"/>
              </w:rPr>
              <w:t>工业用地（见附件4租赁合同）；本项目拟</w:t>
            </w:r>
            <w:r>
              <w:rPr>
                <w:rFonts w:hint="eastAsia"/>
                <w:color w:val="auto"/>
                <w:lang w:val="en-US" w:eastAsia="zh-CN"/>
              </w:rPr>
              <w:t>租赁现有厂房</w:t>
            </w:r>
            <w:r>
              <w:rPr>
                <w:rFonts w:hint="default"/>
                <w:color w:val="auto"/>
                <w:lang w:val="en-US" w:eastAsia="zh-CN"/>
              </w:rPr>
              <w:t>建设</w:t>
            </w:r>
            <w:r>
              <w:rPr>
                <w:rFonts w:hint="eastAsia"/>
                <w:color w:val="auto"/>
                <w:lang w:val="en-US" w:eastAsia="zh-CN"/>
              </w:rPr>
              <w:t>管材管件</w:t>
            </w:r>
            <w:r>
              <w:rPr>
                <w:rFonts w:hint="default"/>
                <w:color w:val="auto"/>
                <w:lang w:val="en-US" w:eastAsia="zh-CN"/>
              </w:rPr>
              <w:t>，</w:t>
            </w:r>
            <w:r>
              <w:rPr>
                <w:rFonts w:hint="eastAsia"/>
                <w:color w:val="auto"/>
                <w:lang w:val="en-US" w:eastAsia="zh-CN"/>
              </w:rPr>
              <w:t>不属于主导产业</w:t>
            </w:r>
            <w:r>
              <w:rPr>
                <w:rFonts w:hint="default"/>
                <w:color w:val="auto"/>
                <w:lang w:val="en-US" w:eastAsia="zh-CN"/>
              </w:rPr>
              <w:t>，</w:t>
            </w:r>
            <w:r>
              <w:rPr>
                <w:rFonts w:hint="eastAsia"/>
                <w:color w:val="auto"/>
                <w:lang w:val="en-US" w:eastAsia="zh-CN"/>
              </w:rPr>
              <w:t>按照“非禁即入”的原则，视为允许类，</w:t>
            </w:r>
            <w:r>
              <w:rPr>
                <w:rFonts w:hint="default"/>
                <w:color w:val="auto"/>
                <w:lang w:val="en-US" w:eastAsia="zh-CN"/>
              </w:rPr>
              <w:t>因此项目建设符合园区规划用地及主导产业要求</w:t>
            </w:r>
            <w:r>
              <w:rPr>
                <w:rFonts w:hint="eastAsia"/>
                <w:color w:val="auto"/>
                <w:lang w:val="en-US" w:eastAsia="zh-CN"/>
              </w:rPr>
              <w:t>。</w:t>
            </w:r>
          </w:p>
          <w:p w14:paraId="599902F7">
            <w:pPr>
              <w:bidi w:val="0"/>
              <w:rPr>
                <w:rFonts w:hint="default"/>
                <w:b/>
                <w:bCs/>
                <w:color w:val="auto"/>
                <w:lang w:val="en-US" w:eastAsia="zh-CN"/>
              </w:rPr>
            </w:pPr>
            <w:r>
              <w:rPr>
                <w:rFonts w:hint="default"/>
                <w:b/>
                <w:bCs/>
                <w:color w:val="auto"/>
                <w:lang w:val="en-US" w:eastAsia="zh-CN"/>
              </w:rPr>
              <w:t>2、与《安徽淮南潘集经济开发区</w:t>
            </w:r>
            <w:r>
              <w:rPr>
                <w:rFonts w:hint="eastAsia"/>
                <w:b/>
                <w:bCs/>
                <w:color w:val="auto"/>
                <w:lang w:val="en-US" w:eastAsia="zh-CN"/>
              </w:rPr>
              <w:t>（</w:t>
            </w:r>
            <w:r>
              <w:rPr>
                <w:rFonts w:hint="default"/>
                <w:b/>
                <w:bCs/>
                <w:color w:val="auto"/>
                <w:lang w:val="en-US" w:eastAsia="zh-CN"/>
              </w:rPr>
              <w:t>安徽淮南现代煤</w:t>
            </w:r>
            <w:r>
              <w:rPr>
                <w:rFonts w:hint="eastAsia"/>
                <w:b/>
                <w:bCs/>
                <w:color w:val="auto"/>
                <w:lang w:val="en-US" w:eastAsia="zh-CN"/>
              </w:rPr>
              <w:t>化</w:t>
            </w:r>
            <w:r>
              <w:rPr>
                <w:rFonts w:hint="default"/>
                <w:b/>
                <w:bCs/>
                <w:color w:val="auto"/>
                <w:lang w:val="en-US" w:eastAsia="zh-CN"/>
              </w:rPr>
              <w:t>工产业园</w:t>
            </w:r>
            <w:r>
              <w:rPr>
                <w:rFonts w:hint="eastAsia"/>
                <w:b/>
                <w:bCs/>
                <w:color w:val="auto"/>
                <w:lang w:val="en-US" w:eastAsia="zh-CN"/>
              </w:rPr>
              <w:t>）</w:t>
            </w:r>
            <w:r>
              <w:rPr>
                <w:rFonts w:hint="default"/>
                <w:b/>
                <w:bCs/>
                <w:color w:val="auto"/>
                <w:lang w:val="en-US" w:eastAsia="zh-CN"/>
              </w:rPr>
              <w:t>总体发展规划</w:t>
            </w:r>
            <w:r>
              <w:rPr>
                <w:rFonts w:hint="eastAsia"/>
                <w:b/>
                <w:bCs/>
                <w:color w:val="auto"/>
                <w:lang w:val="en-US" w:eastAsia="zh-CN"/>
              </w:rPr>
              <w:t>（</w:t>
            </w:r>
            <w:r>
              <w:rPr>
                <w:rFonts w:hint="default"/>
                <w:b/>
                <w:bCs/>
                <w:color w:val="auto"/>
                <w:lang w:val="en-US" w:eastAsia="zh-CN"/>
              </w:rPr>
              <w:t>2022-2035年</w:t>
            </w:r>
            <w:r>
              <w:rPr>
                <w:rFonts w:hint="eastAsia"/>
                <w:b/>
                <w:bCs/>
                <w:color w:val="auto"/>
                <w:lang w:val="en-US" w:eastAsia="zh-CN"/>
              </w:rPr>
              <w:t>）</w:t>
            </w:r>
            <w:r>
              <w:rPr>
                <w:rFonts w:hint="default"/>
                <w:b/>
                <w:bCs/>
                <w:color w:val="auto"/>
                <w:lang w:val="en-US" w:eastAsia="zh-CN"/>
              </w:rPr>
              <w:t>主导产业变更环境影响报告书》中产业相符性分析</w:t>
            </w:r>
          </w:p>
          <w:p w14:paraId="75AFD3F8">
            <w:pPr>
              <w:bidi w:val="0"/>
              <w:rPr>
                <w:rFonts w:hint="default"/>
                <w:color w:val="auto"/>
                <w:lang w:val="en-US" w:eastAsia="zh-CN"/>
              </w:rPr>
            </w:pPr>
            <w:r>
              <w:rPr>
                <w:rFonts w:hint="default"/>
                <w:color w:val="auto"/>
                <w:lang w:val="en-US" w:eastAsia="zh-CN"/>
              </w:rPr>
              <w:t>根据《安徽淮南潘集经济开发区</w:t>
            </w:r>
            <w:r>
              <w:rPr>
                <w:rFonts w:hint="eastAsia"/>
                <w:color w:val="auto"/>
                <w:lang w:val="en-US" w:eastAsia="zh-CN"/>
              </w:rPr>
              <w:t>（</w:t>
            </w:r>
            <w:r>
              <w:rPr>
                <w:rFonts w:hint="default"/>
                <w:color w:val="auto"/>
                <w:lang w:val="en-US" w:eastAsia="zh-CN"/>
              </w:rPr>
              <w:t>安徽淮南现代煤</w:t>
            </w:r>
            <w:r>
              <w:rPr>
                <w:rFonts w:hint="eastAsia"/>
                <w:color w:val="auto"/>
                <w:lang w:val="en-US" w:eastAsia="zh-CN"/>
              </w:rPr>
              <w:t>化</w:t>
            </w:r>
            <w:r>
              <w:rPr>
                <w:rFonts w:hint="default"/>
                <w:color w:val="auto"/>
                <w:lang w:val="en-US" w:eastAsia="zh-CN"/>
              </w:rPr>
              <w:t>工产业园</w:t>
            </w:r>
            <w:r>
              <w:rPr>
                <w:rFonts w:hint="eastAsia"/>
                <w:color w:val="auto"/>
                <w:lang w:val="en-US" w:eastAsia="zh-CN"/>
              </w:rPr>
              <w:t>）</w:t>
            </w:r>
            <w:r>
              <w:rPr>
                <w:rFonts w:hint="default"/>
                <w:color w:val="auto"/>
                <w:lang w:val="en-US" w:eastAsia="zh-CN"/>
              </w:rPr>
              <w:t>总体发展规划</w:t>
            </w:r>
            <w:r>
              <w:rPr>
                <w:rFonts w:hint="eastAsia"/>
                <w:color w:val="auto"/>
                <w:lang w:val="en-US" w:eastAsia="zh-CN"/>
              </w:rPr>
              <w:t>（</w:t>
            </w:r>
            <w:r>
              <w:rPr>
                <w:rFonts w:hint="default"/>
                <w:color w:val="auto"/>
                <w:lang w:val="en-US" w:eastAsia="zh-CN"/>
              </w:rPr>
              <w:t>2022-2035年</w:t>
            </w:r>
            <w:r>
              <w:rPr>
                <w:rFonts w:hint="eastAsia"/>
                <w:color w:val="auto"/>
                <w:lang w:val="en-US" w:eastAsia="zh-CN"/>
              </w:rPr>
              <w:t>）</w:t>
            </w:r>
            <w:r>
              <w:rPr>
                <w:rFonts w:hint="default"/>
                <w:color w:val="auto"/>
                <w:lang w:val="en-US" w:eastAsia="zh-CN"/>
              </w:rPr>
              <w:t>主导产业变更环境影响报告书</w:t>
            </w:r>
            <w:r>
              <w:rPr>
                <w:rFonts w:hint="eastAsia"/>
                <w:color w:val="auto"/>
                <w:lang w:val="en-US" w:eastAsia="zh-CN"/>
              </w:rPr>
              <w:t>）》</w:t>
            </w:r>
            <w:r>
              <w:rPr>
                <w:rFonts w:hint="default"/>
                <w:color w:val="auto"/>
                <w:lang w:val="en-US" w:eastAsia="zh-CN"/>
              </w:rPr>
              <w:t>，安徽淮南潘集经济开发区主导产业为：</w:t>
            </w:r>
            <w:r>
              <w:rPr>
                <w:rFonts w:hint="eastAsia"/>
                <w:color w:val="auto"/>
                <w:lang w:val="en-US" w:eastAsia="zh-CN"/>
              </w:rPr>
              <w:t>“</w:t>
            </w:r>
            <w:r>
              <w:rPr>
                <w:rFonts w:hint="default"/>
                <w:color w:val="auto"/>
                <w:lang w:val="en-US" w:eastAsia="zh-CN"/>
              </w:rPr>
              <w:t>化学原料和化学品制造业（26）、橡胶和塑料制品业（29）、计算机、通信和其他电子设备制造业（39）</w:t>
            </w:r>
            <w:r>
              <w:rPr>
                <w:rFonts w:hint="eastAsia"/>
                <w:color w:val="auto"/>
                <w:lang w:val="en-US" w:eastAsia="zh-CN"/>
              </w:rPr>
              <w:t>”</w:t>
            </w:r>
            <w:r>
              <w:rPr>
                <w:rFonts w:hint="default"/>
                <w:color w:val="auto"/>
                <w:lang w:val="en-US" w:eastAsia="zh-CN"/>
              </w:rPr>
              <w:t>，其中化学原料和化学品制造业（26）大类下重点发展基础化学原料制造（261）、合成材料制造（265）、专用化学产品制造（266）；橡胶和塑料制品业（29）大类下重点发展橡胶制品业（291）、塑料制品业（292）；计算机、通信和其他电子设备制造业（39）大类下重点发展方向智能消费设备制造（396）、电子器件制造（397）、电子元件及电子专用材料制造（398）。本项目</w:t>
            </w:r>
            <w:r>
              <w:rPr>
                <w:rFonts w:hint="eastAsia"/>
                <w:color w:val="auto"/>
                <w:lang w:val="en-US" w:eastAsia="zh-CN"/>
              </w:rPr>
              <w:t>外购PP、PE塑料颗粒进行高温熔融挤出生产塑料管件管材，属于塑料制品行业，</w:t>
            </w:r>
            <w:r>
              <w:rPr>
                <w:rFonts w:hint="default"/>
                <w:color w:val="auto"/>
                <w:lang w:val="en-US" w:eastAsia="zh-CN"/>
              </w:rPr>
              <w:t>为规划中化橡胶和塑料制品业（29）的</w:t>
            </w:r>
            <w:r>
              <w:rPr>
                <w:rFonts w:hint="eastAsia"/>
                <w:color w:val="auto"/>
                <w:lang w:val="en-US" w:eastAsia="zh-CN"/>
              </w:rPr>
              <w:t>所属行业类别</w:t>
            </w:r>
            <w:r>
              <w:rPr>
                <w:rFonts w:hint="default"/>
                <w:color w:val="auto"/>
                <w:lang w:val="en-US" w:eastAsia="zh-CN"/>
              </w:rPr>
              <w:t>，符合所在园区主导产业定位。本项目在规划中位置见附图</w:t>
            </w:r>
            <w:r>
              <w:rPr>
                <w:rFonts w:hint="eastAsia"/>
                <w:color w:val="auto"/>
                <w:lang w:val="en-US" w:eastAsia="zh-CN"/>
              </w:rPr>
              <w:t>4</w:t>
            </w:r>
            <w:r>
              <w:rPr>
                <w:rFonts w:hint="default"/>
                <w:color w:val="auto"/>
                <w:lang w:val="en-US" w:eastAsia="zh-CN"/>
              </w:rPr>
              <w:t>项目在规划中位置图。</w:t>
            </w:r>
          </w:p>
          <w:p w14:paraId="35F48C35">
            <w:pPr>
              <w:bidi w:val="0"/>
              <w:rPr>
                <w:rFonts w:hint="default"/>
                <w:b/>
                <w:bCs/>
                <w:color w:val="auto"/>
                <w:lang w:val="en-US" w:eastAsia="zh-CN"/>
              </w:rPr>
            </w:pPr>
            <w:r>
              <w:rPr>
                <w:rFonts w:hint="default"/>
                <w:b/>
                <w:bCs/>
                <w:color w:val="auto"/>
                <w:lang w:val="en-US" w:eastAsia="zh-CN"/>
              </w:rPr>
              <w:t>3、与《安徽淮南潘集经济开发区</w:t>
            </w:r>
            <w:r>
              <w:rPr>
                <w:rFonts w:hint="eastAsia"/>
                <w:b/>
                <w:bCs/>
                <w:color w:val="auto"/>
                <w:lang w:val="en-US" w:eastAsia="zh-CN"/>
              </w:rPr>
              <w:t>（</w:t>
            </w:r>
            <w:r>
              <w:rPr>
                <w:rFonts w:hint="default"/>
                <w:b/>
                <w:bCs/>
                <w:color w:val="auto"/>
                <w:lang w:val="en-US" w:eastAsia="zh-CN"/>
              </w:rPr>
              <w:t>安徽淮南现代煤</w:t>
            </w:r>
            <w:r>
              <w:rPr>
                <w:rFonts w:hint="eastAsia"/>
                <w:b/>
                <w:bCs/>
                <w:color w:val="auto"/>
                <w:lang w:val="en-US" w:eastAsia="zh-CN"/>
              </w:rPr>
              <w:t>化</w:t>
            </w:r>
            <w:r>
              <w:rPr>
                <w:rFonts w:hint="default"/>
                <w:b/>
                <w:bCs/>
                <w:color w:val="auto"/>
                <w:lang w:val="en-US" w:eastAsia="zh-CN"/>
              </w:rPr>
              <w:t>工产业园</w:t>
            </w:r>
            <w:r>
              <w:rPr>
                <w:rFonts w:hint="eastAsia"/>
                <w:b/>
                <w:bCs/>
                <w:color w:val="auto"/>
                <w:lang w:val="en-US" w:eastAsia="zh-CN"/>
              </w:rPr>
              <w:t>）</w:t>
            </w:r>
            <w:r>
              <w:rPr>
                <w:rFonts w:hint="default"/>
                <w:b/>
                <w:bCs/>
                <w:color w:val="auto"/>
                <w:lang w:val="en-US" w:eastAsia="zh-CN"/>
              </w:rPr>
              <w:t>总体发展规划</w:t>
            </w:r>
            <w:r>
              <w:rPr>
                <w:rFonts w:hint="eastAsia"/>
                <w:b/>
                <w:bCs/>
                <w:color w:val="auto"/>
                <w:lang w:val="en-US" w:eastAsia="zh-CN"/>
              </w:rPr>
              <w:t>（</w:t>
            </w:r>
            <w:r>
              <w:rPr>
                <w:rFonts w:hint="default"/>
                <w:b/>
                <w:bCs/>
                <w:color w:val="auto"/>
                <w:lang w:val="en-US" w:eastAsia="zh-CN"/>
              </w:rPr>
              <w:t>2022-2035年</w:t>
            </w:r>
            <w:r>
              <w:rPr>
                <w:rFonts w:hint="eastAsia"/>
                <w:b/>
                <w:bCs/>
                <w:color w:val="auto"/>
                <w:lang w:val="en-US" w:eastAsia="zh-CN"/>
              </w:rPr>
              <w:t>）</w:t>
            </w:r>
            <w:r>
              <w:rPr>
                <w:rFonts w:hint="default"/>
                <w:b/>
                <w:bCs/>
                <w:color w:val="auto"/>
                <w:lang w:val="en-US" w:eastAsia="zh-CN"/>
              </w:rPr>
              <w:t>主导产业变更环境影响报告书》及其审查意见相符性分析</w:t>
            </w:r>
          </w:p>
          <w:p w14:paraId="0980A73D">
            <w:pPr>
              <w:pStyle w:val="21"/>
              <w:bidi w:val="0"/>
              <w:rPr>
                <w:rFonts w:hint="default"/>
                <w:color w:val="auto"/>
              </w:rPr>
            </w:pPr>
            <w:r>
              <w:rPr>
                <w:rFonts w:hint="default"/>
                <w:color w:val="auto"/>
                <w:lang w:val="en-US" w:eastAsia="zh-CN"/>
              </w:rPr>
              <w:t>表1-</w:t>
            </w:r>
            <w:r>
              <w:rPr>
                <w:rFonts w:hint="eastAsia"/>
                <w:color w:val="auto"/>
                <w:lang w:val="en-US" w:eastAsia="zh-CN"/>
              </w:rPr>
              <w:t>2</w:t>
            </w:r>
            <w:r>
              <w:rPr>
                <w:rFonts w:hint="default"/>
                <w:color w:val="auto"/>
                <w:lang w:val="en-US" w:eastAsia="zh-CN"/>
              </w:rPr>
              <w:t xml:space="preserve">  与《安徽淮南潘集经济开发区</w:t>
            </w:r>
            <w:r>
              <w:rPr>
                <w:rFonts w:hint="eastAsia"/>
                <w:color w:val="auto"/>
                <w:lang w:val="en-US" w:eastAsia="zh-CN"/>
              </w:rPr>
              <w:t>（</w:t>
            </w:r>
            <w:r>
              <w:rPr>
                <w:rFonts w:hint="default"/>
                <w:color w:val="auto"/>
                <w:lang w:val="en-US" w:eastAsia="zh-CN"/>
              </w:rPr>
              <w:t>安徽淮南现代煤</w:t>
            </w:r>
            <w:r>
              <w:rPr>
                <w:rFonts w:hint="eastAsia"/>
                <w:color w:val="auto"/>
                <w:lang w:val="en-US" w:eastAsia="zh-CN"/>
              </w:rPr>
              <w:t>化</w:t>
            </w:r>
            <w:r>
              <w:rPr>
                <w:rFonts w:hint="default"/>
                <w:color w:val="auto"/>
                <w:lang w:val="en-US" w:eastAsia="zh-CN"/>
              </w:rPr>
              <w:t>工产业园</w:t>
            </w:r>
            <w:r>
              <w:rPr>
                <w:rFonts w:hint="eastAsia"/>
                <w:color w:val="auto"/>
                <w:lang w:val="en-US" w:eastAsia="zh-CN"/>
              </w:rPr>
              <w:t>）</w:t>
            </w:r>
            <w:r>
              <w:rPr>
                <w:rFonts w:hint="default"/>
                <w:color w:val="auto"/>
                <w:lang w:val="en-US" w:eastAsia="zh-CN"/>
              </w:rPr>
              <w:t>总体发展规划</w:t>
            </w:r>
            <w:r>
              <w:rPr>
                <w:rFonts w:hint="eastAsia"/>
                <w:color w:val="auto"/>
                <w:lang w:val="en-US" w:eastAsia="zh-CN"/>
              </w:rPr>
              <w:t>（</w:t>
            </w:r>
            <w:r>
              <w:rPr>
                <w:rFonts w:hint="default"/>
                <w:color w:val="auto"/>
                <w:lang w:val="en-US" w:eastAsia="zh-CN"/>
              </w:rPr>
              <w:t>2022-2035年</w:t>
            </w:r>
            <w:r>
              <w:rPr>
                <w:rFonts w:hint="eastAsia"/>
                <w:color w:val="auto"/>
                <w:lang w:val="en-US" w:eastAsia="zh-CN"/>
              </w:rPr>
              <w:t>）</w:t>
            </w:r>
            <w:r>
              <w:rPr>
                <w:rFonts w:hint="default"/>
                <w:color w:val="auto"/>
                <w:lang w:val="en-US" w:eastAsia="zh-CN"/>
              </w:rPr>
              <w:t>主导产业变更环境影响报告书》及其审查意见相符性分析</w:t>
            </w:r>
          </w:p>
          <w:tbl>
            <w:tblPr>
              <w:tblStyle w:val="13"/>
              <w:tblW w:w="49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497"/>
              <w:gridCol w:w="2524"/>
              <w:gridCol w:w="691"/>
            </w:tblGrid>
            <w:tr w14:paraId="55687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362" w:type="dxa"/>
                  <w:tcBorders>
                    <w:tl2br w:val="nil"/>
                    <w:tr2bl w:val="nil"/>
                  </w:tcBorders>
                  <w:shd w:val="clear" w:color="auto" w:fill="auto"/>
                  <w:noWrap w:val="0"/>
                  <w:vAlign w:val="center"/>
                </w:tcPr>
                <w:p w14:paraId="3D61EE82">
                  <w:pPr>
                    <w:pStyle w:val="22"/>
                    <w:bidi w:val="0"/>
                    <w:rPr>
                      <w:rFonts w:hint="eastAsia"/>
                      <w:b/>
                      <w:bCs/>
                      <w:color w:val="auto"/>
                      <w:lang w:val="en-US" w:eastAsia="zh-CN"/>
                    </w:rPr>
                  </w:pPr>
                  <w:r>
                    <w:rPr>
                      <w:rFonts w:hint="eastAsia"/>
                      <w:b/>
                      <w:bCs/>
                      <w:color w:val="auto"/>
                      <w:lang w:val="en-US" w:eastAsia="zh-CN"/>
                    </w:rPr>
                    <w:t>规划环评审查意见要求</w:t>
                  </w:r>
                </w:p>
              </w:tc>
              <w:tc>
                <w:tcPr>
                  <w:tcW w:w="2448" w:type="dxa"/>
                  <w:tcBorders>
                    <w:tl2br w:val="nil"/>
                    <w:tr2bl w:val="nil"/>
                  </w:tcBorders>
                  <w:shd w:val="clear" w:color="auto" w:fill="auto"/>
                  <w:noWrap w:val="0"/>
                  <w:vAlign w:val="center"/>
                </w:tcPr>
                <w:p w14:paraId="1AE6636F">
                  <w:pPr>
                    <w:pStyle w:val="22"/>
                    <w:bidi w:val="0"/>
                    <w:rPr>
                      <w:rFonts w:hint="eastAsia"/>
                      <w:b/>
                      <w:bCs/>
                      <w:color w:val="auto"/>
                      <w:lang w:val="en-US" w:eastAsia="zh-CN"/>
                    </w:rPr>
                  </w:pPr>
                  <w:r>
                    <w:rPr>
                      <w:rFonts w:hint="eastAsia"/>
                      <w:b/>
                      <w:bCs/>
                      <w:color w:val="auto"/>
                      <w:lang w:val="en-US" w:eastAsia="zh-CN"/>
                    </w:rPr>
                    <w:t>本项目情况</w:t>
                  </w:r>
                </w:p>
              </w:tc>
              <w:tc>
                <w:tcPr>
                  <w:tcW w:w="670" w:type="dxa"/>
                  <w:tcBorders>
                    <w:tl2br w:val="nil"/>
                    <w:tr2bl w:val="nil"/>
                  </w:tcBorders>
                  <w:shd w:val="clear" w:color="auto" w:fill="auto"/>
                  <w:noWrap w:val="0"/>
                  <w:vAlign w:val="center"/>
                </w:tcPr>
                <w:p w14:paraId="2B8478B9">
                  <w:pPr>
                    <w:pStyle w:val="22"/>
                    <w:bidi w:val="0"/>
                    <w:rPr>
                      <w:rFonts w:hint="eastAsia"/>
                      <w:b/>
                      <w:bCs/>
                      <w:color w:val="auto"/>
                      <w:lang w:val="en-US" w:eastAsia="zh-CN"/>
                    </w:rPr>
                  </w:pPr>
                  <w:r>
                    <w:rPr>
                      <w:rFonts w:hint="eastAsia"/>
                      <w:b/>
                      <w:bCs/>
                      <w:color w:val="auto"/>
                      <w:lang w:val="en-US" w:eastAsia="zh-CN"/>
                    </w:rPr>
                    <w:t>符合性</w:t>
                  </w:r>
                </w:p>
              </w:tc>
            </w:tr>
            <w:tr w14:paraId="600FA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362" w:type="dxa"/>
                  <w:tcBorders>
                    <w:tl2br w:val="nil"/>
                    <w:tr2bl w:val="nil"/>
                  </w:tcBorders>
                  <w:noWrap w:val="0"/>
                  <w:vAlign w:val="center"/>
                </w:tcPr>
                <w:p w14:paraId="47C8C1D8">
                  <w:pPr>
                    <w:pStyle w:val="22"/>
                    <w:bidi w:val="0"/>
                    <w:rPr>
                      <w:rFonts w:hint="eastAsia"/>
                      <w:color w:val="auto"/>
                      <w:lang w:val="en-US" w:eastAsia="zh-CN"/>
                    </w:rPr>
                  </w:pPr>
                  <w:r>
                    <w:rPr>
                      <w:rFonts w:hint="eastAsia"/>
                      <w:color w:val="auto"/>
                      <w:lang w:val="en-US" w:eastAsia="zh-CN"/>
                    </w:rPr>
                    <w:t>（一）加强《规划》引领，坚持绿色协调发展</w:t>
                  </w:r>
                </w:p>
                <w:p w14:paraId="59F7066C">
                  <w:pPr>
                    <w:pStyle w:val="22"/>
                    <w:bidi w:val="0"/>
                    <w:rPr>
                      <w:rFonts w:hint="eastAsia"/>
                      <w:color w:val="auto"/>
                      <w:lang w:val="en-US" w:eastAsia="zh-CN"/>
                    </w:rPr>
                  </w:pPr>
                  <w:r>
                    <w:rPr>
                      <w:rFonts w:hint="eastAsia"/>
                      <w:color w:val="auto"/>
                      <w:lang w:val="en-US" w:eastAsia="zh-CN"/>
                    </w:rPr>
                    <w:t>《规划》应加强与区域生态环境分区管控要求、“三区三线”成果的协调衔接。统筹推进开发区整体发展和生态保护，基于环境承载力合理控制开发利用强度和时序，进一步提高土地利用效率，协调好产业发展与区域环境保护的关系。统筹开发区减污降碳协同共治、资源集约节约及循环化利用、能源智慧高效利用、环境风险防控等重大事项，引导开发区高质量发展。落实开发区发展规划，结合区域生态环境承载力，确保产业发展与区域生态环境保护、人居环境质量保障相协调。</w:t>
                  </w:r>
                </w:p>
              </w:tc>
              <w:tc>
                <w:tcPr>
                  <w:tcW w:w="2448" w:type="dxa"/>
                  <w:tcBorders>
                    <w:tl2br w:val="nil"/>
                    <w:tr2bl w:val="nil"/>
                  </w:tcBorders>
                  <w:noWrap w:val="0"/>
                  <w:vAlign w:val="center"/>
                </w:tcPr>
                <w:p w14:paraId="57F61D91">
                  <w:pPr>
                    <w:pStyle w:val="22"/>
                    <w:bidi w:val="0"/>
                    <w:rPr>
                      <w:rFonts w:hint="eastAsia"/>
                      <w:color w:val="auto"/>
                      <w:lang w:val="en-US" w:eastAsia="zh-CN"/>
                    </w:rPr>
                  </w:pPr>
                  <w:r>
                    <w:rPr>
                      <w:rFonts w:hint="eastAsia"/>
                      <w:color w:val="auto"/>
                      <w:lang w:val="en-US" w:eastAsia="zh-CN"/>
                    </w:rPr>
                    <w:t>根据核实现代煤化工产业园南区核定范围1070.34公顷，其中784.81公顷在城镇开发边界内，285.53公顷在城镇开发边界外（包括地块4西侧158.89公顷，南侧126.64公顷），不占用永久基本农田，不涉及生态红线。本项目选址位于潘集经济开发区，选址位于城镇开发边界内，不涉及生态保护红线和永久基本农田。本项目建设符合开发区用地规划和主导产业规划。</w:t>
                  </w:r>
                </w:p>
              </w:tc>
              <w:tc>
                <w:tcPr>
                  <w:tcW w:w="670" w:type="dxa"/>
                  <w:tcBorders>
                    <w:tl2br w:val="nil"/>
                    <w:tr2bl w:val="nil"/>
                  </w:tcBorders>
                  <w:noWrap w:val="0"/>
                  <w:vAlign w:val="center"/>
                </w:tcPr>
                <w:p w14:paraId="0A6B2EE8">
                  <w:pPr>
                    <w:pStyle w:val="22"/>
                    <w:bidi w:val="0"/>
                    <w:rPr>
                      <w:rFonts w:hint="default"/>
                      <w:color w:val="auto"/>
                      <w:lang w:val="en-US" w:eastAsia="zh-CN"/>
                    </w:rPr>
                  </w:pPr>
                  <w:r>
                    <w:rPr>
                      <w:rFonts w:hint="eastAsia"/>
                      <w:color w:val="auto"/>
                      <w:lang w:val="en-US" w:eastAsia="zh-CN"/>
                    </w:rPr>
                    <w:t>符合</w:t>
                  </w:r>
                </w:p>
              </w:tc>
            </w:tr>
            <w:tr w14:paraId="6DF5F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362" w:type="dxa"/>
                  <w:tcBorders>
                    <w:tl2br w:val="nil"/>
                    <w:tr2bl w:val="nil"/>
                  </w:tcBorders>
                  <w:noWrap w:val="0"/>
                  <w:vAlign w:val="center"/>
                </w:tcPr>
                <w:p w14:paraId="266AE9FF">
                  <w:pPr>
                    <w:pStyle w:val="22"/>
                    <w:bidi w:val="0"/>
                    <w:rPr>
                      <w:rFonts w:hint="eastAsia"/>
                      <w:color w:val="auto"/>
                      <w:lang w:val="en-US" w:eastAsia="zh-CN"/>
                    </w:rPr>
                  </w:pPr>
                  <w:r>
                    <w:rPr>
                      <w:rFonts w:hint="eastAsia"/>
                      <w:color w:val="auto"/>
                      <w:lang w:val="en-US" w:eastAsia="zh-CN"/>
                    </w:rPr>
                    <w:t>（二）严守环境质量底线，落实区域环境质量管控措施开发区应坚持生态优先、高效集约发展，以生态环境质量改善、防范环境风险为核心，明确开发区发展存在的制约因素。根据国家和我省大气、水、土壤、固废污染防治相关要求，妥善解决区域生态环境问题，确保开发区建设项目污染物长期稳定达标排放，区域生态环境质量持续优化。</w:t>
                  </w:r>
                </w:p>
              </w:tc>
              <w:tc>
                <w:tcPr>
                  <w:tcW w:w="2448" w:type="dxa"/>
                  <w:tcBorders>
                    <w:tl2br w:val="nil"/>
                    <w:tr2bl w:val="nil"/>
                  </w:tcBorders>
                  <w:noWrap w:val="0"/>
                  <w:vAlign w:val="center"/>
                </w:tcPr>
                <w:p w14:paraId="57C210DF">
                  <w:pPr>
                    <w:pStyle w:val="22"/>
                    <w:bidi w:val="0"/>
                    <w:rPr>
                      <w:rFonts w:hint="eastAsia"/>
                      <w:color w:val="auto"/>
                      <w:lang w:val="en-US" w:eastAsia="zh-CN"/>
                    </w:rPr>
                  </w:pPr>
                  <w:r>
                    <w:rPr>
                      <w:rFonts w:hint="eastAsia"/>
                      <w:color w:val="auto"/>
                      <w:lang w:val="en-US" w:eastAsia="zh-CN"/>
                    </w:rPr>
                    <w:t>本项目废气、废水、噪声在采取相应措施后，均能稳定达标排放；固废均能妥善处置，项目的建设不会突破环境质量底线要求</w:t>
                  </w:r>
                </w:p>
              </w:tc>
              <w:tc>
                <w:tcPr>
                  <w:tcW w:w="670" w:type="dxa"/>
                  <w:tcBorders>
                    <w:tl2br w:val="nil"/>
                    <w:tr2bl w:val="nil"/>
                  </w:tcBorders>
                  <w:noWrap w:val="0"/>
                  <w:vAlign w:val="center"/>
                </w:tcPr>
                <w:p w14:paraId="7184158C">
                  <w:pPr>
                    <w:pStyle w:val="22"/>
                    <w:bidi w:val="0"/>
                    <w:rPr>
                      <w:rFonts w:hint="default"/>
                      <w:color w:val="auto"/>
                      <w:lang w:val="en-US" w:eastAsia="zh-CN"/>
                    </w:rPr>
                  </w:pPr>
                  <w:r>
                    <w:rPr>
                      <w:rFonts w:hint="eastAsia"/>
                      <w:color w:val="auto"/>
                      <w:lang w:val="en-US" w:eastAsia="zh-CN"/>
                    </w:rPr>
                    <w:t>符合</w:t>
                  </w:r>
                </w:p>
              </w:tc>
            </w:tr>
            <w:tr w14:paraId="56AE6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362" w:type="dxa"/>
                  <w:tcBorders>
                    <w:tl2br w:val="nil"/>
                    <w:tr2bl w:val="nil"/>
                  </w:tcBorders>
                  <w:noWrap w:val="0"/>
                  <w:vAlign w:val="center"/>
                </w:tcPr>
                <w:p w14:paraId="4329346A">
                  <w:pPr>
                    <w:pStyle w:val="22"/>
                    <w:bidi w:val="0"/>
                    <w:rPr>
                      <w:rFonts w:hint="eastAsia"/>
                      <w:color w:val="auto"/>
                      <w:lang w:val="en-US" w:eastAsia="zh-CN"/>
                    </w:rPr>
                  </w:pPr>
                  <w:r>
                    <w:rPr>
                      <w:rFonts w:hint="eastAsia"/>
                      <w:color w:val="auto"/>
                      <w:lang w:val="en-US" w:eastAsia="zh-CN"/>
                    </w:rPr>
                    <w:t>（三）优化产业布局，加强生态空间保护</w:t>
                  </w:r>
                </w:p>
                <w:p w14:paraId="0A8A82E3">
                  <w:pPr>
                    <w:pStyle w:val="22"/>
                    <w:bidi w:val="0"/>
                    <w:rPr>
                      <w:rFonts w:hint="eastAsia"/>
                      <w:color w:val="auto"/>
                      <w:lang w:val="en-US" w:eastAsia="zh-CN"/>
                    </w:rPr>
                  </w:pPr>
                  <w:r>
                    <w:rPr>
                      <w:rFonts w:hint="eastAsia"/>
                      <w:color w:val="auto"/>
                      <w:lang w:val="en-US" w:eastAsia="zh-CN"/>
                    </w:rPr>
                    <w:t>开发区应结合环境制约因素、产业定位等，进一步完善产业发展规划，优化功能分区和空间布局，不在城镇开发边界范围内的区域应根据《自然资源部关于做好城镇开发边界管理的通知（试行）》（自然资发〔2023〕193号）要求，不得进行开发建设。合理规划不同功能区的环境保护空间，严禁不符合管控要求的各类开发建设活动，规划实施不得降低淮河泥河等地表水体的环境质量。结合区域环境质量要求，科学合理推进开发建设进度。本次规划化工产业片区用地范围不得突破《安徽省自然资源厅关于核定淮南潘集化工园区四至范围和面积的通知》（皖自然资用函〔2024〕1号）要求。</w:t>
                  </w:r>
                </w:p>
              </w:tc>
              <w:tc>
                <w:tcPr>
                  <w:tcW w:w="2448" w:type="dxa"/>
                  <w:tcBorders>
                    <w:tl2br w:val="nil"/>
                    <w:tr2bl w:val="nil"/>
                  </w:tcBorders>
                  <w:noWrap w:val="0"/>
                  <w:vAlign w:val="center"/>
                </w:tcPr>
                <w:p w14:paraId="70E1D154">
                  <w:pPr>
                    <w:pStyle w:val="22"/>
                    <w:bidi w:val="0"/>
                    <w:rPr>
                      <w:rFonts w:hint="default"/>
                      <w:color w:val="auto"/>
                      <w:lang w:val="en-US" w:eastAsia="zh-CN"/>
                    </w:rPr>
                  </w:pPr>
                  <w:r>
                    <w:rPr>
                      <w:color w:val="auto"/>
                    </w:rPr>
                    <w:t>本项目符合园区产业定位，本项目</w:t>
                  </w:r>
                  <w:r>
                    <w:rPr>
                      <w:rFonts w:hint="eastAsia"/>
                      <w:color w:val="auto"/>
                      <w:lang w:val="en-US" w:eastAsia="zh-CN"/>
                    </w:rPr>
                    <w:t>租赁园区内现有厂房进行塑料制品生产加工，根据对照园区主导产业规划布局，</w:t>
                  </w:r>
                  <w:r>
                    <w:rPr>
                      <w:color w:val="auto"/>
                    </w:rPr>
                    <w:t>不新增用地</w:t>
                  </w:r>
                  <w:r>
                    <w:rPr>
                      <w:rFonts w:hint="eastAsia"/>
                      <w:color w:val="auto"/>
                      <w:lang w:val="en-US" w:eastAsia="zh-CN"/>
                    </w:rPr>
                    <w:t>建设厂房。</w:t>
                  </w:r>
                </w:p>
              </w:tc>
              <w:tc>
                <w:tcPr>
                  <w:tcW w:w="670" w:type="dxa"/>
                  <w:tcBorders>
                    <w:tl2br w:val="nil"/>
                    <w:tr2bl w:val="nil"/>
                  </w:tcBorders>
                  <w:noWrap w:val="0"/>
                  <w:vAlign w:val="center"/>
                </w:tcPr>
                <w:p w14:paraId="56EE495C">
                  <w:pPr>
                    <w:pStyle w:val="22"/>
                    <w:bidi w:val="0"/>
                    <w:rPr>
                      <w:rFonts w:hint="default"/>
                      <w:color w:val="auto"/>
                      <w:lang w:val="en-US" w:eastAsia="zh-CN"/>
                    </w:rPr>
                  </w:pPr>
                  <w:r>
                    <w:rPr>
                      <w:rFonts w:hint="eastAsia"/>
                      <w:color w:val="auto"/>
                      <w:lang w:val="en-US" w:eastAsia="zh-CN"/>
                    </w:rPr>
                    <w:t>符合</w:t>
                  </w:r>
                </w:p>
              </w:tc>
            </w:tr>
            <w:tr w14:paraId="24D07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362" w:type="dxa"/>
                  <w:tcBorders>
                    <w:tl2br w:val="nil"/>
                    <w:tr2bl w:val="nil"/>
                  </w:tcBorders>
                  <w:noWrap w:val="0"/>
                  <w:vAlign w:val="center"/>
                </w:tcPr>
                <w:p w14:paraId="09A4123D">
                  <w:pPr>
                    <w:pStyle w:val="22"/>
                    <w:bidi w:val="0"/>
                    <w:rPr>
                      <w:rFonts w:hint="eastAsia"/>
                      <w:color w:val="auto"/>
                      <w:lang w:val="en-US" w:eastAsia="zh-CN"/>
                    </w:rPr>
                  </w:pPr>
                  <w:r>
                    <w:rPr>
                      <w:rFonts w:hint="eastAsia"/>
                      <w:color w:val="auto"/>
                      <w:lang w:val="en-US" w:eastAsia="zh-CN"/>
                    </w:rPr>
                    <w:t>（四）完善环保基础设施建设，强化环境污染防控根据开发时序和开发强度，进一步优化区域供水、排水、供气等规划，完善各项环保基础设施建设。结合区域环境质量现状，细化污染防治基础设施建设和运行管理要求，保障受纳水体的水环境功能、下游水环境、生态环境保护目标及相关考核断面水质稳定达标。</w:t>
                  </w:r>
                </w:p>
              </w:tc>
              <w:tc>
                <w:tcPr>
                  <w:tcW w:w="2448" w:type="dxa"/>
                  <w:tcBorders>
                    <w:tl2br w:val="nil"/>
                    <w:tr2bl w:val="nil"/>
                  </w:tcBorders>
                  <w:noWrap w:val="0"/>
                  <w:vAlign w:val="center"/>
                </w:tcPr>
                <w:p w14:paraId="3220464A">
                  <w:pPr>
                    <w:pStyle w:val="22"/>
                    <w:bidi w:val="0"/>
                    <w:rPr>
                      <w:rFonts w:hint="eastAsia"/>
                      <w:color w:val="auto"/>
                      <w:lang w:val="en-US" w:eastAsia="zh-CN"/>
                    </w:rPr>
                  </w:pPr>
                  <w:r>
                    <w:rPr>
                      <w:rFonts w:hint="eastAsia"/>
                      <w:color w:val="auto"/>
                      <w:lang w:val="en-US" w:eastAsia="zh-CN"/>
                    </w:rPr>
                    <w:t>本项目产生的废水主要为生活污水，循环冷却系统水循环使用，每日补充新鲜水，生活污水依托厂区现有化粪池预处理后接管园区现有污水处理厂处理达标后回用，不对周边地表水体产生不利影响。</w:t>
                  </w:r>
                </w:p>
              </w:tc>
              <w:tc>
                <w:tcPr>
                  <w:tcW w:w="670" w:type="dxa"/>
                  <w:tcBorders>
                    <w:tl2br w:val="nil"/>
                    <w:tr2bl w:val="nil"/>
                  </w:tcBorders>
                  <w:noWrap w:val="0"/>
                  <w:vAlign w:val="center"/>
                </w:tcPr>
                <w:p w14:paraId="59F122B8">
                  <w:pPr>
                    <w:pStyle w:val="22"/>
                    <w:bidi w:val="0"/>
                    <w:rPr>
                      <w:rFonts w:hint="default"/>
                      <w:color w:val="auto"/>
                      <w:lang w:val="en-US" w:eastAsia="zh-CN"/>
                    </w:rPr>
                  </w:pPr>
                  <w:r>
                    <w:rPr>
                      <w:rFonts w:hint="eastAsia"/>
                      <w:color w:val="auto"/>
                      <w:lang w:val="en-US" w:eastAsia="zh-CN"/>
                    </w:rPr>
                    <w:t>符合</w:t>
                  </w:r>
                </w:p>
              </w:tc>
            </w:tr>
            <w:tr w14:paraId="12522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362" w:type="dxa"/>
                  <w:tcBorders>
                    <w:tl2br w:val="nil"/>
                    <w:tr2bl w:val="nil"/>
                  </w:tcBorders>
                  <w:noWrap w:val="0"/>
                  <w:vAlign w:val="center"/>
                </w:tcPr>
                <w:p w14:paraId="50C03A7B">
                  <w:pPr>
                    <w:pStyle w:val="22"/>
                    <w:bidi w:val="0"/>
                    <w:rPr>
                      <w:rFonts w:hint="eastAsia"/>
                      <w:color w:val="auto"/>
                      <w:lang w:val="en-US" w:eastAsia="zh-CN"/>
                    </w:rPr>
                  </w:pPr>
                  <w:r>
                    <w:rPr>
                      <w:rFonts w:hint="eastAsia"/>
                      <w:color w:val="auto"/>
                      <w:lang w:val="en-US" w:eastAsia="zh-CN"/>
                    </w:rPr>
                    <w:t>（五）细化生态环境准入清单，推动高质量发展</w:t>
                  </w:r>
                </w:p>
                <w:p w14:paraId="20EE81C4">
                  <w:pPr>
                    <w:pStyle w:val="22"/>
                    <w:bidi w:val="0"/>
                    <w:rPr>
                      <w:rFonts w:hint="eastAsia"/>
                      <w:color w:val="auto"/>
                      <w:lang w:val="en-US" w:eastAsia="zh-CN"/>
                    </w:rPr>
                  </w:pPr>
                  <w:r>
                    <w:rPr>
                      <w:rFonts w:hint="eastAsia"/>
                      <w:color w:val="auto"/>
                      <w:lang w:val="en-US" w:eastAsia="zh-CN"/>
                    </w:rPr>
                    <w:t>根据国家和区域发展战略，结合区域生态环境质量现状、国土空间规划等，严格落实《报告书》生态环境准入要求。严格执行国家产业政策，坚决遏制“两高一低”项目盲目发展，严禁不符合淮河流域生态环境保护要求的项目入区。</w:t>
                  </w:r>
                </w:p>
              </w:tc>
              <w:tc>
                <w:tcPr>
                  <w:tcW w:w="2448" w:type="dxa"/>
                  <w:tcBorders>
                    <w:tl2br w:val="nil"/>
                    <w:tr2bl w:val="nil"/>
                  </w:tcBorders>
                  <w:noWrap w:val="0"/>
                  <w:vAlign w:val="center"/>
                </w:tcPr>
                <w:p w14:paraId="5BC3EEFB">
                  <w:pPr>
                    <w:pStyle w:val="22"/>
                    <w:bidi w:val="0"/>
                    <w:rPr>
                      <w:rFonts w:hint="eastAsia"/>
                      <w:color w:val="auto"/>
                      <w:lang w:val="en-US" w:eastAsia="zh-CN"/>
                    </w:rPr>
                  </w:pPr>
                  <w:r>
                    <w:rPr>
                      <w:rFonts w:hint="eastAsia"/>
                      <w:color w:val="auto"/>
                      <w:lang w:val="en-US" w:eastAsia="zh-CN"/>
                    </w:rPr>
                    <w:t>本项目符合国家产业政策，符合《淮河流域水污染防治暂行条例》《安徽省贯彻落实淮河生态经济带发展规划实施方案》《安徽省淮河流域水污染防治条例》，不属于“两高一低”项目</w:t>
                  </w:r>
                </w:p>
              </w:tc>
              <w:tc>
                <w:tcPr>
                  <w:tcW w:w="670" w:type="dxa"/>
                  <w:tcBorders>
                    <w:tl2br w:val="nil"/>
                    <w:tr2bl w:val="nil"/>
                  </w:tcBorders>
                  <w:noWrap w:val="0"/>
                  <w:vAlign w:val="center"/>
                </w:tcPr>
                <w:p w14:paraId="6F8F794F">
                  <w:pPr>
                    <w:pStyle w:val="22"/>
                    <w:bidi w:val="0"/>
                    <w:rPr>
                      <w:rFonts w:hint="default"/>
                      <w:color w:val="auto"/>
                      <w:lang w:val="en-US" w:eastAsia="zh-CN"/>
                    </w:rPr>
                  </w:pPr>
                  <w:r>
                    <w:rPr>
                      <w:rFonts w:hint="eastAsia"/>
                      <w:color w:val="auto"/>
                      <w:lang w:val="en-US" w:eastAsia="zh-CN"/>
                    </w:rPr>
                    <w:t>符合</w:t>
                  </w:r>
                </w:p>
              </w:tc>
            </w:tr>
            <w:tr w14:paraId="3ECBD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362" w:type="dxa"/>
                  <w:tcBorders>
                    <w:tl2br w:val="nil"/>
                    <w:tr2bl w:val="nil"/>
                  </w:tcBorders>
                  <w:noWrap w:val="0"/>
                  <w:vAlign w:val="center"/>
                </w:tcPr>
                <w:p w14:paraId="6801F33E">
                  <w:pPr>
                    <w:pStyle w:val="22"/>
                    <w:bidi w:val="0"/>
                    <w:rPr>
                      <w:rFonts w:hint="eastAsia"/>
                      <w:color w:val="auto"/>
                      <w:lang w:val="en-US" w:eastAsia="zh-CN"/>
                    </w:rPr>
                  </w:pPr>
                  <w:r>
                    <w:rPr>
                      <w:rFonts w:hint="eastAsia"/>
                      <w:color w:val="auto"/>
                      <w:lang w:val="en-US" w:eastAsia="zh-CN"/>
                    </w:rPr>
                    <w:t>（六）完善环境监测体系，加强生态环境风险防控着力提升开发区环境管理水平，统筹考虑区域内污染物排放、大气环境保护、水环境保护、环境风险防范、环境管理等要求，加强日常环境监管与监测。鉴于开发区下游分布有淮河淮南段长吻鮠国家级水产种质资源保护区和安徽省泥河省级湿地公园，应加强开发区重大危险源的识别与管控，严格落实开发区环境风险三级防控体系建设，完善环境风险防范应急措施，确保事故废水与外环境有效隔离、及时处置。在规划实施过程中，适时开展规划环境影响的跟踪评价。结合规划环评及煤化工跟踪评价成果，同步更新“区域评估+环境标准”成果，若规划发生重大调整或修订的，应重新或补充进行环境影响评价。</w:t>
                  </w:r>
                </w:p>
              </w:tc>
              <w:tc>
                <w:tcPr>
                  <w:tcW w:w="2448" w:type="dxa"/>
                  <w:tcBorders>
                    <w:tl2br w:val="nil"/>
                    <w:tr2bl w:val="nil"/>
                  </w:tcBorders>
                  <w:noWrap w:val="0"/>
                  <w:vAlign w:val="center"/>
                </w:tcPr>
                <w:p w14:paraId="33102204">
                  <w:pPr>
                    <w:pStyle w:val="22"/>
                    <w:bidi w:val="0"/>
                    <w:rPr>
                      <w:rFonts w:hint="eastAsia"/>
                      <w:color w:val="auto"/>
                      <w:lang w:val="en-US" w:eastAsia="zh-CN"/>
                    </w:rPr>
                  </w:pPr>
                  <w:r>
                    <w:rPr>
                      <w:rFonts w:hint="eastAsia"/>
                      <w:color w:val="auto"/>
                      <w:lang w:val="en-US" w:eastAsia="zh-CN"/>
                    </w:rPr>
                    <w:t>根据风险识别，本项目Q值小于1，环境风险较小，营运期加强生产管理，厂区大门口、车间门口设置漫坡，园区已按照相关国家标准和规范要求设计和建设集中事故缓冲池（或事故池），确保事故状态下可存储和调控污水，确保企业事故废水在厂区外得到有效收集；园区雨水总排口和周边水系之间建立可关闭的应急闸门，确保事故状态下进入雨水管网的事故废水与外环境有效隔离；同时储备应急物资等，定期进行应急预案操作和演练。因此本项目风险可控。</w:t>
                  </w:r>
                </w:p>
              </w:tc>
              <w:tc>
                <w:tcPr>
                  <w:tcW w:w="670" w:type="dxa"/>
                  <w:tcBorders>
                    <w:tl2br w:val="nil"/>
                    <w:tr2bl w:val="nil"/>
                  </w:tcBorders>
                  <w:noWrap w:val="0"/>
                  <w:vAlign w:val="center"/>
                </w:tcPr>
                <w:p w14:paraId="64224799">
                  <w:pPr>
                    <w:pStyle w:val="22"/>
                    <w:bidi w:val="0"/>
                    <w:rPr>
                      <w:rFonts w:hint="eastAsia"/>
                      <w:color w:val="auto"/>
                      <w:lang w:val="en-US" w:eastAsia="zh-CN"/>
                    </w:rPr>
                  </w:pPr>
                  <w:r>
                    <w:rPr>
                      <w:rFonts w:hint="eastAsia"/>
                      <w:color w:val="auto"/>
                      <w:lang w:val="en-US" w:eastAsia="zh-CN"/>
                    </w:rPr>
                    <w:t>符合</w:t>
                  </w:r>
                </w:p>
              </w:tc>
            </w:tr>
          </w:tbl>
          <w:p w14:paraId="1735D8D2">
            <w:pPr>
              <w:bidi w:val="0"/>
              <w:rPr>
                <w:color w:val="auto"/>
                <w:szCs w:val="21"/>
              </w:rPr>
            </w:pPr>
            <w:r>
              <w:rPr>
                <w:rFonts w:hint="eastAsia"/>
                <w:color w:val="auto"/>
                <w:lang w:val="en-US" w:eastAsia="zh-CN"/>
              </w:rPr>
              <w:t>综上分析，本项目的建设符合《安徽淮南潘集经济开发区（安徽淮南现代产业园）总体发展规划（2022-2035年）主导产业变更环境影响报告书》及其审查意见的相关要求。</w:t>
            </w:r>
          </w:p>
        </w:tc>
      </w:tr>
      <w:tr w14:paraId="15270C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1" w:hRule="atLeast"/>
          <w:jc w:val="center"/>
        </w:trPr>
        <w:tc>
          <w:tcPr>
            <w:tcW w:w="1162" w:type="dxa"/>
            <w:noWrap w:val="0"/>
            <w:vAlign w:val="center"/>
          </w:tcPr>
          <w:p w14:paraId="2F9B973A">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color w:val="0000FF"/>
              </w:rPr>
            </w:pPr>
            <w:r>
              <w:rPr>
                <w:color w:val="auto"/>
              </w:rPr>
              <w:t>其他符合性分析</w:t>
            </w:r>
          </w:p>
        </w:tc>
        <w:tc>
          <w:tcPr>
            <w:tcW w:w="7911" w:type="dxa"/>
            <w:gridSpan w:val="3"/>
            <w:noWrap w:val="0"/>
            <w:vAlign w:val="center"/>
          </w:tcPr>
          <w:p w14:paraId="7BC63F64">
            <w:pPr>
              <w:bidi w:val="0"/>
              <w:rPr>
                <w:rFonts w:hint="eastAsia"/>
                <w:b/>
                <w:bCs/>
                <w:color w:val="auto"/>
              </w:rPr>
            </w:pPr>
            <w:r>
              <w:rPr>
                <w:rFonts w:hint="eastAsia"/>
                <w:b/>
                <w:bCs/>
                <w:color w:val="auto"/>
              </w:rPr>
              <w:t>1、选址符合性分析</w:t>
            </w:r>
          </w:p>
          <w:p w14:paraId="2BD643FE">
            <w:pPr>
              <w:bidi w:val="0"/>
              <w:rPr>
                <w:color w:val="auto"/>
              </w:rPr>
            </w:pPr>
            <w:r>
              <w:rPr>
                <w:rFonts w:hint="eastAsia"/>
                <w:color w:val="auto"/>
              </w:rPr>
              <w:t>（1）</w:t>
            </w:r>
            <w:r>
              <w:rPr>
                <w:color w:val="auto"/>
              </w:rPr>
              <w:t>选址合理性分析</w:t>
            </w:r>
          </w:p>
          <w:p w14:paraId="19DA6141">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outlineLvl w:val="9"/>
              <w:rPr>
                <w:rFonts w:hint="eastAsia"/>
                <w:b w:val="0"/>
                <w:bCs w:val="0"/>
                <w:color w:val="auto"/>
                <w:lang w:val="en-US" w:eastAsia="zh-CN"/>
              </w:rPr>
            </w:pPr>
            <w:r>
              <w:rPr>
                <w:color w:val="auto"/>
              </w:rPr>
              <w:t>本项目</w:t>
            </w:r>
            <w:r>
              <w:rPr>
                <w:rFonts w:hint="eastAsia"/>
                <w:color w:val="auto"/>
              </w:rPr>
              <w:t>选址</w:t>
            </w:r>
            <w:r>
              <w:rPr>
                <w:color w:val="auto"/>
              </w:rPr>
              <w:t>于</w:t>
            </w:r>
            <w:r>
              <w:rPr>
                <w:rFonts w:hint="eastAsia"/>
                <w:color w:val="auto"/>
              </w:rPr>
              <w:t>潘集区经济开发区（北区）2号厂房，根据</w:t>
            </w:r>
            <w:r>
              <w:rPr>
                <w:rFonts w:hint="eastAsia"/>
                <w:color w:val="auto"/>
                <w:lang w:eastAsia="zh-CN"/>
              </w:rPr>
              <w:t>《</w:t>
            </w:r>
            <w:r>
              <w:rPr>
                <w:rFonts w:hint="eastAsia"/>
                <w:color w:val="auto"/>
              </w:rPr>
              <w:t>安徽淮南潘集经济开发区（安徽淮南现代煤化工产业园）总体发展规划（2022-2035年）</w:t>
            </w:r>
            <w:r>
              <w:rPr>
                <w:rFonts w:hint="eastAsia"/>
                <w:color w:val="auto"/>
                <w:lang w:eastAsia="zh-CN"/>
              </w:rPr>
              <w:t>》</w:t>
            </w:r>
            <w:r>
              <w:rPr>
                <w:rFonts w:hint="eastAsia"/>
                <w:color w:val="auto"/>
              </w:rPr>
              <w:t>，</w:t>
            </w:r>
          </w:p>
          <w:p w14:paraId="4A91937F">
            <w:pPr>
              <w:bidi w:val="0"/>
              <w:ind w:left="0" w:leftChars="0" w:firstLine="0" w:firstLineChars="0"/>
              <w:rPr>
                <w:color w:val="auto"/>
              </w:rPr>
            </w:pPr>
            <w:r>
              <w:rPr>
                <w:rFonts w:hint="eastAsia"/>
                <w:color w:val="auto"/>
              </w:rPr>
              <w:t>开发区主导产业为：</w:t>
            </w:r>
            <w:r>
              <w:rPr>
                <w:rFonts w:hint="default"/>
                <w:color w:val="auto"/>
                <w:lang w:val="en-US" w:eastAsia="zh-CN"/>
              </w:rPr>
              <w:t>化学原料和化学品制造业、橡胶和塑料制品业、计算机、通信和其他电子设备制造业</w:t>
            </w:r>
            <w:r>
              <w:rPr>
                <w:rFonts w:hint="eastAsia"/>
                <w:color w:val="auto"/>
              </w:rPr>
              <w:t>。本项目</w:t>
            </w:r>
            <w:r>
              <w:rPr>
                <w:color w:val="auto"/>
              </w:rPr>
              <w:t>占地类型为</w:t>
            </w:r>
            <w:r>
              <w:rPr>
                <w:rFonts w:hint="eastAsia"/>
                <w:color w:val="auto"/>
                <w:lang w:val="en-US" w:eastAsia="zh-CN"/>
              </w:rPr>
              <w:t>二类</w:t>
            </w:r>
            <w:r>
              <w:rPr>
                <w:color w:val="auto"/>
              </w:rPr>
              <w:t>工业用地，</w:t>
            </w:r>
            <w:r>
              <w:rPr>
                <w:rFonts w:hint="eastAsia"/>
                <w:color w:val="auto"/>
                <w:lang w:val="en-US" w:eastAsia="zh-CN"/>
              </w:rPr>
              <w:t>本项目选址位于橡胶和塑料制品业区块，本项目外购新塑料粒子生产加工塑料管材，属于新材料生产加工，</w:t>
            </w:r>
            <w:r>
              <w:rPr>
                <w:color w:val="auto"/>
              </w:rPr>
              <w:t>符合</w:t>
            </w:r>
            <w:r>
              <w:rPr>
                <w:rFonts w:hint="eastAsia"/>
                <w:color w:val="auto"/>
                <w:lang w:val="en-US" w:eastAsia="zh-CN"/>
              </w:rPr>
              <w:t>安徽（淮南）现代煤化工产业园总体规划</w:t>
            </w:r>
            <w:r>
              <w:rPr>
                <w:color w:val="auto"/>
              </w:rPr>
              <w:t>产业定位和当地的整体规划、环境保护等要求，交通便利，区域环境质量良好，</w:t>
            </w:r>
            <w:r>
              <w:rPr>
                <w:rFonts w:hint="eastAsia"/>
                <w:color w:val="auto"/>
              </w:rPr>
              <w:t>地表水环境满足《地表水环境质量标准》（GB3838</w:t>
            </w:r>
            <w:r>
              <w:rPr>
                <w:color w:val="auto"/>
              </w:rPr>
              <w:t>-</w:t>
            </w:r>
            <w:r>
              <w:rPr>
                <w:rFonts w:hint="eastAsia"/>
                <w:color w:val="auto"/>
              </w:rPr>
              <w:t>2002）中Ⅲ类标准要求；</w:t>
            </w:r>
            <w:r>
              <w:rPr>
                <w:rFonts w:hint="eastAsia"/>
                <w:color w:val="auto"/>
                <w:lang w:val="en-US" w:eastAsia="zh-CN"/>
              </w:rPr>
              <w:t>区域</w:t>
            </w:r>
            <w:r>
              <w:rPr>
                <w:color w:val="auto"/>
              </w:rPr>
              <w:t>大气环境</w:t>
            </w:r>
            <w:r>
              <w:rPr>
                <w:rFonts w:hint="eastAsia"/>
                <w:color w:val="auto"/>
                <w:lang w:eastAsia="zh-CN"/>
              </w:rPr>
              <w:t>（</w:t>
            </w:r>
            <w:r>
              <w:rPr>
                <w:rFonts w:hint="eastAsia"/>
                <w:color w:val="auto"/>
                <w:lang w:val="en-US" w:eastAsia="zh-CN"/>
              </w:rPr>
              <w:t>除PM</w:t>
            </w:r>
            <w:r>
              <w:rPr>
                <w:rFonts w:hint="eastAsia"/>
                <w:color w:val="auto"/>
                <w:vertAlign w:val="subscript"/>
                <w:lang w:val="en-US" w:eastAsia="zh-CN"/>
              </w:rPr>
              <w:t>2.5</w:t>
            </w:r>
            <w:r>
              <w:rPr>
                <w:rFonts w:hint="eastAsia"/>
                <w:color w:val="auto"/>
                <w:lang w:val="en-US" w:eastAsia="zh-CN"/>
              </w:rPr>
              <w:t>稍许超标</w:t>
            </w:r>
            <w:r>
              <w:rPr>
                <w:rFonts w:hint="eastAsia"/>
                <w:color w:val="auto"/>
                <w:lang w:eastAsia="zh-CN"/>
              </w:rPr>
              <w:t>），</w:t>
            </w:r>
            <w:r>
              <w:rPr>
                <w:rFonts w:hint="eastAsia"/>
                <w:color w:val="auto"/>
                <w:lang w:val="en-US" w:eastAsia="zh-CN"/>
              </w:rPr>
              <w:t>其他基本污染物</w:t>
            </w:r>
            <w:r>
              <w:rPr>
                <w:rFonts w:hint="eastAsia"/>
                <w:color w:val="auto"/>
              </w:rPr>
              <w:t>基本</w:t>
            </w:r>
            <w:r>
              <w:rPr>
                <w:color w:val="auto"/>
              </w:rPr>
              <w:t>满足《环境空气质量标准》</w:t>
            </w:r>
            <w:r>
              <w:rPr>
                <w:rFonts w:hint="eastAsia"/>
                <w:color w:val="auto"/>
                <w:lang w:eastAsia="zh-CN"/>
              </w:rPr>
              <w:t>（</w:t>
            </w:r>
            <w:r>
              <w:rPr>
                <w:color w:val="auto"/>
              </w:rPr>
              <w:t>GB3095-2012</w:t>
            </w:r>
            <w:r>
              <w:rPr>
                <w:rFonts w:hint="eastAsia"/>
                <w:color w:val="auto"/>
                <w:lang w:eastAsia="zh-CN"/>
              </w:rPr>
              <w:t>）</w:t>
            </w:r>
            <w:r>
              <w:rPr>
                <w:color w:val="auto"/>
              </w:rPr>
              <w:t>中的二级标准要求</w:t>
            </w:r>
            <w:r>
              <w:rPr>
                <w:rFonts w:hint="eastAsia"/>
                <w:color w:val="auto"/>
              </w:rPr>
              <w:t>；</w:t>
            </w:r>
            <w:r>
              <w:rPr>
                <w:color w:val="auto"/>
              </w:rPr>
              <w:t>项目区域声环境质量满足《声环境质量标准》</w:t>
            </w:r>
            <w:r>
              <w:rPr>
                <w:rFonts w:hint="eastAsia"/>
                <w:color w:val="auto"/>
                <w:lang w:eastAsia="zh-CN"/>
              </w:rPr>
              <w:t>（</w:t>
            </w:r>
            <w:r>
              <w:rPr>
                <w:color w:val="auto"/>
              </w:rPr>
              <w:t>GB3096-2008</w:t>
            </w:r>
            <w:r>
              <w:rPr>
                <w:rFonts w:hint="eastAsia"/>
                <w:color w:val="auto"/>
                <w:lang w:eastAsia="zh-CN"/>
              </w:rPr>
              <w:t>）</w:t>
            </w:r>
            <w:r>
              <w:rPr>
                <w:color w:val="auto"/>
              </w:rPr>
              <w:t>中3类区标准，环境容量较大，项目区域对项目无制约因素，因此项目选址较为合理。</w:t>
            </w:r>
          </w:p>
          <w:p w14:paraId="3FC3EB1A">
            <w:pPr>
              <w:bidi w:val="0"/>
              <w:rPr>
                <w:color w:val="auto"/>
              </w:rPr>
            </w:pPr>
            <w:r>
              <w:rPr>
                <w:color w:val="0000FF"/>
              </w:rPr>
              <w:t>（</w:t>
            </w:r>
            <w:r>
              <w:rPr>
                <w:color w:val="auto"/>
              </w:rPr>
              <w:t>2）</w:t>
            </w:r>
            <w:r>
              <w:rPr>
                <w:rFonts w:hint="eastAsia"/>
                <w:color w:val="auto"/>
              </w:rPr>
              <w:t>用地</w:t>
            </w:r>
            <w:r>
              <w:rPr>
                <w:color w:val="auto"/>
              </w:rPr>
              <w:t>符合性分析</w:t>
            </w:r>
          </w:p>
          <w:p w14:paraId="54516F43">
            <w:pPr>
              <w:bidi w:val="0"/>
              <w:rPr>
                <w:color w:val="auto"/>
              </w:rPr>
            </w:pPr>
            <w:r>
              <w:rPr>
                <w:rFonts w:hint="eastAsia"/>
                <w:color w:val="auto"/>
              </w:rPr>
              <w:t>本项目位于潘集区经济开发区（北区）2号厂房，占地类型属于</w:t>
            </w:r>
            <w:r>
              <w:rPr>
                <w:rFonts w:hint="eastAsia"/>
                <w:color w:val="auto"/>
                <w:lang w:val="en-US" w:eastAsia="zh-CN"/>
              </w:rPr>
              <w:t>二</w:t>
            </w:r>
            <w:r>
              <w:rPr>
                <w:rFonts w:hint="eastAsia"/>
                <w:color w:val="auto"/>
              </w:rPr>
              <w:t>类工业用地，对照《安徽淮南潘集经济开发区(安徽淮南现代煤</w:t>
            </w:r>
            <w:r>
              <w:rPr>
                <w:rFonts w:hint="eastAsia"/>
                <w:color w:val="auto"/>
                <w:lang w:val="en-US" w:eastAsia="zh-CN"/>
              </w:rPr>
              <w:t>化</w:t>
            </w:r>
            <w:r>
              <w:rPr>
                <w:rFonts w:hint="eastAsia"/>
                <w:color w:val="auto"/>
              </w:rPr>
              <w:t>工产业园)总体发展规划(2022-2035年)》产业布局规划图，本项目选址位于</w:t>
            </w:r>
            <w:r>
              <w:rPr>
                <w:rFonts w:hint="eastAsia"/>
                <w:color w:val="auto"/>
                <w:lang w:val="en-US" w:eastAsia="zh-CN"/>
              </w:rPr>
              <w:t>橡胶和塑料制品业</w:t>
            </w:r>
            <w:r>
              <w:rPr>
                <w:rFonts w:hint="eastAsia"/>
                <w:color w:val="auto"/>
              </w:rPr>
              <w:t>，建设内容与用地性质相符。</w:t>
            </w:r>
          </w:p>
          <w:p w14:paraId="5764C4D4">
            <w:pPr>
              <w:bidi w:val="0"/>
              <w:rPr>
                <w:color w:val="auto"/>
              </w:rPr>
            </w:pPr>
            <w:r>
              <w:rPr>
                <w:color w:val="auto"/>
              </w:rPr>
              <w:t>（3）环境相容性分析</w:t>
            </w:r>
          </w:p>
          <w:p w14:paraId="2666BF16">
            <w:pPr>
              <w:bidi w:val="0"/>
              <w:rPr>
                <w:color w:val="auto"/>
              </w:rPr>
            </w:pPr>
            <w:r>
              <w:rPr>
                <w:color w:val="auto"/>
              </w:rPr>
              <w:t>本项目</w:t>
            </w:r>
            <w:r>
              <w:rPr>
                <w:rFonts w:hint="eastAsia"/>
                <w:color w:val="auto"/>
                <w:lang w:eastAsia="zh-CN"/>
              </w:rPr>
              <w:t>位于</w:t>
            </w:r>
            <w:r>
              <w:rPr>
                <w:rFonts w:hint="eastAsia"/>
                <w:color w:val="auto"/>
              </w:rPr>
              <w:t>潘集区经济开发区（北区）2号厂房</w:t>
            </w:r>
            <w:r>
              <w:rPr>
                <w:color w:val="auto"/>
              </w:rPr>
              <w:t>，周边无特殊保护文物古迹、自然保护区和特殊环境制约因素。</w:t>
            </w:r>
            <w:r>
              <w:rPr>
                <w:rFonts w:hint="eastAsia"/>
                <w:color w:val="auto"/>
              </w:rPr>
              <w:t>企业周边均为工业生产企业，本项目厂界外500m范围内存在</w:t>
            </w:r>
            <w:r>
              <w:rPr>
                <w:rFonts w:hint="eastAsia"/>
                <w:color w:val="auto"/>
                <w:lang w:val="en-US" w:eastAsia="zh-CN"/>
              </w:rPr>
              <w:t>1</w:t>
            </w:r>
            <w:r>
              <w:rPr>
                <w:rFonts w:hint="eastAsia"/>
                <w:color w:val="auto"/>
              </w:rPr>
              <w:t>处</w:t>
            </w:r>
            <w:r>
              <w:rPr>
                <w:rFonts w:hint="eastAsia"/>
                <w:color w:val="auto"/>
                <w:lang w:val="en-US" w:eastAsia="zh-CN"/>
              </w:rPr>
              <w:t>敏感点</w:t>
            </w:r>
            <w:r>
              <w:rPr>
                <w:rFonts w:hint="eastAsia"/>
                <w:color w:val="auto"/>
              </w:rPr>
              <w:t>（</w:t>
            </w:r>
            <w:r>
              <w:rPr>
                <w:rFonts w:hint="eastAsia"/>
                <w:color w:val="auto"/>
                <w:lang w:val="en-US" w:eastAsia="zh-CN"/>
              </w:rPr>
              <w:t>潘集经济开发区管委会</w:t>
            </w:r>
            <w:r>
              <w:rPr>
                <w:rFonts w:hint="eastAsia"/>
                <w:color w:val="auto"/>
              </w:rPr>
              <w:t>：</w:t>
            </w:r>
            <w:r>
              <w:rPr>
                <w:rFonts w:hint="eastAsia"/>
                <w:color w:val="auto"/>
                <w:lang w:val="en-US" w:eastAsia="zh-CN"/>
              </w:rPr>
              <w:t>东北</w:t>
            </w:r>
            <w:r>
              <w:rPr>
                <w:rFonts w:hint="eastAsia"/>
                <w:color w:val="auto"/>
              </w:rPr>
              <w:t>方向，距离</w:t>
            </w:r>
            <w:r>
              <w:rPr>
                <w:rFonts w:hint="eastAsia"/>
                <w:color w:val="auto"/>
                <w:lang w:val="en-US" w:eastAsia="zh-CN"/>
              </w:rPr>
              <w:t>170</w:t>
            </w:r>
            <w:r>
              <w:rPr>
                <w:rFonts w:hint="eastAsia"/>
                <w:color w:val="auto"/>
              </w:rPr>
              <w:t>m</w:t>
            </w:r>
            <w:r>
              <w:rPr>
                <w:rFonts w:hint="eastAsia"/>
                <w:color w:val="auto"/>
                <w:lang w:eastAsia="zh-CN"/>
              </w:rPr>
              <w:t>）</w:t>
            </w:r>
            <w:r>
              <w:rPr>
                <w:rFonts w:hint="eastAsia"/>
                <w:color w:val="auto"/>
              </w:rPr>
              <w:t>位于主导风侧风向，本项目</w:t>
            </w:r>
            <w:r>
              <w:rPr>
                <w:rFonts w:hint="eastAsia"/>
                <w:color w:val="auto"/>
                <w:lang w:val="en-US" w:eastAsia="zh-CN"/>
              </w:rPr>
              <w:t>生产环节主要涉及外购新鲜塑料粒子加热熔融挤出，上料产生粉尘、破碎粉尘、高温热熔产生有机废气、机械设备运转等，热熔产生有机废气排放量较小，生活污水经污水管网进入园区内污水处理厂，原料上料产生粉尘收集外售，产品切割产生边角料、不合格产品破碎后回用于生产，废机油、废机油桶、废活性炭等危险废物收集后暂存于危废间，定期交由资质单位处置，机械运转产生噪声采取选用低噪声设备、厂房隔声等措施，</w:t>
            </w:r>
            <w:r>
              <w:rPr>
                <w:rFonts w:hint="eastAsia"/>
                <w:color w:val="auto"/>
              </w:rPr>
              <w:t>通过以上措施后，拟建项目</w:t>
            </w:r>
            <w:r>
              <w:rPr>
                <w:rFonts w:hint="eastAsia"/>
                <w:color w:val="auto"/>
                <w:lang w:val="en-US" w:eastAsia="zh-CN"/>
              </w:rPr>
              <w:t>建设</w:t>
            </w:r>
            <w:r>
              <w:rPr>
                <w:rFonts w:hint="eastAsia"/>
                <w:color w:val="auto"/>
              </w:rPr>
              <w:t>对周围环境影响较小。</w:t>
            </w:r>
            <w:r>
              <w:rPr>
                <w:color w:val="auto"/>
              </w:rPr>
              <w:t>周边环境见附图</w:t>
            </w:r>
            <w:r>
              <w:rPr>
                <w:rFonts w:hint="eastAsia"/>
                <w:color w:val="auto"/>
              </w:rPr>
              <w:t>2</w:t>
            </w:r>
            <w:r>
              <w:rPr>
                <w:color w:val="auto"/>
              </w:rPr>
              <w:t>。因此，项目的建设与周边环境相容。</w:t>
            </w:r>
          </w:p>
          <w:p w14:paraId="78E9D680">
            <w:pPr>
              <w:bidi w:val="0"/>
              <w:rPr>
                <w:color w:val="auto"/>
              </w:rPr>
            </w:pPr>
            <w:r>
              <w:rPr>
                <w:color w:val="auto"/>
              </w:rPr>
              <w:t>综上所述，从规划符合性、用地合法性、环境相容性等方面考虑，本项目建设选址是可行的。</w:t>
            </w:r>
          </w:p>
          <w:p w14:paraId="3385E3AA">
            <w:pPr>
              <w:bidi w:val="0"/>
              <w:rPr>
                <w:rFonts w:hint="eastAsia"/>
                <w:b/>
                <w:bCs/>
                <w:color w:val="auto"/>
              </w:rPr>
            </w:pPr>
            <w:r>
              <w:rPr>
                <w:rFonts w:hint="eastAsia"/>
                <w:b/>
                <w:bCs/>
                <w:color w:val="auto"/>
              </w:rPr>
              <w:t>2、产业政策符合性分析</w:t>
            </w:r>
          </w:p>
          <w:p w14:paraId="419585CD">
            <w:pPr>
              <w:bidi w:val="0"/>
              <w:rPr>
                <w:rFonts w:hint="eastAsia"/>
                <w:color w:val="auto"/>
                <w:lang w:eastAsia="zh-CN"/>
              </w:rPr>
            </w:pPr>
            <w:r>
              <w:rPr>
                <w:color w:val="auto"/>
              </w:rPr>
              <w:t>根据《产业结构调整指导目录（20</w:t>
            </w:r>
            <w:r>
              <w:rPr>
                <w:rFonts w:hint="eastAsia"/>
                <w:color w:val="auto"/>
              </w:rPr>
              <w:t>24</w:t>
            </w:r>
            <w:r>
              <w:rPr>
                <w:color w:val="auto"/>
              </w:rPr>
              <w:t>年本）》可知，本项目</w:t>
            </w:r>
            <w:bookmarkStart w:id="9" w:name="_GoBack"/>
            <w:bookmarkEnd w:id="9"/>
            <w:r>
              <w:rPr>
                <w:rFonts w:hint="eastAsia"/>
                <w:color w:val="auto"/>
                <w:lang w:val="en-US" w:eastAsia="zh-CN"/>
              </w:rPr>
              <w:t>不属于</w:t>
            </w:r>
            <w:r>
              <w:rPr>
                <w:rFonts w:hint="eastAsia"/>
                <w:color w:val="auto"/>
              </w:rPr>
              <w:t>鼓励类</w:t>
            </w:r>
            <w:r>
              <w:rPr>
                <w:rFonts w:hint="eastAsia"/>
                <w:color w:val="auto"/>
                <w:lang w:eastAsia="zh-CN"/>
              </w:rPr>
              <w:t>、</w:t>
            </w:r>
            <w:r>
              <w:rPr>
                <w:rFonts w:hint="eastAsia"/>
                <w:color w:val="auto"/>
                <w:lang w:val="en-US" w:eastAsia="zh-CN"/>
              </w:rPr>
              <w:t>限制类和淘汰类</w:t>
            </w:r>
            <w:r>
              <w:rPr>
                <w:color w:val="auto"/>
              </w:rPr>
              <w:t>项目，</w:t>
            </w:r>
            <w:r>
              <w:rPr>
                <w:rFonts w:hint="eastAsia"/>
                <w:color w:val="auto"/>
                <w:lang w:val="en-US" w:eastAsia="zh-CN"/>
              </w:rPr>
              <w:t>按照“非禁即入”原则，视为允许类。</w:t>
            </w:r>
            <w:r>
              <w:rPr>
                <w:rFonts w:hint="eastAsia"/>
                <w:color w:val="auto"/>
              </w:rPr>
              <w:t>本项目于202</w:t>
            </w:r>
            <w:r>
              <w:rPr>
                <w:rFonts w:hint="eastAsia"/>
                <w:color w:val="auto"/>
                <w:lang w:val="en-US" w:eastAsia="zh-CN"/>
              </w:rPr>
              <w:t>6</w:t>
            </w:r>
            <w:r>
              <w:rPr>
                <w:rFonts w:hint="eastAsia"/>
                <w:color w:val="auto"/>
              </w:rPr>
              <w:t>年</w:t>
            </w:r>
            <w:r>
              <w:rPr>
                <w:rFonts w:hint="eastAsia"/>
                <w:color w:val="auto"/>
                <w:lang w:val="en-US" w:eastAsia="zh-CN"/>
              </w:rPr>
              <w:t>1</w:t>
            </w:r>
            <w:r>
              <w:rPr>
                <w:rFonts w:hint="eastAsia"/>
                <w:color w:val="auto"/>
              </w:rPr>
              <w:t>月</w:t>
            </w:r>
            <w:r>
              <w:rPr>
                <w:rFonts w:hint="eastAsia"/>
                <w:color w:val="auto"/>
                <w:lang w:val="en-US" w:eastAsia="zh-CN"/>
              </w:rPr>
              <w:t>21</w:t>
            </w:r>
            <w:r>
              <w:rPr>
                <w:rFonts w:hint="eastAsia"/>
                <w:color w:val="auto"/>
              </w:rPr>
              <w:t>日</w:t>
            </w:r>
            <w:r>
              <w:rPr>
                <w:rFonts w:hint="eastAsia"/>
                <w:color w:val="auto"/>
                <w:lang w:val="en-US" w:eastAsia="zh-CN"/>
              </w:rPr>
              <w:t>潘集区发展改革委</w:t>
            </w:r>
            <w:r>
              <w:rPr>
                <w:color w:val="auto"/>
              </w:rPr>
              <w:t>通过了</w:t>
            </w:r>
            <w:r>
              <w:rPr>
                <w:rFonts w:hint="eastAsia"/>
                <w:color w:val="auto"/>
              </w:rPr>
              <w:t>本项目备案，项目代码为2601-340406-04-01-965787</w:t>
            </w:r>
            <w:r>
              <w:rPr>
                <w:rFonts w:hint="eastAsia"/>
                <w:color w:val="auto"/>
                <w:lang w:eastAsia="zh-CN"/>
              </w:rPr>
              <w:t>。</w:t>
            </w:r>
          </w:p>
          <w:p w14:paraId="084B1527">
            <w:pPr>
              <w:bidi w:val="0"/>
              <w:rPr>
                <w:color w:val="auto"/>
              </w:rPr>
            </w:pPr>
            <w:r>
              <w:rPr>
                <w:color w:val="auto"/>
              </w:rPr>
              <w:t>综上，本项目符合国家及地方产业政策。</w:t>
            </w:r>
          </w:p>
          <w:p w14:paraId="5E00FB6A">
            <w:pPr>
              <w:bidi w:val="0"/>
              <w:rPr>
                <w:b/>
                <w:bCs/>
                <w:color w:val="auto"/>
              </w:rPr>
            </w:pPr>
            <w:r>
              <w:rPr>
                <w:rFonts w:hint="eastAsia"/>
                <w:b/>
                <w:bCs/>
                <w:color w:val="auto"/>
              </w:rPr>
              <w:t>3</w:t>
            </w:r>
            <w:r>
              <w:rPr>
                <w:b/>
                <w:bCs/>
                <w:color w:val="auto"/>
              </w:rPr>
              <w:t>、与</w:t>
            </w:r>
            <w:r>
              <w:rPr>
                <w:rFonts w:hint="default"/>
                <w:b/>
                <w:bCs/>
                <w:color w:val="auto"/>
                <w:lang w:val="en-US" w:eastAsia="zh-CN"/>
              </w:rPr>
              <w:t>《安徽省空气质量持续改善行动方案》(皖政</w:t>
            </w:r>
            <w:r>
              <w:rPr>
                <w:rFonts w:hint="eastAsia"/>
                <w:b/>
                <w:bCs/>
                <w:color w:val="auto"/>
                <w:lang w:val="en-US" w:eastAsia="zh-CN"/>
              </w:rPr>
              <w:t>〔2024〕36号</w:t>
            </w:r>
            <w:r>
              <w:rPr>
                <w:rFonts w:hint="default"/>
                <w:b/>
                <w:bCs/>
                <w:color w:val="auto"/>
                <w:lang w:val="en-US" w:eastAsia="zh-CN"/>
              </w:rPr>
              <w:t>)</w:t>
            </w:r>
            <w:r>
              <w:rPr>
                <w:b/>
                <w:bCs/>
                <w:color w:val="auto"/>
              </w:rPr>
              <w:t>相符性分析</w:t>
            </w:r>
          </w:p>
          <w:p w14:paraId="7B675B5D">
            <w:pPr>
              <w:pStyle w:val="21"/>
              <w:bidi w:val="0"/>
              <w:rPr>
                <w:color w:val="0000FF"/>
              </w:rPr>
            </w:pPr>
            <w:r>
              <w:rPr>
                <w:color w:val="auto"/>
              </w:rPr>
              <w:t>表</w:t>
            </w:r>
            <w:r>
              <w:rPr>
                <w:rFonts w:hint="eastAsia"/>
                <w:color w:val="auto"/>
              </w:rPr>
              <w:t>1-</w:t>
            </w:r>
            <w:r>
              <w:rPr>
                <w:rFonts w:hint="eastAsia"/>
                <w:color w:val="auto"/>
                <w:lang w:val="en-US" w:eastAsia="zh-CN"/>
              </w:rPr>
              <w:t>3</w:t>
            </w:r>
            <w:r>
              <w:rPr>
                <w:color w:val="auto"/>
              </w:rPr>
              <w:t xml:space="preserve"> </w:t>
            </w:r>
            <w:r>
              <w:rPr>
                <w:rFonts w:hint="eastAsia"/>
                <w:color w:val="auto"/>
                <w:lang w:val="en-US" w:eastAsia="zh-CN"/>
              </w:rPr>
              <w:t xml:space="preserve"> </w:t>
            </w:r>
            <w:r>
              <w:rPr>
                <w:rFonts w:hint="eastAsia"/>
                <w:color w:val="auto"/>
              </w:rPr>
              <w:t>项目与</w:t>
            </w:r>
            <w:r>
              <w:rPr>
                <w:rFonts w:hint="default"/>
                <w:b/>
                <w:bCs/>
                <w:color w:val="auto"/>
                <w:lang w:val="en-US" w:eastAsia="zh-CN"/>
              </w:rPr>
              <w:t>皖政</w:t>
            </w:r>
            <w:r>
              <w:rPr>
                <w:rFonts w:hint="eastAsia"/>
                <w:b/>
                <w:bCs/>
                <w:color w:val="auto"/>
                <w:lang w:val="en-US" w:eastAsia="zh-CN"/>
              </w:rPr>
              <w:t>〔2024〕36号</w:t>
            </w:r>
            <w:r>
              <w:rPr>
                <w:rFonts w:hint="eastAsia"/>
                <w:color w:val="auto"/>
              </w:rPr>
              <w:t>文件</w:t>
            </w:r>
            <w:r>
              <w:rPr>
                <w:rFonts w:hint="eastAsia"/>
                <w:color w:val="auto"/>
                <w:lang w:eastAsia="zh-CN"/>
              </w:rPr>
              <w:t>（</w:t>
            </w:r>
            <w:r>
              <w:rPr>
                <w:rFonts w:hint="eastAsia"/>
                <w:color w:val="auto"/>
                <w:lang w:val="en-US" w:eastAsia="zh-CN"/>
              </w:rPr>
              <w:t>节选相关内容</w:t>
            </w:r>
            <w:r>
              <w:rPr>
                <w:rFonts w:hint="eastAsia"/>
                <w:color w:val="auto"/>
                <w:lang w:eastAsia="zh-CN"/>
              </w:rPr>
              <w:t>）</w:t>
            </w:r>
            <w:r>
              <w:rPr>
                <w:color w:val="auto"/>
              </w:rPr>
              <w:t>符合性分析</w:t>
            </w:r>
          </w:p>
          <w:tbl>
            <w:tblPr>
              <w:tblStyle w:val="12"/>
              <w:tblW w:w="4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4976"/>
              <w:gridCol w:w="1986"/>
              <w:gridCol w:w="772"/>
            </w:tblGrid>
            <w:tr w14:paraId="2B62A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976" w:type="dxa"/>
                  <w:noWrap w:val="0"/>
                  <w:vAlign w:val="center"/>
                </w:tcPr>
                <w:p w14:paraId="4CCA87AD">
                  <w:pPr>
                    <w:pStyle w:val="22"/>
                    <w:bidi w:val="0"/>
                    <w:rPr>
                      <w:b/>
                      <w:bCs/>
                      <w:color w:val="auto"/>
                    </w:rPr>
                  </w:pPr>
                  <w:r>
                    <w:rPr>
                      <w:b/>
                      <w:bCs/>
                      <w:color w:val="auto"/>
                    </w:rPr>
                    <w:t>方案要求</w:t>
                  </w:r>
                </w:p>
              </w:tc>
              <w:tc>
                <w:tcPr>
                  <w:tcW w:w="1986" w:type="dxa"/>
                  <w:noWrap w:val="0"/>
                  <w:vAlign w:val="center"/>
                </w:tcPr>
                <w:p w14:paraId="679DB524">
                  <w:pPr>
                    <w:pStyle w:val="22"/>
                    <w:bidi w:val="0"/>
                    <w:rPr>
                      <w:b/>
                      <w:bCs/>
                      <w:color w:val="auto"/>
                    </w:rPr>
                  </w:pPr>
                  <w:r>
                    <w:rPr>
                      <w:b/>
                      <w:bCs/>
                      <w:color w:val="auto"/>
                    </w:rPr>
                    <w:t>本项目建设情况</w:t>
                  </w:r>
                </w:p>
              </w:tc>
              <w:tc>
                <w:tcPr>
                  <w:tcW w:w="772" w:type="dxa"/>
                  <w:noWrap w:val="0"/>
                  <w:vAlign w:val="center"/>
                </w:tcPr>
                <w:p w14:paraId="27E67A08">
                  <w:pPr>
                    <w:pStyle w:val="22"/>
                    <w:bidi w:val="0"/>
                    <w:rPr>
                      <w:b/>
                      <w:bCs/>
                      <w:color w:val="auto"/>
                    </w:rPr>
                  </w:pPr>
                  <w:r>
                    <w:rPr>
                      <w:b/>
                      <w:bCs/>
                      <w:color w:val="auto"/>
                    </w:rPr>
                    <w:t>相符性</w:t>
                  </w:r>
                </w:p>
              </w:tc>
            </w:tr>
            <w:tr w14:paraId="1D924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976" w:type="dxa"/>
                  <w:noWrap w:val="0"/>
                  <w:vAlign w:val="center"/>
                </w:tcPr>
                <w:p w14:paraId="03BB725A">
                  <w:pPr>
                    <w:pStyle w:val="22"/>
                    <w:bidi w:val="0"/>
                    <w:rPr>
                      <w:color w:val="0000FF"/>
                    </w:rPr>
                  </w:pPr>
                  <w:r>
                    <w:rPr>
                      <w:rFonts w:hint="eastAsia"/>
                      <w:color w:val="auto"/>
                      <w:lang w:val="en"/>
                    </w:rPr>
                    <w:t>（三）坚决遏制高耗能、高排放、低水平项目盲目上马。新改扩建项目严格落实国家产业规划、产业政策、生态环境分区管控方案、规划环评、项目环评、节能审查、产能置换、重点污染物总量控制、污染物排放区域削减、碳排放达峰目标等相关要求，原则上采用清洁运输方式。实施“高污染、高耗能”项目部门联审，源头管控低水平项目上马。制定实施安徽省加强生态环境分区管控方案。严格落实产能置换要求，不以任何名义、任何方式核准、备案产能严重过剩行业新增产能项目，被置换产能及其配套设施关停后，新建项目方可投产。</w:t>
                  </w:r>
                </w:p>
              </w:tc>
              <w:tc>
                <w:tcPr>
                  <w:tcW w:w="1986" w:type="dxa"/>
                  <w:noWrap w:val="0"/>
                  <w:vAlign w:val="center"/>
                </w:tcPr>
                <w:p w14:paraId="265CAB3A">
                  <w:pPr>
                    <w:pStyle w:val="22"/>
                    <w:bidi w:val="0"/>
                    <w:rPr>
                      <w:rFonts w:hint="eastAsia"/>
                      <w:color w:val="auto"/>
                      <w:lang w:eastAsia="zh-CN"/>
                    </w:rPr>
                  </w:pPr>
                  <w:r>
                    <w:rPr>
                      <w:rFonts w:hint="eastAsia"/>
                      <w:color w:val="auto"/>
                      <w:lang w:val="en-US" w:eastAsia="zh-CN"/>
                    </w:rPr>
                    <w:t>本项目选址符合规划要求，建设内容符合产业规划布局要求，废气污染因子有机废气、粉尘进行倍量替代总量申请。物料运输采取满足国六标准运输车辆。本项目生产塑料管材，不涉及产能置换。</w:t>
                  </w:r>
                </w:p>
              </w:tc>
              <w:tc>
                <w:tcPr>
                  <w:tcW w:w="772" w:type="dxa"/>
                  <w:noWrap w:val="0"/>
                  <w:vAlign w:val="center"/>
                </w:tcPr>
                <w:p w14:paraId="5DCDFE80">
                  <w:pPr>
                    <w:pStyle w:val="22"/>
                    <w:bidi w:val="0"/>
                    <w:rPr>
                      <w:color w:val="auto"/>
                    </w:rPr>
                  </w:pPr>
                  <w:r>
                    <w:rPr>
                      <w:color w:val="auto"/>
                    </w:rPr>
                    <w:t>符合</w:t>
                  </w:r>
                </w:p>
              </w:tc>
            </w:tr>
            <w:tr w14:paraId="7FFD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976" w:type="dxa"/>
                  <w:noWrap w:val="0"/>
                  <w:vAlign w:val="center"/>
                </w:tcPr>
                <w:p w14:paraId="1BCF78A8">
                  <w:pPr>
                    <w:pStyle w:val="22"/>
                    <w:bidi w:val="0"/>
                    <w:rPr>
                      <w:color w:val="0000FF"/>
                      <w:lang w:val="en"/>
                    </w:rPr>
                  </w:pPr>
                  <w:r>
                    <w:rPr>
                      <w:rFonts w:hint="eastAsia"/>
                      <w:color w:val="auto"/>
                      <w:lang w:val="en"/>
                    </w:rPr>
                    <w:t>（四）有序推动落后产能淘汰。严格执行《产业结构调整指导目录》。综合运用能耗、环保、质量、安全、技术等要求，依法依规推动落后产能退出，逐步退出限制类涉气行业工艺和装备。有序推动生产设施老旧、工艺水平落后、环境管理水平低下的独立焦化、烧结、球团、热轧企业和落后煤炭洗选企业退出市场。逐步淘汰步进式烧结机和球团竖炉以及半封闭式硅锰合金、镍铁、高碳铬铁、高碳锰铁电炉。严禁违规新增钢铁、水泥（熟料）、焦化、电解铝、平板玻璃（不含光伏压延玻璃）产能。鼓励钢铁行业龙头企业实施兼并重组，到2025年，短流程炼钢产量占比达15%。</w:t>
                  </w:r>
                </w:p>
              </w:tc>
              <w:tc>
                <w:tcPr>
                  <w:tcW w:w="1986" w:type="dxa"/>
                  <w:noWrap w:val="0"/>
                  <w:vAlign w:val="center"/>
                </w:tcPr>
                <w:p w14:paraId="011F423A">
                  <w:pPr>
                    <w:pStyle w:val="22"/>
                    <w:bidi w:val="0"/>
                    <w:rPr>
                      <w:rFonts w:hint="eastAsia"/>
                      <w:color w:val="auto"/>
                      <w:lang w:val="en"/>
                    </w:rPr>
                  </w:pPr>
                  <w:r>
                    <w:rPr>
                      <w:rFonts w:hint="eastAsia"/>
                      <w:color w:val="auto"/>
                      <w:lang w:val="en"/>
                    </w:rPr>
                    <w:t>项目</w:t>
                  </w:r>
                  <w:r>
                    <w:rPr>
                      <w:rFonts w:hint="eastAsia"/>
                      <w:color w:val="auto"/>
                      <w:lang w:val="en-US" w:eastAsia="zh-CN"/>
                    </w:rPr>
                    <w:t>外购新料塑料粒子进行塑料管材生产，属于塑料制品业，不涉及落后产能。</w:t>
                  </w:r>
                </w:p>
              </w:tc>
              <w:tc>
                <w:tcPr>
                  <w:tcW w:w="772" w:type="dxa"/>
                  <w:noWrap w:val="0"/>
                  <w:vAlign w:val="center"/>
                </w:tcPr>
                <w:p w14:paraId="2C0ECAA5">
                  <w:pPr>
                    <w:pStyle w:val="22"/>
                    <w:bidi w:val="0"/>
                    <w:rPr>
                      <w:color w:val="auto"/>
                    </w:rPr>
                  </w:pPr>
                  <w:r>
                    <w:rPr>
                      <w:color w:val="auto"/>
                    </w:rPr>
                    <w:t>符合</w:t>
                  </w:r>
                </w:p>
              </w:tc>
            </w:tr>
            <w:tr w14:paraId="39C75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976" w:type="dxa"/>
                  <w:noWrap w:val="0"/>
                  <w:vAlign w:val="center"/>
                </w:tcPr>
                <w:p w14:paraId="4F969DDA">
                  <w:pPr>
                    <w:pStyle w:val="22"/>
                    <w:bidi w:val="0"/>
                    <w:rPr>
                      <w:rFonts w:hint="eastAsia"/>
                      <w:color w:val="0000FF"/>
                      <w:lang w:val="en"/>
                    </w:rPr>
                  </w:pPr>
                  <w:r>
                    <w:rPr>
                      <w:rFonts w:hint="eastAsia"/>
                      <w:color w:val="auto"/>
                      <w:lang w:val="en"/>
                    </w:rPr>
                    <w:t>（六）推动新能源和节能环保等产业健康发展。深化新能源和节能环保产业“双招双引”，在低（无）VOCs含量原辅材料生产和使用、VOCs污染治理、超低排放、环境和大气成分监测等领域支持培育一批技术水平高、市场竞争力强的龙头企业。加快发展新能源汽车和智能网联汽车等战略性新兴产业。开展招标投标领域优化营商环境对标提升行动，系统治理环保领域低价低质中标乱象，营造公平竞争环境，推动产业健康有序发展。</w:t>
                  </w:r>
                </w:p>
              </w:tc>
              <w:tc>
                <w:tcPr>
                  <w:tcW w:w="1986" w:type="dxa"/>
                  <w:noWrap w:val="0"/>
                  <w:vAlign w:val="center"/>
                </w:tcPr>
                <w:p w14:paraId="4E49A5E0">
                  <w:pPr>
                    <w:pStyle w:val="22"/>
                    <w:bidi w:val="0"/>
                    <w:rPr>
                      <w:rFonts w:hint="default" w:eastAsia="宋体"/>
                      <w:color w:val="auto"/>
                      <w:lang w:val="en-US" w:eastAsia="zh-CN"/>
                    </w:rPr>
                  </w:pPr>
                  <w:r>
                    <w:rPr>
                      <w:rFonts w:hint="eastAsia"/>
                      <w:color w:val="auto"/>
                      <w:lang w:val="en-US" w:eastAsia="zh-CN"/>
                    </w:rPr>
                    <w:t>本项目涉VOCs物料为新料塑料粒子，在加热熔融环节产生有机废气，其他环节不使用涉有机废气物料。熔融挤出有机废气经收集采用现行可行技术进行处理后达标排放。</w:t>
                  </w:r>
                </w:p>
              </w:tc>
              <w:tc>
                <w:tcPr>
                  <w:tcW w:w="772" w:type="dxa"/>
                  <w:noWrap w:val="0"/>
                  <w:vAlign w:val="center"/>
                </w:tcPr>
                <w:p w14:paraId="2607493F">
                  <w:pPr>
                    <w:pStyle w:val="22"/>
                    <w:bidi w:val="0"/>
                    <w:rPr>
                      <w:color w:val="auto"/>
                    </w:rPr>
                  </w:pPr>
                  <w:r>
                    <w:rPr>
                      <w:color w:val="auto"/>
                    </w:rPr>
                    <w:t>符合</w:t>
                  </w:r>
                </w:p>
              </w:tc>
            </w:tr>
            <w:tr w14:paraId="75518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976" w:type="dxa"/>
                  <w:noWrap w:val="0"/>
                  <w:vAlign w:val="center"/>
                </w:tcPr>
                <w:p w14:paraId="692ABAC7">
                  <w:pPr>
                    <w:pStyle w:val="22"/>
                    <w:bidi w:val="0"/>
                    <w:rPr>
                      <w:rFonts w:hint="eastAsia"/>
                      <w:color w:val="0000FF"/>
                      <w:lang w:val="en"/>
                    </w:rPr>
                  </w:pPr>
                  <w:r>
                    <w:rPr>
                      <w:rFonts w:hint="eastAsia"/>
                      <w:color w:val="auto"/>
                      <w:lang w:val="en"/>
                    </w:rPr>
                    <w:t>（十八）加强VOCs综合治理。鼓励储罐使用低泄漏的呼吸阀、紧急泄压阀。汽车罐车推广使用密封式快速接头。污水处理场所高浓度有机废气单独收集处理；含VOCs有机废水储罐、装置区集水井（池）有机废气密闭收集处理。石化、化工行业集中的城市和重点工业园区，2024年底前建立统一的泄漏检测与修复信息管理平台。企业开停工、检维修期间，及时收集处理退料、清洗、吹扫等作业产生的VOCs废气，不得将火炬燃烧装置作为日常大气污染处理设施。</w:t>
                  </w:r>
                </w:p>
              </w:tc>
              <w:tc>
                <w:tcPr>
                  <w:tcW w:w="1986" w:type="dxa"/>
                  <w:vMerge w:val="restart"/>
                  <w:noWrap w:val="0"/>
                  <w:vAlign w:val="center"/>
                </w:tcPr>
                <w:p w14:paraId="55665175">
                  <w:pPr>
                    <w:pStyle w:val="22"/>
                    <w:bidi w:val="0"/>
                    <w:rPr>
                      <w:rFonts w:hint="default"/>
                      <w:color w:val="auto"/>
                      <w:lang w:val="en-US" w:eastAsia="zh-CN"/>
                    </w:rPr>
                  </w:pPr>
                  <w:r>
                    <w:rPr>
                      <w:rFonts w:hint="eastAsia"/>
                      <w:color w:val="auto"/>
                      <w:lang w:val="en"/>
                    </w:rPr>
                    <w:t>本项目生产</w:t>
                  </w:r>
                  <w:r>
                    <w:rPr>
                      <w:rFonts w:hint="eastAsia"/>
                      <w:color w:val="auto"/>
                      <w:lang w:val="en-US" w:eastAsia="zh-CN"/>
                    </w:rPr>
                    <w:t>塑料制品，不涉及表面涂装，不使用涂料、油墨和胶黏剂类含VOCs物料，生产环节产生有机废气配套二级活性炭吸附装置处理达标排放。</w:t>
                  </w:r>
                </w:p>
              </w:tc>
              <w:tc>
                <w:tcPr>
                  <w:tcW w:w="772" w:type="dxa"/>
                  <w:noWrap w:val="0"/>
                  <w:vAlign w:val="center"/>
                </w:tcPr>
                <w:p w14:paraId="0BA0C52E">
                  <w:pPr>
                    <w:pStyle w:val="22"/>
                    <w:bidi w:val="0"/>
                    <w:rPr>
                      <w:color w:val="0000FF"/>
                    </w:rPr>
                  </w:pPr>
                  <w:r>
                    <w:rPr>
                      <w:color w:val="auto"/>
                    </w:rPr>
                    <w:t>符合</w:t>
                  </w:r>
                </w:p>
              </w:tc>
            </w:tr>
            <w:tr w14:paraId="7D661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976" w:type="dxa"/>
                  <w:noWrap w:val="0"/>
                  <w:vAlign w:val="center"/>
                </w:tcPr>
                <w:p w14:paraId="309AB759">
                  <w:pPr>
                    <w:pStyle w:val="22"/>
                    <w:bidi w:val="0"/>
                    <w:rPr>
                      <w:rFonts w:hint="eastAsia"/>
                      <w:color w:val="0000FF"/>
                      <w:lang w:val="en"/>
                    </w:rPr>
                  </w:pPr>
                  <w:r>
                    <w:rPr>
                      <w:rFonts w:hint="eastAsia"/>
                      <w:color w:val="0000FF"/>
                      <w:lang w:val="en"/>
                    </w:rPr>
                    <w:t>（</w:t>
                  </w:r>
                  <w:r>
                    <w:rPr>
                      <w:rFonts w:hint="eastAsia"/>
                      <w:color w:val="auto"/>
                      <w:lang w:val="en"/>
                    </w:rPr>
                    <w:t>十九）加快低（无）VOCs原辅材料替代。严格控制生产和使用高VOCs含量涂料、油墨、胶粘剂、清洗剂等建设项目。推动现有高VOCs含量产品生产企业加快产品升级转型，提高低（无）VOCs含量产品比重。加大工业涂装行业、包装印刷行业及电子行业低（无）VOCs含量原辅材料替代力度。室外构筑物防护和城市道路交通标志推广使用低（无）VOCs含量涂料。严格执行VOCs含量限值标准，确保生产、销售、进口、使用符合标准的产品。</w:t>
                  </w:r>
                </w:p>
              </w:tc>
              <w:tc>
                <w:tcPr>
                  <w:tcW w:w="1986" w:type="dxa"/>
                  <w:vMerge w:val="continue"/>
                  <w:noWrap w:val="0"/>
                  <w:vAlign w:val="center"/>
                </w:tcPr>
                <w:p w14:paraId="01CE7C22">
                  <w:pPr>
                    <w:pStyle w:val="22"/>
                    <w:bidi w:val="0"/>
                    <w:rPr>
                      <w:rFonts w:hint="default"/>
                      <w:color w:val="0000FF"/>
                      <w:lang w:val="en-US"/>
                    </w:rPr>
                  </w:pPr>
                </w:p>
              </w:tc>
              <w:tc>
                <w:tcPr>
                  <w:tcW w:w="772" w:type="dxa"/>
                  <w:noWrap w:val="0"/>
                  <w:vAlign w:val="center"/>
                </w:tcPr>
                <w:p w14:paraId="61E77D47">
                  <w:pPr>
                    <w:pStyle w:val="22"/>
                    <w:bidi w:val="0"/>
                    <w:rPr>
                      <w:color w:val="0000FF"/>
                    </w:rPr>
                  </w:pPr>
                  <w:r>
                    <w:rPr>
                      <w:color w:val="auto"/>
                    </w:rPr>
                    <w:t>符合</w:t>
                  </w:r>
                </w:p>
              </w:tc>
            </w:tr>
          </w:tbl>
          <w:p w14:paraId="3DC665BD">
            <w:pPr>
              <w:bidi w:val="0"/>
              <w:rPr>
                <w:b w:val="0"/>
                <w:bCs w:val="0"/>
                <w:color w:val="auto"/>
              </w:rPr>
            </w:pPr>
            <w:r>
              <w:rPr>
                <w:rFonts w:hint="eastAsia"/>
                <w:color w:val="auto"/>
              </w:rPr>
              <w:t>由表1-</w:t>
            </w:r>
            <w:r>
              <w:rPr>
                <w:rFonts w:hint="eastAsia"/>
                <w:color w:val="auto"/>
                <w:lang w:val="en-US" w:eastAsia="zh-CN"/>
              </w:rPr>
              <w:t>3</w:t>
            </w:r>
            <w:r>
              <w:rPr>
                <w:rFonts w:hint="eastAsia"/>
                <w:color w:val="auto"/>
              </w:rPr>
              <w:t>可知</w:t>
            </w:r>
            <w:r>
              <w:rPr>
                <w:color w:val="auto"/>
              </w:rPr>
              <w:t>，项目建设符合</w:t>
            </w:r>
            <w:r>
              <w:rPr>
                <w:rFonts w:hint="default"/>
                <w:b w:val="0"/>
                <w:bCs w:val="0"/>
                <w:color w:val="auto"/>
                <w:lang w:val="en-US" w:eastAsia="zh-CN"/>
              </w:rPr>
              <w:t>《安徽省空气质量持续改善行动方案》(皖政</w:t>
            </w:r>
            <w:r>
              <w:rPr>
                <w:rFonts w:hint="eastAsia"/>
                <w:b w:val="0"/>
                <w:bCs w:val="0"/>
                <w:color w:val="auto"/>
                <w:lang w:val="en-US" w:eastAsia="zh-CN"/>
              </w:rPr>
              <w:t>〔2024〕36号</w:t>
            </w:r>
            <w:r>
              <w:rPr>
                <w:rFonts w:hint="default"/>
                <w:b w:val="0"/>
                <w:bCs w:val="0"/>
                <w:color w:val="auto"/>
                <w:lang w:val="en-US" w:eastAsia="zh-CN"/>
              </w:rPr>
              <w:t>)</w:t>
            </w:r>
            <w:r>
              <w:rPr>
                <w:b w:val="0"/>
                <w:bCs w:val="0"/>
                <w:color w:val="auto"/>
              </w:rPr>
              <w:t>的要求。</w:t>
            </w:r>
          </w:p>
          <w:p w14:paraId="0B58D0C3">
            <w:pPr>
              <w:bidi w:val="0"/>
              <w:rPr>
                <w:rFonts w:hint="eastAsia"/>
                <w:b/>
                <w:bCs/>
                <w:color w:val="auto"/>
              </w:rPr>
            </w:pPr>
            <w:r>
              <w:rPr>
                <w:rFonts w:hint="eastAsia"/>
                <w:b/>
                <w:bCs/>
                <w:color w:val="auto"/>
              </w:rPr>
              <w:t>4、与《</w:t>
            </w:r>
            <w:r>
              <w:rPr>
                <w:b/>
                <w:bCs/>
                <w:color w:val="auto"/>
              </w:rPr>
              <w:t>安徽省大气办关于深入开展挥发性有机物污染治理工作的通知</w:t>
            </w:r>
            <w:r>
              <w:rPr>
                <w:rFonts w:hint="eastAsia"/>
                <w:b/>
                <w:bCs/>
                <w:color w:val="auto"/>
              </w:rPr>
              <w:t>》（皖大气办</w:t>
            </w:r>
            <w:r>
              <w:rPr>
                <w:rFonts w:hint="eastAsia"/>
                <w:b/>
                <w:bCs/>
                <w:color w:val="auto"/>
                <w:lang w:eastAsia="zh-CN"/>
              </w:rPr>
              <w:t>〔</w:t>
            </w:r>
            <w:r>
              <w:rPr>
                <w:rFonts w:hint="eastAsia"/>
                <w:b/>
                <w:bCs/>
                <w:color w:val="auto"/>
              </w:rPr>
              <w:t>2021</w:t>
            </w:r>
            <w:r>
              <w:rPr>
                <w:rFonts w:hint="eastAsia"/>
                <w:b/>
                <w:bCs/>
                <w:color w:val="auto"/>
                <w:lang w:eastAsia="zh-CN"/>
              </w:rPr>
              <w:t>〕</w:t>
            </w:r>
            <w:r>
              <w:rPr>
                <w:rFonts w:hint="eastAsia"/>
                <w:b/>
                <w:bCs/>
                <w:color w:val="auto"/>
              </w:rPr>
              <w:t>4号）相符性</w:t>
            </w:r>
          </w:p>
          <w:p w14:paraId="73442B25">
            <w:pPr>
              <w:pStyle w:val="21"/>
              <w:bidi w:val="0"/>
              <w:rPr>
                <w:color w:val="auto"/>
              </w:rPr>
            </w:pPr>
            <w:r>
              <w:rPr>
                <w:color w:val="auto"/>
              </w:rPr>
              <w:t>表</w:t>
            </w:r>
            <w:r>
              <w:rPr>
                <w:rFonts w:hint="eastAsia"/>
                <w:color w:val="auto"/>
              </w:rPr>
              <w:t>1-</w:t>
            </w:r>
            <w:r>
              <w:rPr>
                <w:rFonts w:hint="eastAsia"/>
                <w:color w:val="auto"/>
                <w:lang w:val="en-US" w:eastAsia="zh-CN"/>
              </w:rPr>
              <w:t>4</w:t>
            </w:r>
            <w:r>
              <w:rPr>
                <w:color w:val="auto"/>
              </w:rPr>
              <w:t xml:space="preserve"> </w:t>
            </w:r>
            <w:r>
              <w:rPr>
                <w:rFonts w:hint="eastAsia"/>
                <w:color w:val="auto"/>
                <w:lang w:val="en-US" w:eastAsia="zh-CN"/>
              </w:rPr>
              <w:t xml:space="preserve"> </w:t>
            </w:r>
            <w:r>
              <w:rPr>
                <w:rFonts w:hint="eastAsia"/>
                <w:color w:val="auto"/>
                <w:lang w:eastAsia="zh-CN"/>
              </w:rPr>
              <w:t>“</w:t>
            </w:r>
            <w:r>
              <w:rPr>
                <w:rFonts w:hint="eastAsia"/>
                <w:color w:val="auto"/>
              </w:rPr>
              <w:t>皖大气办</w:t>
            </w:r>
            <w:r>
              <w:rPr>
                <w:rFonts w:hint="eastAsia"/>
                <w:color w:val="auto"/>
                <w:lang w:eastAsia="zh-CN"/>
              </w:rPr>
              <w:t>〔</w:t>
            </w:r>
            <w:r>
              <w:rPr>
                <w:rFonts w:hint="eastAsia"/>
                <w:color w:val="auto"/>
              </w:rPr>
              <w:t>2021</w:t>
            </w:r>
            <w:r>
              <w:rPr>
                <w:rFonts w:hint="eastAsia"/>
                <w:color w:val="auto"/>
                <w:lang w:eastAsia="zh-CN"/>
              </w:rPr>
              <w:t>〕</w:t>
            </w:r>
            <w:r>
              <w:rPr>
                <w:rFonts w:hint="eastAsia"/>
                <w:color w:val="auto"/>
              </w:rPr>
              <w:t>4号</w:t>
            </w:r>
            <w:r>
              <w:rPr>
                <w:rFonts w:hint="eastAsia"/>
                <w:color w:val="auto"/>
                <w:lang w:eastAsia="zh-CN"/>
              </w:rPr>
              <w:t>”</w:t>
            </w:r>
            <w:r>
              <w:rPr>
                <w:color w:val="auto"/>
              </w:rPr>
              <w:t>符合性分析</w:t>
            </w:r>
          </w:p>
          <w:tbl>
            <w:tblPr>
              <w:tblStyle w:val="12"/>
              <w:tblW w:w="49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4732"/>
              <w:gridCol w:w="2227"/>
              <w:gridCol w:w="759"/>
            </w:tblGrid>
            <w:tr w14:paraId="0A127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3065" w:type="pct"/>
                  <w:noWrap w:val="0"/>
                  <w:vAlign w:val="center"/>
                </w:tcPr>
                <w:p w14:paraId="67623755">
                  <w:pPr>
                    <w:pStyle w:val="22"/>
                    <w:bidi w:val="0"/>
                    <w:rPr>
                      <w:b/>
                      <w:bCs/>
                      <w:color w:val="auto"/>
                    </w:rPr>
                  </w:pPr>
                  <w:r>
                    <w:rPr>
                      <w:rFonts w:hint="eastAsia"/>
                      <w:b/>
                      <w:bCs/>
                      <w:color w:val="auto"/>
                    </w:rPr>
                    <w:t>皖大气办</w:t>
                  </w:r>
                  <w:r>
                    <w:rPr>
                      <w:rFonts w:hint="eastAsia"/>
                      <w:b/>
                      <w:bCs/>
                      <w:color w:val="auto"/>
                      <w:lang w:eastAsia="zh-CN"/>
                    </w:rPr>
                    <w:t>〔</w:t>
                  </w:r>
                  <w:r>
                    <w:rPr>
                      <w:rFonts w:hint="eastAsia"/>
                      <w:b/>
                      <w:bCs/>
                      <w:color w:val="auto"/>
                    </w:rPr>
                    <w:t>2021</w:t>
                  </w:r>
                  <w:r>
                    <w:rPr>
                      <w:rFonts w:hint="eastAsia"/>
                      <w:b/>
                      <w:bCs/>
                      <w:color w:val="auto"/>
                      <w:lang w:eastAsia="zh-CN"/>
                    </w:rPr>
                    <w:t>〕</w:t>
                  </w:r>
                  <w:r>
                    <w:rPr>
                      <w:rFonts w:hint="eastAsia"/>
                      <w:b/>
                      <w:bCs/>
                      <w:color w:val="auto"/>
                    </w:rPr>
                    <w:t>4号要求</w:t>
                  </w:r>
                </w:p>
              </w:tc>
              <w:tc>
                <w:tcPr>
                  <w:tcW w:w="1442" w:type="pct"/>
                  <w:noWrap w:val="0"/>
                  <w:vAlign w:val="center"/>
                </w:tcPr>
                <w:p w14:paraId="6DE862C3">
                  <w:pPr>
                    <w:pStyle w:val="22"/>
                    <w:bidi w:val="0"/>
                    <w:rPr>
                      <w:b/>
                      <w:bCs/>
                      <w:color w:val="auto"/>
                    </w:rPr>
                  </w:pPr>
                  <w:r>
                    <w:rPr>
                      <w:b/>
                      <w:bCs/>
                      <w:color w:val="auto"/>
                    </w:rPr>
                    <w:t>本项目建设</w:t>
                  </w:r>
                  <w:r>
                    <w:rPr>
                      <w:rFonts w:hint="eastAsia"/>
                      <w:b/>
                      <w:bCs/>
                      <w:color w:val="auto"/>
                    </w:rPr>
                    <w:t>情况</w:t>
                  </w:r>
                </w:p>
              </w:tc>
              <w:tc>
                <w:tcPr>
                  <w:tcW w:w="491" w:type="pct"/>
                  <w:noWrap w:val="0"/>
                  <w:vAlign w:val="center"/>
                </w:tcPr>
                <w:p w14:paraId="1510C84D">
                  <w:pPr>
                    <w:pStyle w:val="22"/>
                    <w:bidi w:val="0"/>
                    <w:rPr>
                      <w:b/>
                      <w:bCs/>
                      <w:color w:val="auto"/>
                    </w:rPr>
                  </w:pPr>
                  <w:r>
                    <w:rPr>
                      <w:rFonts w:hint="eastAsia"/>
                      <w:b/>
                      <w:bCs/>
                      <w:color w:val="auto"/>
                    </w:rPr>
                    <w:t>相符性</w:t>
                  </w:r>
                </w:p>
              </w:tc>
            </w:tr>
            <w:tr w14:paraId="0292A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3065" w:type="pct"/>
                  <w:noWrap w:val="0"/>
                  <w:vAlign w:val="center"/>
                </w:tcPr>
                <w:p w14:paraId="51EB74E8">
                  <w:pPr>
                    <w:pStyle w:val="22"/>
                    <w:bidi w:val="0"/>
                    <w:rPr>
                      <w:color w:val="auto"/>
                    </w:rPr>
                  </w:pPr>
                  <w:r>
                    <w:rPr>
                      <w:rFonts w:hint="eastAsia"/>
                      <w:color w:val="auto"/>
                    </w:rPr>
                    <w:t>梳理确定治理项目。综合考虑体积浓度、O</w:t>
                  </w:r>
                  <w:r>
                    <w:rPr>
                      <w:rFonts w:hint="eastAsia"/>
                      <w:color w:val="auto"/>
                      <w:vertAlign w:val="subscript"/>
                    </w:rPr>
                    <w:t>3</w:t>
                  </w:r>
                  <w:r>
                    <w:rPr>
                      <w:rFonts w:hint="eastAsia"/>
                      <w:color w:val="auto"/>
                    </w:rPr>
                    <w:t>生成潜势和气溶胶生成潜势靠前的VOCs物质、恶臭、易燃易爆等物质的协同控制，以源头削减、过程控制和末端治理等类别，各地指导企业在自查自评基础上，梳理填报2021-2023年度项目清单，2021年7月31日前各地将项目清单梳理审核后报省大气办备案。</w:t>
                  </w:r>
                </w:p>
              </w:tc>
              <w:tc>
                <w:tcPr>
                  <w:tcW w:w="1442" w:type="pct"/>
                  <w:noWrap w:val="0"/>
                  <w:vAlign w:val="center"/>
                </w:tcPr>
                <w:p w14:paraId="54CA42D9">
                  <w:pPr>
                    <w:pStyle w:val="22"/>
                    <w:bidi w:val="0"/>
                    <w:rPr>
                      <w:rFonts w:hint="default"/>
                      <w:color w:val="auto"/>
                      <w:lang w:val="en-US" w:eastAsia="zh-CN"/>
                    </w:rPr>
                  </w:pPr>
                  <w:r>
                    <w:rPr>
                      <w:rFonts w:hint="eastAsia"/>
                      <w:color w:val="auto"/>
                    </w:rPr>
                    <w:t>本项目生产过程</w:t>
                  </w:r>
                  <w:r>
                    <w:rPr>
                      <w:rFonts w:hint="eastAsia"/>
                      <w:color w:val="auto"/>
                      <w:lang w:val="en-US" w:eastAsia="zh-CN"/>
                    </w:rPr>
                    <w:t>涉及塑料为原料PP和PE，加热熔融挤出环节产生有机废气，</w:t>
                  </w:r>
                  <w:r>
                    <w:rPr>
                      <w:rFonts w:hint="eastAsia"/>
                      <w:color w:val="auto"/>
                    </w:rPr>
                    <w:t>产生有机废气</w:t>
                  </w:r>
                  <w:r>
                    <w:rPr>
                      <w:rFonts w:hint="eastAsia"/>
                      <w:color w:val="auto"/>
                      <w:lang w:val="en-US" w:eastAsia="zh-CN"/>
                    </w:rPr>
                    <w:t>经配套二级活性炭吸附装置处理后达标排放，不涉及涂料、胶黏剂及油墨的使用</w:t>
                  </w:r>
                </w:p>
              </w:tc>
              <w:tc>
                <w:tcPr>
                  <w:tcW w:w="491" w:type="pct"/>
                  <w:noWrap w:val="0"/>
                  <w:vAlign w:val="center"/>
                </w:tcPr>
                <w:p w14:paraId="61E58FA0">
                  <w:pPr>
                    <w:pStyle w:val="22"/>
                    <w:bidi w:val="0"/>
                    <w:rPr>
                      <w:color w:val="auto"/>
                    </w:rPr>
                  </w:pPr>
                  <w:r>
                    <w:rPr>
                      <w:rFonts w:hint="eastAsia"/>
                      <w:color w:val="auto"/>
                    </w:rPr>
                    <w:t>符合</w:t>
                  </w:r>
                </w:p>
              </w:tc>
            </w:tr>
            <w:tr w14:paraId="0B1EC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284" w:hRule="atLeast"/>
                <w:jc w:val="center"/>
              </w:trPr>
              <w:tc>
                <w:tcPr>
                  <w:tcW w:w="3065" w:type="pct"/>
                  <w:noWrap w:val="0"/>
                  <w:vAlign w:val="center"/>
                </w:tcPr>
                <w:p w14:paraId="59B89985">
                  <w:pPr>
                    <w:pStyle w:val="22"/>
                    <w:bidi w:val="0"/>
                    <w:rPr>
                      <w:rFonts w:hint="eastAsia"/>
                      <w:color w:val="auto"/>
                    </w:rPr>
                  </w:pPr>
                  <w:r>
                    <w:rPr>
                      <w:rFonts w:hint="eastAsia"/>
                      <w:color w:val="auto"/>
                    </w:rPr>
                    <w:t>重点推进源头削减。鼓励支持使用涂料、油墨、胶粘剂、涂层剂（树脂）、清洗剂等原辅材料的企业，进行低VOCs含量原辅材料的源头替代，7月1日前各地指导企业建立管理台账，记录VOCs原辅材料的产品名称、VOCs含量和使用量等。各地应结合本地产业特点和源头替代参考目录，重点在工业涂装、包装印刷、鞋革箱包制造、竹木制品胶合、电子等重点领域，推广VOCs含量低于10%原辅材料的源头替代，并纳入年度源头削减项目管理，实现</w:t>
                  </w:r>
                  <w:r>
                    <w:rPr>
                      <w:rFonts w:hint="eastAsia"/>
                      <w:color w:val="auto"/>
                      <w:lang w:eastAsia="zh-CN"/>
                    </w:rPr>
                    <w:t>“</w:t>
                  </w:r>
                  <w:r>
                    <w:rPr>
                      <w:rFonts w:hint="eastAsia"/>
                      <w:color w:val="auto"/>
                    </w:rPr>
                    <w:t>可替尽替、应代尽代</w:t>
                  </w:r>
                  <w:r>
                    <w:rPr>
                      <w:rFonts w:hint="eastAsia"/>
                      <w:color w:val="auto"/>
                      <w:lang w:eastAsia="zh-CN"/>
                    </w:rPr>
                    <w:t>”</w:t>
                  </w:r>
                  <w:r>
                    <w:rPr>
                      <w:rFonts w:hint="eastAsia"/>
                      <w:color w:val="auto"/>
                    </w:rPr>
                    <w:t>，源头削减年度完成项目占30%以上。</w:t>
                  </w:r>
                </w:p>
              </w:tc>
              <w:tc>
                <w:tcPr>
                  <w:tcW w:w="1442" w:type="pct"/>
                  <w:noWrap w:val="0"/>
                  <w:vAlign w:val="center"/>
                </w:tcPr>
                <w:p w14:paraId="26D963A2">
                  <w:pPr>
                    <w:pStyle w:val="22"/>
                    <w:bidi w:val="0"/>
                    <w:rPr>
                      <w:rFonts w:hint="default"/>
                      <w:color w:val="auto"/>
                      <w:lang w:val="en-US" w:eastAsia="zh-CN"/>
                    </w:rPr>
                  </w:pPr>
                  <w:r>
                    <w:rPr>
                      <w:rFonts w:hint="eastAsia"/>
                      <w:color w:val="auto"/>
                      <w:lang w:val="en-US" w:eastAsia="zh-CN"/>
                    </w:rPr>
                    <w:t>本项目不涉及涂料、胶黏剂和油墨的使用。</w:t>
                  </w:r>
                </w:p>
              </w:tc>
              <w:tc>
                <w:tcPr>
                  <w:tcW w:w="491" w:type="pct"/>
                  <w:noWrap w:val="0"/>
                  <w:vAlign w:val="center"/>
                </w:tcPr>
                <w:p w14:paraId="212468A8">
                  <w:pPr>
                    <w:pStyle w:val="22"/>
                    <w:bidi w:val="0"/>
                    <w:rPr>
                      <w:rFonts w:hint="eastAsia"/>
                      <w:color w:val="auto"/>
                    </w:rPr>
                  </w:pPr>
                  <w:r>
                    <w:rPr>
                      <w:rFonts w:hint="eastAsia"/>
                      <w:color w:val="auto"/>
                    </w:rPr>
                    <w:t>符合</w:t>
                  </w:r>
                </w:p>
              </w:tc>
            </w:tr>
            <w:tr w14:paraId="120C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3065" w:type="pct"/>
                  <w:noWrap w:val="0"/>
                  <w:vAlign w:val="center"/>
                </w:tcPr>
                <w:p w14:paraId="0475DBA3">
                  <w:pPr>
                    <w:pStyle w:val="22"/>
                    <w:bidi w:val="0"/>
                    <w:rPr>
                      <w:color w:val="auto"/>
                    </w:rPr>
                  </w:pPr>
                  <w:r>
                    <w:rPr>
                      <w:rFonts w:hint="eastAsia"/>
                      <w:color w:val="auto"/>
                    </w:rPr>
                    <w:t>实施排污许可。建立健全以排污许可核发为中心的VOCs管控</w:t>
                  </w:r>
                  <w:r>
                    <w:rPr>
                      <w:rFonts w:hint="eastAsia"/>
                      <w:color w:val="auto"/>
                      <w:lang w:val="en-US" w:eastAsia="zh-CN"/>
                    </w:rPr>
                    <w:t>依据</w:t>
                  </w:r>
                  <w:r>
                    <w:rPr>
                      <w:rFonts w:hint="eastAsia"/>
                      <w:color w:val="auto"/>
                    </w:rPr>
                    <w:t>，在石油、化工、工业涂装、包装印刷、油品储运销五大领域全面推行排污许可制度，不断规范涉VOCs工业企业的排污许可登记管理，落实企业VOCs源头削减、过程控制和末端污染治理工作，推进企业自行监测、台账落实和定期报告的具体规定落地，严厉处罚无证和不按证排污行为。</w:t>
                  </w:r>
                </w:p>
              </w:tc>
              <w:tc>
                <w:tcPr>
                  <w:tcW w:w="1442" w:type="pct"/>
                  <w:noWrap w:val="0"/>
                  <w:vAlign w:val="center"/>
                </w:tcPr>
                <w:p w14:paraId="54449805">
                  <w:pPr>
                    <w:pStyle w:val="22"/>
                    <w:bidi w:val="0"/>
                    <w:rPr>
                      <w:rFonts w:hint="eastAsia"/>
                      <w:color w:val="auto"/>
                    </w:rPr>
                  </w:pPr>
                  <w:r>
                    <w:rPr>
                      <w:rFonts w:hint="eastAsia"/>
                      <w:color w:val="auto"/>
                    </w:rPr>
                    <w:t>本项目</w:t>
                  </w:r>
                  <w:r>
                    <w:rPr>
                      <w:rFonts w:hint="eastAsia"/>
                      <w:color w:val="auto"/>
                      <w:lang w:val="en-US" w:eastAsia="zh-CN"/>
                    </w:rPr>
                    <w:t>属于新建项目，目前正积极履行环评手续，企业承诺</w:t>
                  </w:r>
                  <w:r>
                    <w:rPr>
                      <w:rFonts w:hint="eastAsia"/>
                      <w:color w:val="auto"/>
                    </w:rPr>
                    <w:t>在实际排污前履行排污许可登记管理手续</w:t>
                  </w:r>
                </w:p>
              </w:tc>
              <w:tc>
                <w:tcPr>
                  <w:tcW w:w="491" w:type="pct"/>
                  <w:noWrap w:val="0"/>
                  <w:vAlign w:val="center"/>
                </w:tcPr>
                <w:p w14:paraId="08F005AF">
                  <w:pPr>
                    <w:pStyle w:val="22"/>
                    <w:bidi w:val="0"/>
                    <w:rPr>
                      <w:rFonts w:hint="eastAsia"/>
                      <w:color w:val="auto"/>
                    </w:rPr>
                  </w:pPr>
                  <w:r>
                    <w:rPr>
                      <w:color w:val="auto"/>
                    </w:rPr>
                    <w:t>符合</w:t>
                  </w:r>
                </w:p>
              </w:tc>
            </w:tr>
          </w:tbl>
          <w:p w14:paraId="357DF1CB">
            <w:pPr>
              <w:bidi w:val="0"/>
              <w:rPr>
                <w:rFonts w:hint="eastAsia"/>
                <w:color w:val="0000FF"/>
              </w:rPr>
            </w:pPr>
            <w:r>
              <w:rPr>
                <w:rFonts w:hint="eastAsia"/>
                <w:color w:val="auto"/>
              </w:rPr>
              <w:t>综上所述，项目建设符合《</w:t>
            </w:r>
            <w:r>
              <w:rPr>
                <w:color w:val="auto"/>
              </w:rPr>
              <w:t>安徽省大气办关于深入开展挥发性有机物污染治理工作的通知</w:t>
            </w:r>
            <w:r>
              <w:rPr>
                <w:rFonts w:hint="eastAsia"/>
                <w:color w:val="auto"/>
              </w:rPr>
              <w:t>》（皖大气办</w:t>
            </w:r>
            <w:r>
              <w:rPr>
                <w:rFonts w:hint="eastAsia"/>
                <w:color w:val="auto"/>
                <w:lang w:eastAsia="zh-CN"/>
              </w:rPr>
              <w:t>〔</w:t>
            </w:r>
            <w:r>
              <w:rPr>
                <w:rFonts w:hint="eastAsia"/>
                <w:color w:val="auto"/>
              </w:rPr>
              <w:t>2021</w:t>
            </w:r>
            <w:r>
              <w:rPr>
                <w:rFonts w:hint="eastAsia"/>
                <w:color w:val="auto"/>
                <w:lang w:eastAsia="zh-CN"/>
              </w:rPr>
              <w:t>〕</w:t>
            </w:r>
            <w:r>
              <w:rPr>
                <w:rFonts w:hint="eastAsia"/>
                <w:color w:val="auto"/>
              </w:rPr>
              <w:t>4号）的要求。</w:t>
            </w:r>
          </w:p>
          <w:p w14:paraId="0B918DDA">
            <w:pPr>
              <w:bidi w:val="0"/>
              <w:rPr>
                <w:rFonts w:hint="eastAsia"/>
                <w:b/>
                <w:bCs/>
                <w:color w:val="auto"/>
                <w:lang w:val="en-US" w:eastAsia="zh-CN"/>
              </w:rPr>
            </w:pPr>
            <w:r>
              <w:rPr>
                <w:rFonts w:hint="eastAsia"/>
                <w:b/>
                <w:bCs/>
                <w:color w:val="auto"/>
                <w:lang w:val="en-US" w:eastAsia="zh-CN"/>
              </w:rPr>
              <w:t>5、与《安徽省低挥发性有机物含量原辅材料替代工作方案》（皖环发〔2024〕1号）相符性分析</w:t>
            </w:r>
          </w:p>
          <w:p w14:paraId="0237C476">
            <w:pPr>
              <w:pStyle w:val="21"/>
              <w:bidi w:val="0"/>
              <w:rPr>
                <w:rFonts w:hint="eastAsia"/>
                <w:color w:val="auto"/>
                <w:lang w:val="en-US" w:eastAsia="zh-CN"/>
              </w:rPr>
            </w:pPr>
            <w:r>
              <w:rPr>
                <w:rFonts w:hint="eastAsia"/>
                <w:color w:val="auto"/>
                <w:lang w:val="en-US" w:eastAsia="zh-CN"/>
              </w:rPr>
              <w:t>表1-5  “皖环发〔2024〕1号”符合性分析</w:t>
            </w:r>
          </w:p>
          <w:tbl>
            <w:tblPr>
              <w:tblStyle w:val="12"/>
              <w:tblW w:w="49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46"/>
              <w:gridCol w:w="4329"/>
              <w:gridCol w:w="1909"/>
              <w:gridCol w:w="706"/>
            </w:tblGrid>
            <w:tr w14:paraId="37DF3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84" w:type="pct"/>
                  <w:noWrap w:val="0"/>
                  <w:vAlign w:val="center"/>
                </w:tcPr>
                <w:p w14:paraId="01788DF7">
                  <w:pPr>
                    <w:pStyle w:val="22"/>
                    <w:bidi w:val="0"/>
                    <w:rPr>
                      <w:b/>
                      <w:bCs/>
                      <w:color w:val="auto"/>
                    </w:rPr>
                  </w:pPr>
                  <w:r>
                    <w:rPr>
                      <w:b/>
                      <w:bCs/>
                      <w:color w:val="auto"/>
                    </w:rPr>
                    <w:t>序号</w:t>
                  </w:r>
                </w:p>
              </w:tc>
              <w:tc>
                <w:tcPr>
                  <w:tcW w:w="2814" w:type="pct"/>
                  <w:noWrap w:val="0"/>
                  <w:vAlign w:val="center"/>
                </w:tcPr>
                <w:p w14:paraId="46034C58">
                  <w:pPr>
                    <w:pStyle w:val="22"/>
                    <w:bidi w:val="0"/>
                    <w:rPr>
                      <w:b/>
                      <w:bCs/>
                      <w:color w:val="auto"/>
                    </w:rPr>
                  </w:pPr>
                  <w:r>
                    <w:rPr>
                      <w:b/>
                      <w:bCs/>
                      <w:color w:val="auto"/>
                    </w:rPr>
                    <w:t>文件要求</w:t>
                  </w:r>
                </w:p>
              </w:tc>
              <w:tc>
                <w:tcPr>
                  <w:tcW w:w="1241" w:type="pct"/>
                  <w:noWrap w:val="0"/>
                  <w:vAlign w:val="center"/>
                </w:tcPr>
                <w:p w14:paraId="6E211114">
                  <w:pPr>
                    <w:pStyle w:val="22"/>
                    <w:bidi w:val="0"/>
                    <w:rPr>
                      <w:b/>
                      <w:bCs/>
                      <w:color w:val="auto"/>
                    </w:rPr>
                  </w:pPr>
                  <w:r>
                    <w:rPr>
                      <w:b/>
                      <w:bCs/>
                      <w:color w:val="auto"/>
                    </w:rPr>
                    <w:t>本项目情况</w:t>
                  </w:r>
                </w:p>
              </w:tc>
              <w:tc>
                <w:tcPr>
                  <w:tcW w:w="458" w:type="pct"/>
                  <w:noWrap w:val="0"/>
                  <w:vAlign w:val="center"/>
                </w:tcPr>
                <w:p w14:paraId="24FD9748">
                  <w:pPr>
                    <w:pStyle w:val="22"/>
                    <w:bidi w:val="0"/>
                    <w:rPr>
                      <w:b/>
                      <w:bCs/>
                      <w:color w:val="auto"/>
                    </w:rPr>
                  </w:pPr>
                  <w:r>
                    <w:rPr>
                      <w:b/>
                      <w:bCs/>
                      <w:color w:val="auto"/>
                    </w:rPr>
                    <w:t>结论</w:t>
                  </w:r>
                </w:p>
              </w:tc>
            </w:tr>
            <w:tr w14:paraId="5D2A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84" w:type="pct"/>
                  <w:noWrap w:val="0"/>
                  <w:vAlign w:val="center"/>
                </w:tcPr>
                <w:p w14:paraId="657B8A70">
                  <w:pPr>
                    <w:pStyle w:val="22"/>
                    <w:bidi w:val="0"/>
                    <w:rPr>
                      <w:color w:val="auto"/>
                    </w:rPr>
                  </w:pPr>
                  <w:r>
                    <w:rPr>
                      <w:rFonts w:hint="eastAsia"/>
                      <w:color w:val="auto"/>
                    </w:rPr>
                    <w:t>1</w:t>
                  </w:r>
                </w:p>
              </w:tc>
              <w:tc>
                <w:tcPr>
                  <w:tcW w:w="2814" w:type="pct"/>
                  <w:noWrap w:val="0"/>
                  <w:vAlign w:val="center"/>
                </w:tcPr>
                <w:p w14:paraId="1F63C49F">
                  <w:pPr>
                    <w:pStyle w:val="22"/>
                    <w:bidi w:val="0"/>
                    <w:rPr>
                      <w:rFonts w:hint="eastAsia"/>
                      <w:color w:val="auto"/>
                    </w:rPr>
                  </w:pPr>
                  <w:r>
                    <w:rPr>
                      <w:rFonts w:hint="eastAsia"/>
                      <w:color w:val="auto"/>
                    </w:rPr>
                    <w:t>2.替代要求</w:t>
                  </w:r>
                </w:p>
                <w:p w14:paraId="3A6AFD63">
                  <w:pPr>
                    <w:pStyle w:val="22"/>
                    <w:bidi w:val="0"/>
                    <w:rPr>
                      <w:color w:val="auto"/>
                    </w:rPr>
                  </w:pPr>
                  <w:r>
                    <w:rPr>
                      <w:rFonts w:hint="eastAsia"/>
                      <w:color w:val="auto"/>
                    </w:rPr>
                    <w:t>使用含VOCs原辅材料的企业应充分综合考虑经济、环境、技术可行性，确定合适的源头替代方法，优先选用VOCs含量</w:t>
                  </w:r>
                  <w:r>
                    <w:rPr>
                      <w:rFonts w:hint="eastAsia"/>
                      <w:color w:val="auto"/>
                      <w:lang w:eastAsia="zh-CN"/>
                    </w:rPr>
                    <w:t>（</w:t>
                  </w:r>
                  <w:r>
                    <w:rPr>
                      <w:rFonts w:hint="eastAsia"/>
                      <w:color w:val="auto"/>
                    </w:rPr>
                    <w:t>质量比</w:t>
                  </w:r>
                  <w:r>
                    <w:rPr>
                      <w:rFonts w:hint="eastAsia"/>
                      <w:color w:val="auto"/>
                      <w:lang w:eastAsia="zh-CN"/>
                    </w:rPr>
                    <w:t>）</w:t>
                  </w:r>
                  <w:r>
                    <w:rPr>
                      <w:rFonts w:hint="eastAsia"/>
                      <w:color w:val="auto"/>
                    </w:rPr>
                    <w:t>低于10%的低VOCs含量原辅材料</w:t>
                  </w:r>
                  <w:r>
                    <w:rPr>
                      <w:rFonts w:hint="eastAsia"/>
                      <w:color w:val="auto"/>
                      <w:lang w:eastAsia="zh-CN"/>
                    </w:rPr>
                    <w:t>，</w:t>
                  </w:r>
                  <w:r>
                    <w:rPr>
                      <w:rFonts w:hint="eastAsia"/>
                      <w:color w:val="auto"/>
                    </w:rPr>
                    <w:t>低VOCs含量原辅材料应符合2.1规定的涂料、2.2规定的油墨、2.3规定的胶粘剂、2.4规定的清洗剂进行替代，低VOCs含量原辅材料含量限值要求见附录A。</w:t>
                  </w:r>
                </w:p>
              </w:tc>
              <w:tc>
                <w:tcPr>
                  <w:tcW w:w="1241" w:type="pct"/>
                  <w:vMerge w:val="restart"/>
                  <w:noWrap w:val="0"/>
                  <w:vAlign w:val="center"/>
                </w:tcPr>
                <w:p w14:paraId="3F32168A">
                  <w:pPr>
                    <w:pStyle w:val="22"/>
                    <w:bidi w:val="0"/>
                    <w:rPr>
                      <w:color w:val="auto"/>
                    </w:rPr>
                  </w:pPr>
                  <w:r>
                    <w:rPr>
                      <w:color w:val="auto"/>
                    </w:rPr>
                    <w:t>本项目</w:t>
                  </w:r>
                  <w:r>
                    <w:rPr>
                      <w:rFonts w:hint="eastAsia"/>
                      <w:color w:val="auto"/>
                      <w:lang w:val="en-US" w:eastAsia="zh-CN"/>
                    </w:rPr>
                    <w:t>不涉及喷涂、表面处理，不涉及涂料、胶黏剂和油墨的使用</w:t>
                  </w:r>
                  <w:r>
                    <w:rPr>
                      <w:rFonts w:hint="eastAsia"/>
                      <w:color w:val="auto"/>
                    </w:rPr>
                    <w:t>。</w:t>
                  </w:r>
                </w:p>
              </w:tc>
              <w:tc>
                <w:tcPr>
                  <w:tcW w:w="458" w:type="pct"/>
                  <w:noWrap w:val="0"/>
                  <w:vAlign w:val="center"/>
                </w:tcPr>
                <w:p w14:paraId="7CB49B26">
                  <w:pPr>
                    <w:pStyle w:val="22"/>
                    <w:bidi w:val="0"/>
                    <w:rPr>
                      <w:color w:val="auto"/>
                    </w:rPr>
                  </w:pPr>
                  <w:r>
                    <w:rPr>
                      <w:color w:val="auto"/>
                    </w:rPr>
                    <w:t>符合</w:t>
                  </w:r>
                </w:p>
              </w:tc>
            </w:tr>
            <w:tr w14:paraId="00A02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84" w:type="pct"/>
                  <w:noWrap w:val="0"/>
                  <w:vAlign w:val="center"/>
                </w:tcPr>
                <w:p w14:paraId="505FCACB">
                  <w:pPr>
                    <w:pStyle w:val="22"/>
                    <w:bidi w:val="0"/>
                    <w:rPr>
                      <w:rFonts w:hint="eastAsia"/>
                      <w:color w:val="auto"/>
                      <w:lang w:val="en-US" w:eastAsia="zh-CN"/>
                    </w:rPr>
                  </w:pPr>
                  <w:r>
                    <w:rPr>
                      <w:rFonts w:hint="eastAsia"/>
                      <w:color w:val="auto"/>
                      <w:lang w:val="en-US" w:eastAsia="zh-CN"/>
                    </w:rPr>
                    <w:t>2</w:t>
                  </w:r>
                </w:p>
              </w:tc>
              <w:tc>
                <w:tcPr>
                  <w:tcW w:w="2814" w:type="pct"/>
                  <w:noWrap w:val="0"/>
                  <w:vAlign w:val="center"/>
                </w:tcPr>
                <w:p w14:paraId="3E63E89F">
                  <w:pPr>
                    <w:pStyle w:val="22"/>
                    <w:bidi w:val="0"/>
                    <w:rPr>
                      <w:rFonts w:hint="eastAsia"/>
                      <w:color w:val="auto"/>
                      <w:lang w:eastAsia="zh-CN"/>
                    </w:rPr>
                  </w:pPr>
                  <w:r>
                    <w:rPr>
                      <w:rFonts w:hint="eastAsia"/>
                      <w:color w:val="auto"/>
                      <w:lang w:eastAsia="zh-CN"/>
                    </w:rPr>
                    <w:t>2.3胶粘剂</w:t>
                  </w:r>
                </w:p>
                <w:p w14:paraId="39AFA0C6">
                  <w:pPr>
                    <w:pStyle w:val="22"/>
                    <w:bidi w:val="0"/>
                    <w:rPr>
                      <w:color w:val="auto"/>
                    </w:rPr>
                  </w:pPr>
                  <w:r>
                    <w:rPr>
                      <w:rFonts w:hint="eastAsia"/>
                      <w:color w:val="auto"/>
                      <w:lang w:eastAsia="zh-CN"/>
                    </w:rPr>
                    <w:t>包括VOCs含量限值符合《胶粘剂挥发性有机化合物限量》（GB33372-2020）规定的水基型胶粘剂和本体型胶粘剂，</w:t>
                  </w:r>
                </w:p>
              </w:tc>
              <w:tc>
                <w:tcPr>
                  <w:tcW w:w="1241" w:type="pct"/>
                  <w:vMerge w:val="continue"/>
                  <w:noWrap w:val="0"/>
                  <w:vAlign w:val="center"/>
                </w:tcPr>
                <w:p w14:paraId="3412B355">
                  <w:pPr>
                    <w:pStyle w:val="22"/>
                    <w:bidi w:val="0"/>
                    <w:rPr>
                      <w:color w:val="auto"/>
                    </w:rPr>
                  </w:pPr>
                </w:p>
              </w:tc>
              <w:tc>
                <w:tcPr>
                  <w:tcW w:w="458" w:type="pct"/>
                  <w:noWrap w:val="0"/>
                  <w:vAlign w:val="center"/>
                </w:tcPr>
                <w:p w14:paraId="6347B3D1">
                  <w:pPr>
                    <w:pStyle w:val="22"/>
                    <w:bidi w:val="0"/>
                    <w:rPr>
                      <w:color w:val="auto"/>
                    </w:rPr>
                  </w:pPr>
                  <w:r>
                    <w:rPr>
                      <w:color w:val="auto"/>
                    </w:rPr>
                    <w:t>符合</w:t>
                  </w:r>
                </w:p>
              </w:tc>
            </w:tr>
            <w:tr w14:paraId="0803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84" w:type="pct"/>
                  <w:noWrap w:val="0"/>
                  <w:vAlign w:val="center"/>
                </w:tcPr>
                <w:p w14:paraId="7E37A26B">
                  <w:pPr>
                    <w:pStyle w:val="22"/>
                    <w:bidi w:val="0"/>
                    <w:rPr>
                      <w:rFonts w:hint="eastAsia"/>
                      <w:color w:val="auto"/>
                      <w:lang w:val="en-US" w:eastAsia="zh-CN"/>
                    </w:rPr>
                  </w:pPr>
                  <w:r>
                    <w:rPr>
                      <w:rFonts w:hint="eastAsia"/>
                      <w:color w:val="auto"/>
                      <w:lang w:val="en-US" w:eastAsia="zh-CN"/>
                    </w:rPr>
                    <w:t>3</w:t>
                  </w:r>
                </w:p>
              </w:tc>
              <w:tc>
                <w:tcPr>
                  <w:tcW w:w="2814" w:type="pct"/>
                  <w:noWrap w:val="0"/>
                  <w:vAlign w:val="center"/>
                </w:tcPr>
                <w:p w14:paraId="12882ED3">
                  <w:pPr>
                    <w:pStyle w:val="22"/>
                    <w:bidi w:val="0"/>
                    <w:rPr>
                      <w:rFonts w:hint="eastAsia"/>
                      <w:color w:val="auto"/>
                    </w:rPr>
                  </w:pPr>
                  <w:r>
                    <w:rPr>
                      <w:rFonts w:hint="eastAsia"/>
                      <w:color w:val="auto"/>
                    </w:rPr>
                    <w:t>4.1使用低VOCs含量原辅材料，排放浓度稳定达标且排放速率满足相关规定的，相应生产工序可不要求建设VOCs末端治理设施</w:t>
                  </w:r>
                  <w:r>
                    <w:rPr>
                      <w:rFonts w:hint="eastAsia"/>
                      <w:color w:val="auto"/>
                      <w:lang w:eastAsia="zh-CN"/>
                    </w:rPr>
                    <w:t>；</w:t>
                  </w:r>
                  <w:r>
                    <w:rPr>
                      <w:rFonts w:hint="eastAsia"/>
                      <w:color w:val="auto"/>
                    </w:rPr>
                    <w:t>使用的原辅材料VOCs含量</w:t>
                  </w:r>
                  <w:r>
                    <w:rPr>
                      <w:rFonts w:hint="eastAsia"/>
                      <w:color w:val="auto"/>
                      <w:lang w:eastAsia="zh-CN"/>
                    </w:rPr>
                    <w:t>（</w:t>
                  </w:r>
                  <w:r>
                    <w:rPr>
                      <w:rFonts w:hint="eastAsia"/>
                      <w:color w:val="auto"/>
                    </w:rPr>
                    <w:t>质量比</w:t>
                  </w:r>
                  <w:r>
                    <w:rPr>
                      <w:rFonts w:hint="eastAsia"/>
                      <w:color w:val="auto"/>
                      <w:lang w:eastAsia="zh-CN"/>
                    </w:rPr>
                    <w:t>）</w:t>
                  </w:r>
                  <w:r>
                    <w:rPr>
                      <w:rFonts w:hint="eastAsia"/>
                      <w:color w:val="auto"/>
                    </w:rPr>
                    <w:t>低于10%的工序，无组织排放浓度达标的，可不要求采取VOCs无组织排放收集措施。</w:t>
                  </w:r>
                </w:p>
              </w:tc>
              <w:tc>
                <w:tcPr>
                  <w:tcW w:w="1241" w:type="pct"/>
                  <w:noWrap w:val="0"/>
                  <w:vAlign w:val="center"/>
                </w:tcPr>
                <w:p w14:paraId="7C4F6080">
                  <w:pPr>
                    <w:pStyle w:val="22"/>
                    <w:bidi w:val="0"/>
                    <w:rPr>
                      <w:color w:val="auto"/>
                    </w:rPr>
                  </w:pPr>
                  <w:r>
                    <w:rPr>
                      <w:color w:val="auto"/>
                    </w:rPr>
                    <w:t>本项目</w:t>
                  </w:r>
                  <w:r>
                    <w:rPr>
                      <w:rFonts w:hint="eastAsia"/>
                      <w:color w:val="auto"/>
                      <w:lang w:val="en-US" w:eastAsia="zh-CN"/>
                    </w:rPr>
                    <w:t>涉及含VOCs物料为塑料粒子，根据产物系数核算表明，有机废气产生量与原料用量占比为0.3%左右，因此满足使用要求。</w:t>
                  </w:r>
                </w:p>
              </w:tc>
              <w:tc>
                <w:tcPr>
                  <w:tcW w:w="458" w:type="pct"/>
                  <w:noWrap w:val="0"/>
                  <w:vAlign w:val="center"/>
                </w:tcPr>
                <w:p w14:paraId="02C59CFF">
                  <w:pPr>
                    <w:pStyle w:val="22"/>
                    <w:bidi w:val="0"/>
                    <w:rPr>
                      <w:color w:val="auto"/>
                    </w:rPr>
                  </w:pPr>
                  <w:r>
                    <w:rPr>
                      <w:color w:val="auto"/>
                    </w:rPr>
                    <w:t>符合</w:t>
                  </w:r>
                </w:p>
              </w:tc>
            </w:tr>
          </w:tbl>
          <w:p w14:paraId="18906810">
            <w:pPr>
              <w:bidi w:val="0"/>
              <w:rPr>
                <w:rFonts w:hint="eastAsia"/>
                <w:b/>
                <w:bCs/>
                <w:color w:val="auto"/>
                <w:lang w:val="en-US" w:eastAsia="zh-CN"/>
              </w:rPr>
            </w:pPr>
            <w:r>
              <w:rPr>
                <w:rFonts w:hint="eastAsia"/>
                <w:b/>
                <w:bCs/>
                <w:color w:val="auto"/>
                <w:lang w:val="en-US" w:eastAsia="zh-CN"/>
              </w:rPr>
              <w:t>6、与《关于印发淮南市涉气建设项目环评审批负面清单的通知》相符性分析</w:t>
            </w:r>
          </w:p>
          <w:p w14:paraId="652306F6">
            <w:pPr>
              <w:pStyle w:val="21"/>
              <w:bidi w:val="0"/>
              <w:rPr>
                <w:rFonts w:hint="eastAsia"/>
                <w:color w:val="auto"/>
                <w:lang w:val="en-US" w:eastAsia="zh-CN"/>
              </w:rPr>
            </w:pPr>
            <w:r>
              <w:rPr>
                <w:rFonts w:hint="eastAsia"/>
                <w:color w:val="auto"/>
                <w:lang w:val="en-US" w:eastAsia="zh-CN"/>
              </w:rPr>
              <w:t>表1-6  “</w:t>
            </w:r>
            <w:r>
              <w:rPr>
                <w:rFonts w:hint="eastAsia"/>
                <w:color w:val="auto"/>
                <w:lang w:eastAsia="zh-CN"/>
              </w:rPr>
              <w:t>淮南市涉气建设项目环评审批负面清单</w:t>
            </w:r>
            <w:r>
              <w:rPr>
                <w:rFonts w:hint="eastAsia"/>
                <w:color w:val="auto"/>
                <w:lang w:val="en-US" w:eastAsia="zh-CN"/>
              </w:rPr>
              <w:t>”符合性分析</w:t>
            </w:r>
          </w:p>
          <w:tbl>
            <w:tblPr>
              <w:tblStyle w:val="12"/>
              <w:tblW w:w="767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430"/>
              <w:gridCol w:w="1032"/>
              <w:gridCol w:w="2606"/>
              <w:gridCol w:w="2261"/>
              <w:gridCol w:w="1348"/>
            </w:tblGrid>
            <w:tr w14:paraId="7F9867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tblHeader/>
                <w:jc w:val="center"/>
              </w:trPr>
              <w:tc>
                <w:tcPr>
                  <w:tcW w:w="280" w:type="pct"/>
                  <w:noWrap/>
                  <w:vAlign w:val="center"/>
                </w:tcPr>
                <w:p w14:paraId="7A650FBA">
                  <w:pPr>
                    <w:pStyle w:val="22"/>
                    <w:bidi w:val="0"/>
                    <w:rPr>
                      <w:rFonts w:hint="default"/>
                      <w:b/>
                      <w:bCs/>
                      <w:color w:val="auto"/>
                    </w:rPr>
                  </w:pPr>
                  <w:r>
                    <w:rPr>
                      <w:rFonts w:hint="default"/>
                      <w:b/>
                      <w:bCs/>
                      <w:color w:val="auto"/>
                    </w:rPr>
                    <w:t>序号</w:t>
                  </w:r>
                </w:p>
              </w:tc>
              <w:tc>
                <w:tcPr>
                  <w:tcW w:w="672" w:type="pct"/>
                  <w:noWrap/>
                  <w:vAlign w:val="center"/>
                </w:tcPr>
                <w:p w14:paraId="0C620CA6">
                  <w:pPr>
                    <w:pStyle w:val="22"/>
                    <w:bidi w:val="0"/>
                    <w:rPr>
                      <w:rFonts w:hint="default"/>
                      <w:b/>
                      <w:bCs/>
                      <w:color w:val="auto"/>
                    </w:rPr>
                  </w:pPr>
                  <w:r>
                    <w:rPr>
                      <w:rFonts w:hint="default"/>
                      <w:b/>
                      <w:bCs/>
                      <w:color w:val="auto"/>
                    </w:rPr>
                    <w:t>重点工作任务</w:t>
                  </w:r>
                </w:p>
              </w:tc>
              <w:tc>
                <w:tcPr>
                  <w:tcW w:w="1697" w:type="pct"/>
                  <w:noWrap/>
                  <w:vAlign w:val="center"/>
                </w:tcPr>
                <w:p w14:paraId="626861E7">
                  <w:pPr>
                    <w:pStyle w:val="22"/>
                    <w:bidi w:val="0"/>
                    <w:rPr>
                      <w:rFonts w:hint="default"/>
                      <w:b/>
                      <w:bCs/>
                      <w:color w:val="auto"/>
                    </w:rPr>
                  </w:pPr>
                  <w:r>
                    <w:rPr>
                      <w:rFonts w:hint="default"/>
                      <w:b/>
                      <w:bCs/>
                      <w:color w:val="auto"/>
                    </w:rPr>
                    <w:t>推进举措</w:t>
                  </w:r>
                </w:p>
              </w:tc>
              <w:tc>
                <w:tcPr>
                  <w:tcW w:w="1472" w:type="pct"/>
                  <w:noWrap/>
                  <w:vAlign w:val="center"/>
                </w:tcPr>
                <w:p w14:paraId="2364A49F">
                  <w:pPr>
                    <w:pStyle w:val="22"/>
                    <w:bidi w:val="0"/>
                    <w:rPr>
                      <w:rFonts w:hint="default"/>
                      <w:b/>
                      <w:bCs/>
                      <w:color w:val="auto"/>
                      <w:lang w:val="en-US" w:eastAsia="zh-CN"/>
                    </w:rPr>
                  </w:pPr>
                  <w:r>
                    <w:rPr>
                      <w:rFonts w:hint="default"/>
                      <w:b/>
                      <w:bCs/>
                      <w:color w:val="auto"/>
                      <w:lang w:val="en-US" w:eastAsia="zh-CN"/>
                    </w:rPr>
                    <w:t>环评审批的负面清单</w:t>
                  </w:r>
                </w:p>
              </w:tc>
              <w:tc>
                <w:tcPr>
                  <w:tcW w:w="877" w:type="pct"/>
                  <w:noWrap/>
                  <w:vAlign w:val="center"/>
                </w:tcPr>
                <w:p w14:paraId="756655B2">
                  <w:pPr>
                    <w:pStyle w:val="22"/>
                    <w:bidi w:val="0"/>
                    <w:rPr>
                      <w:rFonts w:hint="default"/>
                      <w:b/>
                      <w:bCs/>
                      <w:color w:val="auto"/>
                      <w:lang w:val="en-US" w:eastAsia="zh-CN"/>
                    </w:rPr>
                  </w:pPr>
                  <w:r>
                    <w:rPr>
                      <w:rFonts w:hint="eastAsia"/>
                      <w:b/>
                      <w:bCs/>
                      <w:color w:val="auto"/>
                      <w:lang w:val="en-US" w:eastAsia="zh-CN"/>
                    </w:rPr>
                    <w:t>本项目情况</w:t>
                  </w:r>
                </w:p>
              </w:tc>
            </w:tr>
            <w:tr w14:paraId="7E5CB8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5000" w:type="pct"/>
                  <w:gridSpan w:val="5"/>
                  <w:tcBorders>
                    <w:right w:val="single" w:color="auto" w:sz="4" w:space="0"/>
                  </w:tcBorders>
                  <w:noWrap/>
                  <w:vAlign w:val="center"/>
                </w:tcPr>
                <w:p w14:paraId="31C81F26">
                  <w:pPr>
                    <w:pStyle w:val="22"/>
                    <w:bidi w:val="0"/>
                    <w:jc w:val="left"/>
                    <w:rPr>
                      <w:rFonts w:hint="default"/>
                      <w:color w:val="auto"/>
                    </w:rPr>
                  </w:pPr>
                  <w:r>
                    <w:rPr>
                      <w:rFonts w:hint="default"/>
                      <w:color w:val="auto"/>
                    </w:rPr>
                    <w:t>（一）坚决遏制高耗能、高排放、低水平项目盲目上马</w:t>
                  </w:r>
                </w:p>
              </w:tc>
            </w:tr>
            <w:tr w14:paraId="72BB86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771FCFEF">
                  <w:pPr>
                    <w:pStyle w:val="22"/>
                    <w:bidi w:val="0"/>
                    <w:rPr>
                      <w:rFonts w:hint="default"/>
                      <w:color w:val="auto"/>
                    </w:rPr>
                  </w:pPr>
                  <w:r>
                    <w:rPr>
                      <w:rFonts w:hint="default"/>
                      <w:color w:val="auto"/>
                    </w:rPr>
                    <w:t>1</w:t>
                  </w:r>
                </w:p>
              </w:tc>
              <w:tc>
                <w:tcPr>
                  <w:tcW w:w="672" w:type="pct"/>
                  <w:noWrap/>
                  <w:vAlign w:val="center"/>
                </w:tcPr>
                <w:p w14:paraId="40EEF8B9">
                  <w:pPr>
                    <w:pStyle w:val="22"/>
                    <w:bidi w:val="0"/>
                    <w:rPr>
                      <w:rFonts w:hint="default"/>
                      <w:color w:val="auto"/>
                    </w:rPr>
                  </w:pPr>
                  <w:r>
                    <w:rPr>
                      <w:rFonts w:hint="default"/>
                      <w:color w:val="auto"/>
                    </w:rPr>
                    <w:t>新改扩建项目严格落实国家产业政策要求，严把“两高”项目审批。</w:t>
                  </w:r>
                </w:p>
              </w:tc>
              <w:tc>
                <w:tcPr>
                  <w:tcW w:w="1697" w:type="pct"/>
                  <w:noWrap/>
                  <w:vAlign w:val="center"/>
                </w:tcPr>
                <w:p w14:paraId="45640DC1">
                  <w:pPr>
                    <w:pStyle w:val="22"/>
                    <w:bidi w:val="0"/>
                    <w:rPr>
                      <w:rFonts w:hint="default"/>
                      <w:color w:val="auto"/>
                    </w:rPr>
                  </w:pPr>
                  <w:r>
                    <w:rPr>
                      <w:rFonts w:hint="default"/>
                      <w:color w:val="auto"/>
                    </w:rPr>
                    <w:t>新改扩建项目严格落实国家产业规划、产业政策、生态环境分区管控方案、规划环评、项目环评、节能审查、产能置换、重点污染物总量控制、污染物排放区域削减、碳排放达峰目标等相关要求，原则上采用清洁运输方式。实施“高污染、高耗能”项目部门联审，严格论证项目建设必要性、可行性，推动行业集约发展和绿色转型。</w:t>
                  </w:r>
                </w:p>
              </w:tc>
              <w:tc>
                <w:tcPr>
                  <w:tcW w:w="1472" w:type="pct"/>
                  <w:noWrap/>
                  <w:vAlign w:val="center"/>
                </w:tcPr>
                <w:p w14:paraId="4CC1D30D">
                  <w:pPr>
                    <w:pStyle w:val="22"/>
                    <w:bidi w:val="0"/>
                    <w:rPr>
                      <w:rFonts w:hint="default"/>
                      <w:color w:val="auto"/>
                      <w:lang w:eastAsia="zh-CN"/>
                    </w:rPr>
                  </w:pPr>
                  <w:r>
                    <w:rPr>
                      <w:rFonts w:hint="default"/>
                      <w:color w:val="auto"/>
                      <w:lang w:val="en-US" w:eastAsia="zh-CN"/>
                    </w:rPr>
                    <w:t>1、</w:t>
                  </w:r>
                  <w:r>
                    <w:rPr>
                      <w:rFonts w:hint="default"/>
                      <w:color w:val="auto"/>
                    </w:rPr>
                    <w:t>新改扩建项目严格落实国家产业规划、产业政策、生态环境分区管控方案、规划环评、项目环评、节能审查、产能置换、重点污染物总量控制、污染物排放区域削减、碳排放达峰目标等相关要求</w:t>
                  </w:r>
                  <w:r>
                    <w:rPr>
                      <w:rFonts w:hint="default"/>
                      <w:color w:val="auto"/>
                      <w:lang w:eastAsia="zh-CN"/>
                    </w:rPr>
                    <w:t>；</w:t>
                  </w:r>
                </w:p>
                <w:p w14:paraId="3139EF6E">
                  <w:pPr>
                    <w:pStyle w:val="22"/>
                    <w:bidi w:val="0"/>
                    <w:rPr>
                      <w:rFonts w:hint="default"/>
                      <w:color w:val="auto"/>
                      <w:lang w:eastAsia="zh-CN"/>
                    </w:rPr>
                  </w:pPr>
                  <w:r>
                    <w:rPr>
                      <w:rFonts w:hint="default"/>
                      <w:color w:val="auto"/>
                      <w:lang w:val="en-US" w:eastAsia="zh-CN"/>
                    </w:rPr>
                    <w:t>2、两高项目应实施部门联审。</w:t>
                  </w:r>
                </w:p>
              </w:tc>
              <w:tc>
                <w:tcPr>
                  <w:tcW w:w="877" w:type="pct"/>
                  <w:noWrap/>
                  <w:vAlign w:val="center"/>
                </w:tcPr>
                <w:p w14:paraId="29461F58">
                  <w:pPr>
                    <w:pStyle w:val="22"/>
                    <w:bidi w:val="0"/>
                    <w:rPr>
                      <w:rFonts w:hint="default"/>
                      <w:color w:val="auto"/>
                      <w:lang w:val="en-US" w:eastAsia="zh-CN"/>
                    </w:rPr>
                  </w:pPr>
                  <w:r>
                    <w:rPr>
                      <w:rFonts w:hint="eastAsia"/>
                      <w:color w:val="auto"/>
                      <w:lang w:val="en-US" w:eastAsia="zh-CN"/>
                    </w:rPr>
                    <w:t>本项目不属于“两高”项目</w:t>
                  </w:r>
                </w:p>
              </w:tc>
            </w:tr>
            <w:tr w14:paraId="31BDCD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vMerge w:val="restart"/>
                  <w:noWrap/>
                  <w:vAlign w:val="center"/>
                </w:tcPr>
                <w:p w14:paraId="0CB5C072">
                  <w:pPr>
                    <w:pStyle w:val="22"/>
                    <w:bidi w:val="0"/>
                    <w:rPr>
                      <w:rFonts w:hint="default"/>
                      <w:color w:val="auto"/>
                    </w:rPr>
                  </w:pPr>
                  <w:r>
                    <w:rPr>
                      <w:rFonts w:hint="default"/>
                      <w:color w:val="auto"/>
                    </w:rPr>
                    <w:t>2</w:t>
                  </w:r>
                </w:p>
              </w:tc>
              <w:tc>
                <w:tcPr>
                  <w:tcW w:w="672" w:type="pct"/>
                  <w:vMerge w:val="restart"/>
                  <w:noWrap/>
                  <w:vAlign w:val="center"/>
                </w:tcPr>
                <w:p w14:paraId="01D01823">
                  <w:pPr>
                    <w:pStyle w:val="22"/>
                    <w:bidi w:val="0"/>
                    <w:rPr>
                      <w:rFonts w:hint="default"/>
                      <w:color w:val="auto"/>
                    </w:rPr>
                  </w:pPr>
                  <w:r>
                    <w:rPr>
                      <w:rFonts w:hint="default"/>
                      <w:color w:val="auto"/>
                    </w:rPr>
                    <w:t>严格落实产能置换要求。</w:t>
                  </w:r>
                </w:p>
              </w:tc>
              <w:tc>
                <w:tcPr>
                  <w:tcW w:w="1697" w:type="pct"/>
                  <w:noWrap/>
                  <w:vAlign w:val="center"/>
                </w:tcPr>
                <w:p w14:paraId="7D491C32">
                  <w:pPr>
                    <w:pStyle w:val="22"/>
                    <w:bidi w:val="0"/>
                    <w:rPr>
                      <w:rFonts w:hint="default"/>
                      <w:color w:val="auto"/>
                    </w:rPr>
                  </w:pPr>
                  <w:r>
                    <w:rPr>
                      <w:rFonts w:hint="default"/>
                      <w:color w:val="auto"/>
                    </w:rPr>
                    <w:t>推动产能过剩行业减量发展、优化布局。不以任何名义、任何方式核准、备案产能严重过剩行业新增产能项目。</w:t>
                  </w:r>
                </w:p>
              </w:tc>
              <w:tc>
                <w:tcPr>
                  <w:tcW w:w="1472" w:type="pct"/>
                  <w:noWrap/>
                  <w:vAlign w:val="center"/>
                </w:tcPr>
                <w:p w14:paraId="4D5E22C7">
                  <w:pPr>
                    <w:pStyle w:val="22"/>
                    <w:bidi w:val="0"/>
                    <w:rPr>
                      <w:rFonts w:hint="default"/>
                      <w:color w:val="auto"/>
                      <w:lang w:val="en-US" w:eastAsia="zh-CN"/>
                    </w:rPr>
                  </w:pPr>
                  <w:r>
                    <w:rPr>
                      <w:rFonts w:hint="default"/>
                      <w:color w:val="auto"/>
                      <w:lang w:val="en-US" w:eastAsia="zh-CN"/>
                    </w:rPr>
                    <w:t>严重过剩行业新增产能项目环评不予审批。</w:t>
                  </w:r>
                </w:p>
              </w:tc>
              <w:tc>
                <w:tcPr>
                  <w:tcW w:w="877" w:type="pct"/>
                  <w:noWrap/>
                  <w:vAlign w:val="center"/>
                </w:tcPr>
                <w:p w14:paraId="06FDB11C">
                  <w:pPr>
                    <w:pStyle w:val="22"/>
                    <w:bidi w:val="0"/>
                    <w:rPr>
                      <w:rFonts w:hint="default"/>
                      <w:color w:val="auto"/>
                      <w:lang w:val="en-US" w:eastAsia="zh-CN"/>
                    </w:rPr>
                  </w:pPr>
                  <w:r>
                    <w:rPr>
                      <w:rFonts w:hint="eastAsia"/>
                      <w:color w:val="auto"/>
                      <w:lang w:val="en-US" w:eastAsia="zh-CN"/>
                    </w:rPr>
                    <w:t>本项目进行塑料产品生产加工，不属于过剩产能。</w:t>
                  </w:r>
                </w:p>
              </w:tc>
            </w:tr>
            <w:tr w14:paraId="6DACB7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vMerge w:val="continue"/>
                  <w:noWrap/>
                  <w:vAlign w:val="center"/>
                </w:tcPr>
                <w:p w14:paraId="3A93321F">
                  <w:pPr>
                    <w:pStyle w:val="22"/>
                    <w:bidi w:val="0"/>
                    <w:rPr>
                      <w:rFonts w:hint="default"/>
                      <w:color w:val="auto"/>
                    </w:rPr>
                  </w:pPr>
                </w:p>
              </w:tc>
              <w:tc>
                <w:tcPr>
                  <w:tcW w:w="672" w:type="pct"/>
                  <w:vMerge w:val="continue"/>
                  <w:noWrap/>
                  <w:vAlign w:val="center"/>
                </w:tcPr>
                <w:p w14:paraId="74A7EDAB">
                  <w:pPr>
                    <w:pStyle w:val="22"/>
                    <w:bidi w:val="0"/>
                    <w:rPr>
                      <w:rFonts w:hint="default"/>
                      <w:color w:val="auto"/>
                    </w:rPr>
                  </w:pPr>
                </w:p>
              </w:tc>
              <w:tc>
                <w:tcPr>
                  <w:tcW w:w="1697" w:type="pct"/>
                  <w:noWrap/>
                  <w:vAlign w:val="center"/>
                </w:tcPr>
                <w:p w14:paraId="3145A968">
                  <w:pPr>
                    <w:pStyle w:val="22"/>
                    <w:bidi w:val="0"/>
                    <w:rPr>
                      <w:rFonts w:hint="default"/>
                      <w:color w:val="auto"/>
                    </w:rPr>
                  </w:pPr>
                  <w:r>
                    <w:rPr>
                      <w:rFonts w:hint="default"/>
                      <w:color w:val="auto"/>
                    </w:rPr>
                    <w:t>被置换产能及其配套设施关停后，新建项目方可投产。</w:t>
                  </w:r>
                </w:p>
              </w:tc>
              <w:tc>
                <w:tcPr>
                  <w:tcW w:w="1472" w:type="pct"/>
                  <w:noWrap/>
                  <w:vAlign w:val="center"/>
                </w:tcPr>
                <w:p w14:paraId="1BA31A39">
                  <w:pPr>
                    <w:pStyle w:val="22"/>
                    <w:bidi w:val="0"/>
                    <w:rPr>
                      <w:rFonts w:hint="default"/>
                      <w:color w:val="auto"/>
                      <w:lang w:val="en-US" w:eastAsia="zh-CN"/>
                    </w:rPr>
                  </w:pPr>
                  <w:r>
                    <w:rPr>
                      <w:rFonts w:hint="default"/>
                      <w:color w:val="auto"/>
                      <w:lang w:val="en-US" w:eastAsia="zh-CN"/>
                    </w:rPr>
                    <w:t>涉及产能置换项目环评阶段应取得置换产能。</w:t>
                  </w:r>
                </w:p>
              </w:tc>
              <w:tc>
                <w:tcPr>
                  <w:tcW w:w="877" w:type="pct"/>
                  <w:noWrap/>
                  <w:vAlign w:val="center"/>
                </w:tcPr>
                <w:p w14:paraId="7E3AB7F6">
                  <w:pPr>
                    <w:pStyle w:val="22"/>
                    <w:bidi w:val="0"/>
                    <w:rPr>
                      <w:rFonts w:hint="default"/>
                      <w:color w:val="auto"/>
                      <w:lang w:val="en-US" w:eastAsia="zh-CN"/>
                    </w:rPr>
                  </w:pPr>
                  <w:r>
                    <w:rPr>
                      <w:rFonts w:hint="eastAsia"/>
                      <w:color w:val="auto"/>
                      <w:lang w:val="en-US" w:eastAsia="zh-CN"/>
                    </w:rPr>
                    <w:t>本项目不涉及产能置换</w:t>
                  </w:r>
                </w:p>
              </w:tc>
            </w:tr>
            <w:tr w14:paraId="6D233C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5000" w:type="pct"/>
                  <w:gridSpan w:val="5"/>
                  <w:tcBorders>
                    <w:right w:val="single" w:color="auto" w:sz="4" w:space="0"/>
                  </w:tcBorders>
                  <w:noWrap/>
                  <w:vAlign w:val="center"/>
                </w:tcPr>
                <w:p w14:paraId="5B8C7664">
                  <w:pPr>
                    <w:pStyle w:val="22"/>
                    <w:bidi w:val="0"/>
                    <w:jc w:val="left"/>
                    <w:rPr>
                      <w:rFonts w:hint="default"/>
                      <w:color w:val="auto"/>
                    </w:rPr>
                  </w:pPr>
                  <w:r>
                    <w:rPr>
                      <w:rFonts w:hint="default"/>
                      <w:color w:val="auto"/>
                    </w:rPr>
                    <w:t>（二）有序推动落后产能淘汰</w:t>
                  </w:r>
                </w:p>
              </w:tc>
            </w:tr>
            <w:tr w14:paraId="34161D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vMerge w:val="restart"/>
                  <w:noWrap/>
                  <w:vAlign w:val="center"/>
                </w:tcPr>
                <w:p w14:paraId="70170F03">
                  <w:pPr>
                    <w:pStyle w:val="22"/>
                    <w:bidi w:val="0"/>
                    <w:rPr>
                      <w:rFonts w:hint="default"/>
                      <w:color w:val="auto"/>
                    </w:rPr>
                  </w:pPr>
                  <w:r>
                    <w:rPr>
                      <w:rFonts w:hint="default"/>
                      <w:color w:val="auto"/>
                    </w:rPr>
                    <w:t>5</w:t>
                  </w:r>
                </w:p>
              </w:tc>
              <w:tc>
                <w:tcPr>
                  <w:tcW w:w="672" w:type="pct"/>
                  <w:vMerge w:val="restart"/>
                  <w:noWrap/>
                  <w:vAlign w:val="center"/>
                </w:tcPr>
                <w:p w14:paraId="297B9909">
                  <w:pPr>
                    <w:pStyle w:val="22"/>
                    <w:bidi w:val="0"/>
                    <w:rPr>
                      <w:rFonts w:hint="default"/>
                      <w:color w:val="auto"/>
                    </w:rPr>
                  </w:pPr>
                  <w:r>
                    <w:rPr>
                      <w:rFonts w:hint="default"/>
                      <w:color w:val="auto"/>
                    </w:rPr>
                    <w:t>有序推动生产设施老旧、工艺水平落后、环境管理水平低下等企业退出市场。</w:t>
                  </w:r>
                </w:p>
              </w:tc>
              <w:tc>
                <w:tcPr>
                  <w:tcW w:w="1697" w:type="pct"/>
                  <w:noWrap/>
                  <w:vAlign w:val="center"/>
                </w:tcPr>
                <w:p w14:paraId="6DEA1D63">
                  <w:pPr>
                    <w:pStyle w:val="22"/>
                    <w:bidi w:val="0"/>
                    <w:rPr>
                      <w:rFonts w:hint="default"/>
                      <w:color w:val="auto"/>
                    </w:rPr>
                  </w:pPr>
                  <w:r>
                    <w:rPr>
                      <w:rFonts w:hint="default"/>
                      <w:color w:val="auto"/>
                    </w:rPr>
                    <w:t>逐步淘汰步进式烧结机和球团竖炉以及半封闭式硅锰合金、镍铁、高碳铬铁、高碳锰铁电炉。</w:t>
                  </w:r>
                </w:p>
              </w:tc>
              <w:tc>
                <w:tcPr>
                  <w:tcW w:w="1472" w:type="pct"/>
                  <w:noWrap/>
                  <w:vAlign w:val="center"/>
                </w:tcPr>
                <w:p w14:paraId="37905013">
                  <w:pPr>
                    <w:pStyle w:val="22"/>
                    <w:bidi w:val="0"/>
                    <w:rPr>
                      <w:rFonts w:hint="default"/>
                      <w:color w:val="auto"/>
                      <w:lang w:eastAsia="zh-CN"/>
                    </w:rPr>
                  </w:pPr>
                  <w:r>
                    <w:rPr>
                      <w:rFonts w:hint="default"/>
                      <w:color w:val="auto"/>
                      <w:lang w:val="en-US" w:eastAsia="zh-CN"/>
                    </w:rPr>
                    <w:t>采用</w:t>
                  </w:r>
                  <w:r>
                    <w:rPr>
                      <w:rFonts w:hint="default"/>
                      <w:color w:val="auto"/>
                    </w:rPr>
                    <w:t>步进式烧结机和球团竖炉以及半封闭式硅锰合金、镍铁、高碳铬铁、高碳锰铁电炉</w:t>
                  </w:r>
                  <w:r>
                    <w:rPr>
                      <w:rFonts w:hint="default"/>
                      <w:color w:val="auto"/>
                      <w:lang w:val="en-US" w:eastAsia="zh-CN"/>
                    </w:rPr>
                    <w:t>新建项目环评不予审批</w:t>
                  </w:r>
                  <w:r>
                    <w:rPr>
                      <w:rFonts w:hint="default"/>
                      <w:color w:val="auto"/>
                      <w:lang w:eastAsia="zh-CN"/>
                    </w:rPr>
                    <w:t>。</w:t>
                  </w:r>
                </w:p>
              </w:tc>
              <w:tc>
                <w:tcPr>
                  <w:tcW w:w="877" w:type="pct"/>
                  <w:vMerge w:val="restart"/>
                  <w:noWrap/>
                  <w:vAlign w:val="center"/>
                </w:tcPr>
                <w:p w14:paraId="4297598E">
                  <w:pPr>
                    <w:pStyle w:val="22"/>
                    <w:bidi w:val="0"/>
                    <w:rPr>
                      <w:rFonts w:hint="default"/>
                      <w:color w:val="auto"/>
                      <w:lang w:val="en-US" w:eastAsia="zh-CN"/>
                    </w:rPr>
                  </w:pPr>
                  <w:r>
                    <w:rPr>
                      <w:rFonts w:hint="eastAsia"/>
                      <w:color w:val="auto"/>
                      <w:lang w:val="en-US" w:eastAsia="zh-CN"/>
                    </w:rPr>
                    <w:t>本项目不涉及落后产能。不进行钢铁、铝、水泥等过剩产能产品加工。</w:t>
                  </w:r>
                </w:p>
              </w:tc>
            </w:tr>
            <w:tr w14:paraId="2BA9F9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vMerge w:val="continue"/>
                  <w:noWrap/>
                  <w:vAlign w:val="center"/>
                </w:tcPr>
                <w:p w14:paraId="5086C457">
                  <w:pPr>
                    <w:pStyle w:val="22"/>
                    <w:bidi w:val="0"/>
                    <w:rPr>
                      <w:rFonts w:hint="default"/>
                      <w:color w:val="auto"/>
                    </w:rPr>
                  </w:pPr>
                </w:p>
              </w:tc>
              <w:tc>
                <w:tcPr>
                  <w:tcW w:w="672" w:type="pct"/>
                  <w:vMerge w:val="continue"/>
                  <w:noWrap/>
                  <w:vAlign w:val="center"/>
                </w:tcPr>
                <w:p w14:paraId="0D89988F">
                  <w:pPr>
                    <w:pStyle w:val="22"/>
                    <w:bidi w:val="0"/>
                    <w:rPr>
                      <w:rFonts w:hint="default"/>
                      <w:color w:val="auto"/>
                    </w:rPr>
                  </w:pPr>
                </w:p>
              </w:tc>
              <w:tc>
                <w:tcPr>
                  <w:tcW w:w="1697" w:type="pct"/>
                  <w:noWrap/>
                  <w:vAlign w:val="center"/>
                </w:tcPr>
                <w:p w14:paraId="34D334AB">
                  <w:pPr>
                    <w:pStyle w:val="22"/>
                    <w:bidi w:val="0"/>
                    <w:rPr>
                      <w:rFonts w:hint="default"/>
                      <w:color w:val="auto"/>
                    </w:rPr>
                  </w:pPr>
                  <w:r>
                    <w:rPr>
                      <w:rFonts w:hint="default"/>
                      <w:color w:val="auto"/>
                    </w:rPr>
                    <w:t>有序推动落后煤炭洗选企业退出市场。</w:t>
                  </w:r>
                </w:p>
              </w:tc>
              <w:tc>
                <w:tcPr>
                  <w:tcW w:w="1472" w:type="pct"/>
                  <w:noWrap/>
                  <w:vAlign w:val="center"/>
                </w:tcPr>
                <w:p w14:paraId="48BF93FB">
                  <w:pPr>
                    <w:pStyle w:val="22"/>
                    <w:bidi w:val="0"/>
                    <w:rPr>
                      <w:rFonts w:hint="default"/>
                      <w:color w:val="auto"/>
                      <w:lang w:val="en-US" w:eastAsia="zh-CN"/>
                    </w:rPr>
                  </w:pPr>
                  <w:r>
                    <w:rPr>
                      <w:rFonts w:hint="default"/>
                      <w:color w:val="auto"/>
                      <w:lang w:val="en-US" w:eastAsia="zh-CN"/>
                    </w:rPr>
                    <w:t>落后煤炭洗选项目不予审批。</w:t>
                  </w:r>
                </w:p>
              </w:tc>
              <w:tc>
                <w:tcPr>
                  <w:tcW w:w="877" w:type="pct"/>
                  <w:vMerge w:val="continue"/>
                  <w:noWrap/>
                  <w:vAlign w:val="center"/>
                </w:tcPr>
                <w:p w14:paraId="1CBF8865">
                  <w:pPr>
                    <w:pStyle w:val="22"/>
                    <w:bidi w:val="0"/>
                    <w:rPr>
                      <w:rFonts w:hint="default"/>
                      <w:color w:val="auto"/>
                      <w:lang w:val="en-US" w:eastAsia="zh-CN"/>
                    </w:rPr>
                  </w:pPr>
                </w:p>
              </w:tc>
            </w:tr>
            <w:tr w14:paraId="062B02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vMerge w:val="continue"/>
                  <w:noWrap/>
                  <w:vAlign w:val="center"/>
                </w:tcPr>
                <w:p w14:paraId="5340404A">
                  <w:pPr>
                    <w:pStyle w:val="22"/>
                    <w:bidi w:val="0"/>
                    <w:rPr>
                      <w:rFonts w:hint="default"/>
                      <w:color w:val="auto"/>
                    </w:rPr>
                  </w:pPr>
                </w:p>
              </w:tc>
              <w:tc>
                <w:tcPr>
                  <w:tcW w:w="672" w:type="pct"/>
                  <w:vMerge w:val="continue"/>
                  <w:noWrap/>
                  <w:vAlign w:val="center"/>
                </w:tcPr>
                <w:p w14:paraId="5668EC1D">
                  <w:pPr>
                    <w:pStyle w:val="22"/>
                    <w:bidi w:val="0"/>
                    <w:rPr>
                      <w:rFonts w:hint="default"/>
                      <w:color w:val="auto"/>
                    </w:rPr>
                  </w:pPr>
                </w:p>
              </w:tc>
              <w:tc>
                <w:tcPr>
                  <w:tcW w:w="1697" w:type="pct"/>
                  <w:noWrap/>
                  <w:vAlign w:val="center"/>
                </w:tcPr>
                <w:p w14:paraId="658B91F3">
                  <w:pPr>
                    <w:pStyle w:val="22"/>
                    <w:bidi w:val="0"/>
                    <w:rPr>
                      <w:rFonts w:hint="default"/>
                      <w:color w:val="auto"/>
                    </w:rPr>
                  </w:pPr>
                  <w:r>
                    <w:rPr>
                      <w:rFonts w:hint="default"/>
                      <w:color w:val="auto"/>
                    </w:rPr>
                    <w:t>禁止铝加工（深井铸造）企业新改扩建项目采用固定式保温炉组、钢丝绳铸造机。</w:t>
                  </w:r>
                </w:p>
              </w:tc>
              <w:tc>
                <w:tcPr>
                  <w:tcW w:w="1472" w:type="pct"/>
                  <w:noWrap/>
                  <w:vAlign w:val="center"/>
                </w:tcPr>
                <w:p w14:paraId="0C599D85">
                  <w:pPr>
                    <w:pStyle w:val="22"/>
                    <w:bidi w:val="0"/>
                    <w:rPr>
                      <w:rFonts w:hint="default"/>
                      <w:color w:val="auto"/>
                      <w:lang w:eastAsia="zh-CN"/>
                    </w:rPr>
                  </w:pPr>
                  <w:r>
                    <w:rPr>
                      <w:rFonts w:hint="default"/>
                      <w:color w:val="auto"/>
                    </w:rPr>
                    <w:t>采用固定式保温炉组、钢丝绳铸造机</w:t>
                  </w:r>
                  <w:r>
                    <w:rPr>
                      <w:rFonts w:hint="default"/>
                      <w:color w:val="auto"/>
                      <w:lang w:val="en-US" w:eastAsia="zh-CN"/>
                    </w:rPr>
                    <w:t>的</w:t>
                  </w:r>
                  <w:r>
                    <w:rPr>
                      <w:rFonts w:hint="default"/>
                      <w:color w:val="auto"/>
                    </w:rPr>
                    <w:t>新改扩建铝加工（深井铸造）项目</w:t>
                  </w:r>
                  <w:r>
                    <w:rPr>
                      <w:rFonts w:hint="default"/>
                      <w:color w:val="auto"/>
                      <w:lang w:val="en-US" w:eastAsia="zh-CN"/>
                    </w:rPr>
                    <w:t>环评不予审批</w:t>
                  </w:r>
                  <w:r>
                    <w:rPr>
                      <w:rFonts w:hint="default"/>
                      <w:color w:val="auto"/>
                      <w:lang w:eastAsia="zh-CN"/>
                    </w:rPr>
                    <w:t>。</w:t>
                  </w:r>
                </w:p>
              </w:tc>
              <w:tc>
                <w:tcPr>
                  <w:tcW w:w="877" w:type="pct"/>
                  <w:vMerge w:val="continue"/>
                  <w:noWrap/>
                  <w:vAlign w:val="center"/>
                </w:tcPr>
                <w:p w14:paraId="5533EA46">
                  <w:pPr>
                    <w:pStyle w:val="22"/>
                    <w:bidi w:val="0"/>
                    <w:rPr>
                      <w:rFonts w:hint="default"/>
                      <w:color w:val="auto"/>
                    </w:rPr>
                  </w:pPr>
                </w:p>
              </w:tc>
            </w:tr>
            <w:tr w14:paraId="596DC6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2479026C">
                  <w:pPr>
                    <w:pStyle w:val="22"/>
                    <w:bidi w:val="0"/>
                    <w:rPr>
                      <w:rFonts w:hint="default"/>
                      <w:color w:val="auto"/>
                    </w:rPr>
                  </w:pPr>
                  <w:r>
                    <w:rPr>
                      <w:rFonts w:hint="default"/>
                      <w:color w:val="auto"/>
                    </w:rPr>
                    <w:t>6</w:t>
                  </w:r>
                </w:p>
              </w:tc>
              <w:tc>
                <w:tcPr>
                  <w:tcW w:w="672" w:type="pct"/>
                  <w:noWrap/>
                  <w:vAlign w:val="center"/>
                </w:tcPr>
                <w:p w14:paraId="1BDB9F60">
                  <w:pPr>
                    <w:pStyle w:val="22"/>
                    <w:bidi w:val="0"/>
                    <w:rPr>
                      <w:rFonts w:hint="default"/>
                      <w:color w:val="auto"/>
                    </w:rPr>
                  </w:pPr>
                  <w:r>
                    <w:rPr>
                      <w:rFonts w:hint="default"/>
                      <w:color w:val="auto"/>
                    </w:rPr>
                    <w:t>严禁违规新增产能。</w:t>
                  </w:r>
                </w:p>
              </w:tc>
              <w:tc>
                <w:tcPr>
                  <w:tcW w:w="1697" w:type="pct"/>
                  <w:noWrap/>
                  <w:vAlign w:val="center"/>
                </w:tcPr>
                <w:p w14:paraId="3648EA19">
                  <w:pPr>
                    <w:pStyle w:val="22"/>
                    <w:bidi w:val="0"/>
                    <w:rPr>
                      <w:rFonts w:hint="default"/>
                      <w:color w:val="auto"/>
                    </w:rPr>
                  </w:pPr>
                  <w:r>
                    <w:rPr>
                      <w:rFonts w:hint="default"/>
                      <w:color w:val="auto"/>
                    </w:rPr>
                    <w:t>严禁违规新增钢铁、水泥（熟料）、焦化、电解铝、平板玻璃（不含光伏压延玻璃）产能。</w:t>
                  </w:r>
                </w:p>
              </w:tc>
              <w:tc>
                <w:tcPr>
                  <w:tcW w:w="1472" w:type="pct"/>
                  <w:noWrap/>
                  <w:vAlign w:val="center"/>
                </w:tcPr>
                <w:p w14:paraId="53F4E95A">
                  <w:pPr>
                    <w:pStyle w:val="22"/>
                    <w:bidi w:val="0"/>
                    <w:rPr>
                      <w:rFonts w:hint="default"/>
                      <w:color w:val="auto"/>
                    </w:rPr>
                  </w:pPr>
                  <w:r>
                    <w:rPr>
                      <w:rFonts w:hint="default"/>
                      <w:color w:val="auto"/>
                    </w:rPr>
                    <w:t>违规新增钢铁、水泥（熟料）、焦化、电解铝、平板玻璃（不含光伏压延玻璃）产能</w:t>
                  </w:r>
                  <w:r>
                    <w:rPr>
                      <w:rFonts w:hint="default"/>
                      <w:color w:val="auto"/>
                      <w:lang w:val="en-US" w:eastAsia="zh-CN"/>
                    </w:rPr>
                    <w:t>项目环评不予审批。</w:t>
                  </w:r>
                </w:p>
              </w:tc>
              <w:tc>
                <w:tcPr>
                  <w:tcW w:w="877" w:type="pct"/>
                  <w:vMerge w:val="continue"/>
                  <w:noWrap/>
                  <w:vAlign w:val="center"/>
                </w:tcPr>
                <w:p w14:paraId="4A27DD06">
                  <w:pPr>
                    <w:pStyle w:val="22"/>
                    <w:bidi w:val="0"/>
                    <w:rPr>
                      <w:rFonts w:hint="default"/>
                      <w:color w:val="auto"/>
                    </w:rPr>
                  </w:pPr>
                </w:p>
              </w:tc>
            </w:tr>
            <w:tr w14:paraId="7B2DF4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5000" w:type="pct"/>
                  <w:gridSpan w:val="5"/>
                  <w:noWrap/>
                  <w:vAlign w:val="center"/>
                </w:tcPr>
                <w:p w14:paraId="18147F5E">
                  <w:pPr>
                    <w:pStyle w:val="22"/>
                    <w:bidi w:val="0"/>
                    <w:jc w:val="left"/>
                    <w:rPr>
                      <w:rFonts w:hint="default"/>
                      <w:color w:val="auto"/>
                    </w:rPr>
                  </w:pPr>
                  <w:r>
                    <w:rPr>
                      <w:rFonts w:hint="default"/>
                      <w:color w:val="auto"/>
                    </w:rPr>
                    <w:t>（六）推动煤炭消费减量替代</w:t>
                  </w:r>
                </w:p>
              </w:tc>
            </w:tr>
            <w:tr w14:paraId="2ECFB4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6B226712">
                  <w:pPr>
                    <w:pStyle w:val="22"/>
                    <w:bidi w:val="0"/>
                    <w:rPr>
                      <w:rFonts w:hint="default"/>
                      <w:color w:val="auto"/>
                    </w:rPr>
                  </w:pPr>
                  <w:r>
                    <w:rPr>
                      <w:rFonts w:hint="default"/>
                      <w:color w:val="auto"/>
                    </w:rPr>
                    <w:t>16</w:t>
                  </w:r>
                </w:p>
              </w:tc>
              <w:tc>
                <w:tcPr>
                  <w:tcW w:w="672" w:type="pct"/>
                  <w:noWrap/>
                  <w:vAlign w:val="center"/>
                </w:tcPr>
                <w:p w14:paraId="59F90794">
                  <w:pPr>
                    <w:pStyle w:val="22"/>
                    <w:bidi w:val="0"/>
                    <w:rPr>
                      <w:rFonts w:hint="default"/>
                      <w:color w:val="auto"/>
                    </w:rPr>
                  </w:pPr>
                  <w:r>
                    <w:rPr>
                      <w:rFonts w:hint="default"/>
                      <w:color w:val="auto"/>
                    </w:rPr>
                    <w:t>推动煤炭等量或减量替代。</w:t>
                  </w:r>
                </w:p>
              </w:tc>
              <w:tc>
                <w:tcPr>
                  <w:tcW w:w="1697" w:type="pct"/>
                  <w:noWrap/>
                  <w:vAlign w:val="center"/>
                </w:tcPr>
                <w:p w14:paraId="5DE34F5E">
                  <w:pPr>
                    <w:pStyle w:val="22"/>
                    <w:bidi w:val="0"/>
                    <w:rPr>
                      <w:rFonts w:hint="default"/>
                      <w:color w:val="auto"/>
                    </w:rPr>
                  </w:pPr>
                  <w:r>
                    <w:rPr>
                      <w:rFonts w:hint="default"/>
                      <w:color w:val="auto"/>
                    </w:rPr>
                    <w:t>重点区域新改扩建用煤项目，依法实行煤炭等量或减量替代，替代方案不完善的能评、环评等不予审批；不得使用石油焦、焦炭、兰炭等高污染燃料作为煤炭减量替代措施。</w:t>
                  </w:r>
                </w:p>
              </w:tc>
              <w:tc>
                <w:tcPr>
                  <w:tcW w:w="1472" w:type="pct"/>
                  <w:noWrap/>
                  <w:vAlign w:val="center"/>
                </w:tcPr>
                <w:p w14:paraId="5DD200C9">
                  <w:pPr>
                    <w:pStyle w:val="22"/>
                    <w:bidi w:val="0"/>
                    <w:rPr>
                      <w:rFonts w:hint="default"/>
                      <w:color w:val="auto"/>
                    </w:rPr>
                  </w:pPr>
                  <w:r>
                    <w:rPr>
                      <w:rFonts w:hint="default"/>
                      <w:color w:val="auto"/>
                    </w:rPr>
                    <w:t>重点区域新改扩建用煤项目，依法实行煤炭等量或减量替代，替代方案不完善的环评不予审批；不得使用石油焦、焦炭、兰炭等高污染燃料作为煤炭减量替代措施。</w:t>
                  </w:r>
                </w:p>
              </w:tc>
              <w:tc>
                <w:tcPr>
                  <w:tcW w:w="877" w:type="pct"/>
                  <w:noWrap/>
                  <w:vAlign w:val="center"/>
                </w:tcPr>
                <w:p w14:paraId="4E7097A9">
                  <w:pPr>
                    <w:pStyle w:val="22"/>
                    <w:bidi w:val="0"/>
                    <w:rPr>
                      <w:rFonts w:hint="default"/>
                      <w:color w:val="auto"/>
                      <w:lang w:val="en-US" w:eastAsia="zh-CN"/>
                    </w:rPr>
                  </w:pPr>
                  <w:r>
                    <w:rPr>
                      <w:rFonts w:hint="eastAsia"/>
                      <w:color w:val="auto"/>
                      <w:lang w:val="en-US" w:eastAsia="zh-CN"/>
                    </w:rPr>
                    <w:t>本项目生产采用电作为能源，不涉及煤等资源能源</w:t>
                  </w:r>
                </w:p>
              </w:tc>
            </w:tr>
            <w:tr w14:paraId="6E3F2E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5000" w:type="pct"/>
                  <w:gridSpan w:val="5"/>
                  <w:tcBorders>
                    <w:right w:val="single" w:color="auto" w:sz="4" w:space="0"/>
                  </w:tcBorders>
                  <w:noWrap/>
                  <w:vAlign w:val="center"/>
                </w:tcPr>
                <w:p w14:paraId="2230E8D8">
                  <w:pPr>
                    <w:pStyle w:val="22"/>
                    <w:bidi w:val="0"/>
                    <w:jc w:val="left"/>
                    <w:rPr>
                      <w:rFonts w:hint="default"/>
                      <w:color w:val="auto"/>
                    </w:rPr>
                  </w:pPr>
                  <w:r>
                    <w:rPr>
                      <w:rFonts w:hint="default"/>
                      <w:color w:val="auto"/>
                    </w:rPr>
                    <w:t>（七）加快推动燃煤锅炉机组升级改造</w:t>
                  </w:r>
                </w:p>
              </w:tc>
            </w:tr>
            <w:tr w14:paraId="70028A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700FBC78">
                  <w:pPr>
                    <w:pStyle w:val="22"/>
                    <w:bidi w:val="0"/>
                    <w:rPr>
                      <w:rFonts w:hint="default"/>
                      <w:color w:val="auto"/>
                    </w:rPr>
                  </w:pPr>
                  <w:r>
                    <w:rPr>
                      <w:rFonts w:hint="default"/>
                      <w:color w:val="auto"/>
                    </w:rPr>
                    <w:t>19</w:t>
                  </w:r>
                </w:p>
              </w:tc>
              <w:tc>
                <w:tcPr>
                  <w:tcW w:w="672" w:type="pct"/>
                  <w:noWrap/>
                  <w:vAlign w:val="center"/>
                </w:tcPr>
                <w:p w14:paraId="2103FD3B">
                  <w:pPr>
                    <w:pStyle w:val="22"/>
                    <w:bidi w:val="0"/>
                    <w:rPr>
                      <w:rFonts w:hint="default"/>
                      <w:color w:val="auto"/>
                    </w:rPr>
                  </w:pPr>
                  <w:r>
                    <w:rPr>
                      <w:rFonts w:hint="default"/>
                      <w:color w:val="auto"/>
                    </w:rPr>
                    <w:t>严控热源性燃煤设施建设。</w:t>
                  </w:r>
                </w:p>
              </w:tc>
              <w:tc>
                <w:tcPr>
                  <w:tcW w:w="1697" w:type="pct"/>
                  <w:noWrap/>
                  <w:vAlign w:val="center"/>
                </w:tcPr>
                <w:p w14:paraId="66BAAE71">
                  <w:pPr>
                    <w:pStyle w:val="22"/>
                    <w:bidi w:val="0"/>
                    <w:rPr>
                      <w:rFonts w:hint="default"/>
                      <w:color w:val="auto"/>
                      <w:lang w:val="en-US" w:eastAsia="zh-CN"/>
                    </w:rPr>
                  </w:pPr>
                  <w:r>
                    <w:rPr>
                      <w:rFonts w:hint="default"/>
                      <w:color w:val="auto"/>
                    </w:rPr>
                    <w:t>重点区域原则上不再新建除集中供暖外的燃煤锅炉。</w:t>
                  </w:r>
                </w:p>
              </w:tc>
              <w:tc>
                <w:tcPr>
                  <w:tcW w:w="1472" w:type="pct"/>
                  <w:noWrap/>
                  <w:vAlign w:val="center"/>
                </w:tcPr>
                <w:p w14:paraId="3D00F8DE">
                  <w:pPr>
                    <w:pStyle w:val="22"/>
                    <w:bidi w:val="0"/>
                    <w:rPr>
                      <w:rFonts w:hint="default"/>
                      <w:color w:val="auto"/>
                      <w:lang w:val="en-US" w:eastAsia="zh-CN"/>
                    </w:rPr>
                  </w:pPr>
                  <w:r>
                    <w:rPr>
                      <w:rFonts w:hint="default"/>
                      <w:color w:val="auto"/>
                      <w:lang w:val="en-US" w:eastAsia="zh-CN"/>
                    </w:rPr>
                    <w:t>原则上不得审批除集中供暖外的燃煤锅炉。</w:t>
                  </w:r>
                </w:p>
              </w:tc>
              <w:tc>
                <w:tcPr>
                  <w:tcW w:w="877" w:type="pct"/>
                  <w:vMerge w:val="restart"/>
                  <w:noWrap/>
                  <w:vAlign w:val="center"/>
                </w:tcPr>
                <w:p w14:paraId="68FA646D">
                  <w:pPr>
                    <w:pStyle w:val="22"/>
                    <w:bidi w:val="0"/>
                    <w:rPr>
                      <w:rFonts w:hint="default"/>
                      <w:color w:val="auto"/>
                      <w:lang w:val="en-US" w:eastAsia="zh-CN"/>
                    </w:rPr>
                  </w:pPr>
                  <w:r>
                    <w:rPr>
                      <w:rFonts w:hint="eastAsia"/>
                      <w:color w:val="auto"/>
                      <w:lang w:val="en-US" w:eastAsia="zh-CN"/>
                    </w:rPr>
                    <w:t>本项目不建设锅炉</w:t>
                  </w:r>
                </w:p>
              </w:tc>
            </w:tr>
            <w:tr w14:paraId="18EA15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7774E91F">
                  <w:pPr>
                    <w:pStyle w:val="22"/>
                    <w:bidi w:val="0"/>
                    <w:rPr>
                      <w:rFonts w:hint="default"/>
                      <w:color w:val="auto"/>
                    </w:rPr>
                  </w:pPr>
                  <w:r>
                    <w:rPr>
                      <w:rFonts w:hint="default"/>
                      <w:color w:val="auto"/>
                    </w:rPr>
                    <w:t>21</w:t>
                  </w:r>
                </w:p>
              </w:tc>
              <w:tc>
                <w:tcPr>
                  <w:tcW w:w="672" w:type="pct"/>
                  <w:noWrap/>
                  <w:vAlign w:val="center"/>
                </w:tcPr>
                <w:p w14:paraId="0F4359A5">
                  <w:pPr>
                    <w:pStyle w:val="22"/>
                    <w:bidi w:val="0"/>
                    <w:rPr>
                      <w:rFonts w:hint="default"/>
                      <w:color w:val="auto"/>
                    </w:rPr>
                  </w:pPr>
                  <w:r>
                    <w:rPr>
                      <w:rFonts w:hint="default"/>
                      <w:color w:val="auto"/>
                    </w:rPr>
                    <w:t>推动现有燃煤机组升级改造。</w:t>
                  </w:r>
                </w:p>
              </w:tc>
              <w:tc>
                <w:tcPr>
                  <w:tcW w:w="1697" w:type="pct"/>
                  <w:noWrap/>
                  <w:vAlign w:val="center"/>
                </w:tcPr>
                <w:p w14:paraId="1C2B149E">
                  <w:pPr>
                    <w:pStyle w:val="22"/>
                    <w:bidi w:val="0"/>
                    <w:rPr>
                      <w:rFonts w:hint="default"/>
                      <w:color w:val="auto"/>
                    </w:rPr>
                  </w:pPr>
                  <w:r>
                    <w:rPr>
                      <w:rFonts w:hint="default"/>
                      <w:color w:val="auto"/>
                    </w:rPr>
                    <w:t>禁止新建自备燃煤机组，鼓励自备燃煤机组积极开展清洁能源替代。大力推动现有煤电机组开展节能降碳改造、灵活性改造、供热改造“三改联动”。</w:t>
                  </w:r>
                </w:p>
              </w:tc>
              <w:tc>
                <w:tcPr>
                  <w:tcW w:w="1472" w:type="pct"/>
                  <w:noWrap/>
                  <w:vAlign w:val="center"/>
                </w:tcPr>
                <w:p w14:paraId="4FBB25F7">
                  <w:pPr>
                    <w:pStyle w:val="22"/>
                    <w:bidi w:val="0"/>
                    <w:rPr>
                      <w:rFonts w:hint="default"/>
                      <w:color w:val="auto"/>
                      <w:lang w:val="en-US" w:eastAsia="zh-CN"/>
                    </w:rPr>
                  </w:pPr>
                  <w:r>
                    <w:rPr>
                      <w:rFonts w:hint="default"/>
                      <w:color w:val="auto"/>
                      <w:lang w:val="en-US" w:eastAsia="zh-CN"/>
                    </w:rPr>
                    <w:t>新建自备燃煤机组环评项目不予审批。</w:t>
                  </w:r>
                </w:p>
              </w:tc>
              <w:tc>
                <w:tcPr>
                  <w:tcW w:w="877" w:type="pct"/>
                  <w:vMerge w:val="continue"/>
                  <w:noWrap/>
                  <w:vAlign w:val="center"/>
                </w:tcPr>
                <w:p w14:paraId="64C1A124">
                  <w:pPr>
                    <w:pStyle w:val="22"/>
                    <w:bidi w:val="0"/>
                    <w:rPr>
                      <w:rFonts w:hint="default"/>
                      <w:color w:val="auto"/>
                      <w:lang w:val="en-US" w:eastAsia="zh-CN"/>
                    </w:rPr>
                  </w:pPr>
                </w:p>
              </w:tc>
            </w:tr>
            <w:tr w14:paraId="1BA69B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5000" w:type="pct"/>
                  <w:gridSpan w:val="5"/>
                  <w:tcBorders>
                    <w:right w:val="single" w:color="auto" w:sz="4" w:space="0"/>
                  </w:tcBorders>
                  <w:noWrap/>
                  <w:vAlign w:val="center"/>
                </w:tcPr>
                <w:p w14:paraId="798FBA60">
                  <w:pPr>
                    <w:pStyle w:val="22"/>
                    <w:bidi w:val="0"/>
                    <w:jc w:val="left"/>
                    <w:rPr>
                      <w:rFonts w:hint="default"/>
                      <w:color w:val="auto"/>
                    </w:rPr>
                  </w:pPr>
                  <w:r>
                    <w:rPr>
                      <w:rFonts w:hint="default"/>
                      <w:color w:val="auto"/>
                    </w:rPr>
                    <w:t>（八）推动工业炉窑清洁能源替代</w:t>
                  </w:r>
                </w:p>
              </w:tc>
            </w:tr>
            <w:tr w14:paraId="04B0F4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048C3C45">
                  <w:pPr>
                    <w:pStyle w:val="22"/>
                    <w:bidi w:val="0"/>
                    <w:rPr>
                      <w:rFonts w:hint="default"/>
                      <w:color w:val="auto"/>
                    </w:rPr>
                  </w:pPr>
                  <w:r>
                    <w:rPr>
                      <w:rFonts w:hint="default"/>
                      <w:color w:val="auto"/>
                    </w:rPr>
                    <w:t>23</w:t>
                  </w:r>
                </w:p>
              </w:tc>
              <w:tc>
                <w:tcPr>
                  <w:tcW w:w="672" w:type="pct"/>
                  <w:noWrap/>
                  <w:vAlign w:val="center"/>
                </w:tcPr>
                <w:p w14:paraId="7BA189A9">
                  <w:pPr>
                    <w:pStyle w:val="22"/>
                    <w:bidi w:val="0"/>
                    <w:rPr>
                      <w:rFonts w:hint="default"/>
                      <w:color w:val="auto"/>
                    </w:rPr>
                  </w:pPr>
                  <w:r>
                    <w:rPr>
                      <w:rFonts w:hint="default"/>
                      <w:color w:val="auto"/>
                    </w:rPr>
                    <w:t>推动煤气发生炉清洁能源替代。</w:t>
                  </w:r>
                </w:p>
              </w:tc>
              <w:tc>
                <w:tcPr>
                  <w:tcW w:w="1697" w:type="pct"/>
                  <w:noWrap/>
                  <w:vAlign w:val="center"/>
                </w:tcPr>
                <w:p w14:paraId="010CF280">
                  <w:pPr>
                    <w:pStyle w:val="22"/>
                    <w:bidi w:val="0"/>
                    <w:rPr>
                      <w:rFonts w:hint="default"/>
                      <w:color w:val="auto"/>
                    </w:rPr>
                  </w:pPr>
                  <w:r>
                    <w:rPr>
                      <w:rFonts w:hint="default"/>
                      <w:color w:val="auto"/>
                    </w:rPr>
                    <w:t>重点区域不再新增燃料类煤气发生炉。</w:t>
                  </w:r>
                </w:p>
              </w:tc>
              <w:tc>
                <w:tcPr>
                  <w:tcW w:w="1472" w:type="pct"/>
                  <w:noWrap/>
                  <w:vAlign w:val="center"/>
                </w:tcPr>
                <w:p w14:paraId="58D1693A">
                  <w:pPr>
                    <w:pStyle w:val="22"/>
                    <w:bidi w:val="0"/>
                    <w:rPr>
                      <w:rFonts w:hint="default"/>
                      <w:color w:val="auto"/>
                      <w:lang w:val="en-US" w:eastAsia="zh-CN"/>
                    </w:rPr>
                  </w:pPr>
                  <w:r>
                    <w:rPr>
                      <w:rFonts w:hint="default"/>
                      <w:color w:val="auto"/>
                      <w:lang w:val="en-US" w:eastAsia="zh-CN"/>
                    </w:rPr>
                    <w:t>新增燃煤类煤气发生炉项目不予审批。</w:t>
                  </w:r>
                </w:p>
              </w:tc>
              <w:tc>
                <w:tcPr>
                  <w:tcW w:w="877" w:type="pct"/>
                  <w:noWrap/>
                  <w:vAlign w:val="center"/>
                </w:tcPr>
                <w:p w14:paraId="64C79273">
                  <w:pPr>
                    <w:pStyle w:val="22"/>
                    <w:bidi w:val="0"/>
                    <w:rPr>
                      <w:rFonts w:hint="default"/>
                      <w:color w:val="auto"/>
                      <w:lang w:val="en-US" w:eastAsia="zh-CN"/>
                    </w:rPr>
                  </w:pPr>
                  <w:r>
                    <w:rPr>
                      <w:rFonts w:hint="eastAsia"/>
                      <w:color w:val="auto"/>
                      <w:lang w:val="en-US" w:eastAsia="zh-CN"/>
                    </w:rPr>
                    <w:t>本项目不涉及炉窑</w:t>
                  </w:r>
                </w:p>
              </w:tc>
            </w:tr>
            <w:tr w14:paraId="183EF5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5000" w:type="pct"/>
                  <w:gridSpan w:val="5"/>
                  <w:tcBorders>
                    <w:right w:val="single" w:color="auto" w:sz="4" w:space="0"/>
                  </w:tcBorders>
                  <w:noWrap/>
                  <w:vAlign w:val="center"/>
                </w:tcPr>
                <w:p w14:paraId="6269A056">
                  <w:pPr>
                    <w:pStyle w:val="22"/>
                    <w:bidi w:val="0"/>
                    <w:jc w:val="left"/>
                    <w:rPr>
                      <w:rFonts w:hint="default"/>
                      <w:color w:val="auto"/>
                    </w:rPr>
                  </w:pPr>
                  <w:r>
                    <w:rPr>
                      <w:rFonts w:hint="default"/>
                      <w:color w:val="auto"/>
                    </w:rPr>
                    <w:t>（九）推动货物运输清洁化</w:t>
                  </w:r>
                </w:p>
              </w:tc>
            </w:tr>
            <w:tr w14:paraId="0D3CDA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29C6534F">
                  <w:pPr>
                    <w:pStyle w:val="22"/>
                    <w:bidi w:val="0"/>
                    <w:rPr>
                      <w:rFonts w:hint="default"/>
                      <w:color w:val="auto"/>
                    </w:rPr>
                  </w:pPr>
                  <w:r>
                    <w:rPr>
                      <w:rFonts w:hint="default"/>
                      <w:color w:val="auto"/>
                    </w:rPr>
                    <w:t>27</w:t>
                  </w:r>
                </w:p>
              </w:tc>
              <w:tc>
                <w:tcPr>
                  <w:tcW w:w="672" w:type="pct"/>
                  <w:noWrap/>
                  <w:vAlign w:val="center"/>
                </w:tcPr>
                <w:p w14:paraId="6C53CDF8">
                  <w:pPr>
                    <w:pStyle w:val="22"/>
                    <w:bidi w:val="0"/>
                    <w:rPr>
                      <w:rFonts w:hint="default"/>
                      <w:color w:val="auto"/>
                    </w:rPr>
                  </w:pPr>
                  <w:r>
                    <w:rPr>
                      <w:rFonts w:hint="default"/>
                      <w:color w:val="auto"/>
                    </w:rPr>
                    <w:t>提高重点行业清洁运输比例。</w:t>
                  </w:r>
                </w:p>
              </w:tc>
              <w:tc>
                <w:tcPr>
                  <w:tcW w:w="1697" w:type="pct"/>
                  <w:noWrap/>
                  <w:vAlign w:val="center"/>
                </w:tcPr>
                <w:p w14:paraId="00475998">
                  <w:pPr>
                    <w:pStyle w:val="22"/>
                    <w:bidi w:val="0"/>
                    <w:rPr>
                      <w:rFonts w:hint="default"/>
                      <w:color w:val="auto"/>
                    </w:rPr>
                  </w:pPr>
                  <w:r>
                    <w:rPr>
                      <w:rFonts w:hint="default"/>
                      <w:color w:val="auto"/>
                    </w:rPr>
                    <w:t>将清洁运输作为煤矿、钢铁、火电、水泥、有色、焦化、煤化工等行业新改扩建项目审核和监管重点。</w:t>
                  </w:r>
                </w:p>
              </w:tc>
              <w:tc>
                <w:tcPr>
                  <w:tcW w:w="1472" w:type="pct"/>
                  <w:noWrap/>
                  <w:vAlign w:val="center"/>
                </w:tcPr>
                <w:p w14:paraId="134DAF6F">
                  <w:pPr>
                    <w:pStyle w:val="22"/>
                    <w:bidi w:val="0"/>
                    <w:rPr>
                      <w:rFonts w:hint="default"/>
                      <w:color w:val="auto"/>
                      <w:lang w:val="en-US" w:eastAsia="zh-CN"/>
                    </w:rPr>
                  </w:pPr>
                  <w:r>
                    <w:rPr>
                      <w:rFonts w:hint="default"/>
                      <w:color w:val="auto"/>
                    </w:rPr>
                    <w:t>煤矿、钢铁、火电、水泥、有色、焦化、煤化工等行业新改扩建项目</w:t>
                  </w:r>
                  <w:r>
                    <w:rPr>
                      <w:rFonts w:hint="default"/>
                      <w:color w:val="auto"/>
                      <w:lang w:val="en-US" w:eastAsia="zh-CN"/>
                    </w:rPr>
                    <w:t>环评审核中重点关注清洁运输。</w:t>
                  </w:r>
                </w:p>
              </w:tc>
              <w:tc>
                <w:tcPr>
                  <w:tcW w:w="877" w:type="pct"/>
                  <w:noWrap/>
                  <w:vAlign w:val="center"/>
                </w:tcPr>
                <w:p w14:paraId="2547E380">
                  <w:pPr>
                    <w:pStyle w:val="22"/>
                    <w:bidi w:val="0"/>
                    <w:rPr>
                      <w:rFonts w:hint="default"/>
                      <w:color w:val="auto"/>
                      <w:lang w:val="en-US" w:eastAsia="zh-CN"/>
                    </w:rPr>
                  </w:pPr>
                  <w:r>
                    <w:rPr>
                      <w:rFonts w:hint="eastAsia"/>
                      <w:color w:val="auto"/>
                      <w:lang w:val="en-US" w:eastAsia="zh-CN"/>
                    </w:rPr>
                    <w:t>本项目主要进行塑料制品生产，不属于前述重点行业。本项目物料运输采用符合国六要求的车辆。</w:t>
                  </w:r>
                </w:p>
              </w:tc>
            </w:tr>
            <w:tr w14:paraId="6E80AF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5000" w:type="pct"/>
                  <w:gridSpan w:val="5"/>
                  <w:noWrap/>
                  <w:vAlign w:val="center"/>
                </w:tcPr>
                <w:p w14:paraId="58983CCB">
                  <w:pPr>
                    <w:pStyle w:val="22"/>
                    <w:bidi w:val="0"/>
                    <w:jc w:val="left"/>
                    <w:rPr>
                      <w:rFonts w:hint="default"/>
                      <w:color w:val="auto"/>
                    </w:rPr>
                  </w:pPr>
                  <w:r>
                    <w:rPr>
                      <w:rFonts w:hint="default"/>
                      <w:color w:val="auto"/>
                    </w:rPr>
                    <w:t>（十七）加快低（无）VOCs原辅材料替代</w:t>
                  </w:r>
                </w:p>
              </w:tc>
            </w:tr>
            <w:tr w14:paraId="399C39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4E1025A1">
                  <w:pPr>
                    <w:pStyle w:val="22"/>
                    <w:bidi w:val="0"/>
                    <w:rPr>
                      <w:rFonts w:hint="default"/>
                      <w:color w:val="auto"/>
                    </w:rPr>
                  </w:pPr>
                  <w:r>
                    <w:rPr>
                      <w:rFonts w:hint="default"/>
                      <w:color w:val="auto"/>
                    </w:rPr>
                    <w:t>52</w:t>
                  </w:r>
                </w:p>
              </w:tc>
              <w:tc>
                <w:tcPr>
                  <w:tcW w:w="672" w:type="pct"/>
                  <w:noWrap/>
                  <w:vAlign w:val="center"/>
                </w:tcPr>
                <w:p w14:paraId="781BF822">
                  <w:pPr>
                    <w:pStyle w:val="22"/>
                    <w:bidi w:val="0"/>
                    <w:rPr>
                      <w:rFonts w:hint="default"/>
                      <w:color w:val="auto"/>
                    </w:rPr>
                  </w:pPr>
                  <w:r>
                    <w:rPr>
                      <w:rFonts w:hint="default"/>
                      <w:color w:val="auto"/>
                    </w:rPr>
                    <w:t>严格控制生产和使用高VOCs含量建设项目。</w:t>
                  </w:r>
                </w:p>
              </w:tc>
              <w:tc>
                <w:tcPr>
                  <w:tcW w:w="1697" w:type="pct"/>
                  <w:noWrap/>
                  <w:vAlign w:val="center"/>
                </w:tcPr>
                <w:p w14:paraId="40E08C9C">
                  <w:pPr>
                    <w:pStyle w:val="22"/>
                    <w:bidi w:val="0"/>
                    <w:rPr>
                      <w:rFonts w:hint="default"/>
                      <w:color w:val="auto"/>
                      <w:lang w:val="en-US" w:eastAsia="zh-CN"/>
                    </w:rPr>
                  </w:pPr>
                  <w:r>
                    <w:rPr>
                      <w:rFonts w:hint="default"/>
                      <w:color w:val="auto"/>
                    </w:rPr>
                    <w:t>实施安徽省低挥发性有机物原辅材料源头替代工作方案，严格控制生产和使用高VOCs含量涂料、油墨、胶粘剂、清洗剂等建设项目。</w:t>
                  </w:r>
                </w:p>
              </w:tc>
              <w:tc>
                <w:tcPr>
                  <w:tcW w:w="1472" w:type="pct"/>
                  <w:noWrap/>
                  <w:vAlign w:val="center"/>
                </w:tcPr>
                <w:p w14:paraId="48236D92">
                  <w:pPr>
                    <w:pStyle w:val="22"/>
                    <w:bidi w:val="0"/>
                    <w:rPr>
                      <w:rFonts w:hint="default"/>
                      <w:color w:val="auto"/>
                      <w:lang w:val="en-US" w:eastAsia="zh-CN"/>
                    </w:rPr>
                  </w:pPr>
                  <w:r>
                    <w:rPr>
                      <w:rFonts w:hint="default"/>
                      <w:color w:val="auto"/>
                      <w:lang w:val="en-US" w:eastAsia="zh-CN"/>
                    </w:rPr>
                    <w:t>严格控制审批</w:t>
                  </w:r>
                  <w:r>
                    <w:rPr>
                      <w:rFonts w:hint="default"/>
                      <w:color w:val="auto"/>
                    </w:rPr>
                    <w:t>生产和使用高VOCs含量涂料、油墨、胶粘剂、清洗剂等建设项目</w:t>
                  </w:r>
                  <w:r>
                    <w:rPr>
                      <w:rFonts w:hint="default"/>
                      <w:color w:val="auto"/>
                      <w:lang w:val="en-US" w:eastAsia="zh-CN"/>
                    </w:rPr>
                    <w:t>环评。</w:t>
                  </w:r>
                </w:p>
              </w:tc>
              <w:tc>
                <w:tcPr>
                  <w:tcW w:w="877" w:type="pct"/>
                  <w:vMerge w:val="restart"/>
                  <w:noWrap/>
                  <w:vAlign w:val="center"/>
                </w:tcPr>
                <w:p w14:paraId="4E76A973">
                  <w:pPr>
                    <w:pStyle w:val="22"/>
                    <w:bidi w:val="0"/>
                    <w:rPr>
                      <w:rFonts w:hint="default"/>
                      <w:color w:val="auto"/>
                      <w:lang w:val="en-US" w:eastAsia="zh-CN"/>
                    </w:rPr>
                  </w:pPr>
                  <w:r>
                    <w:rPr>
                      <w:rFonts w:hint="eastAsia"/>
                      <w:color w:val="auto"/>
                      <w:lang w:val="en-US" w:eastAsia="zh-CN"/>
                    </w:rPr>
                    <w:t>本项目不使用涂料、油墨和胶黏剂。</w:t>
                  </w:r>
                </w:p>
              </w:tc>
            </w:tr>
            <w:tr w14:paraId="2E37D2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04DF532F">
                  <w:pPr>
                    <w:pStyle w:val="22"/>
                    <w:bidi w:val="0"/>
                    <w:rPr>
                      <w:rFonts w:hint="default"/>
                      <w:color w:val="auto"/>
                    </w:rPr>
                  </w:pPr>
                  <w:r>
                    <w:rPr>
                      <w:rFonts w:hint="default"/>
                      <w:color w:val="auto"/>
                    </w:rPr>
                    <w:t>53</w:t>
                  </w:r>
                </w:p>
              </w:tc>
              <w:tc>
                <w:tcPr>
                  <w:tcW w:w="672" w:type="pct"/>
                  <w:noWrap/>
                  <w:vAlign w:val="center"/>
                </w:tcPr>
                <w:p w14:paraId="4ECF6D77">
                  <w:pPr>
                    <w:pStyle w:val="22"/>
                    <w:bidi w:val="0"/>
                    <w:rPr>
                      <w:rFonts w:hint="default"/>
                      <w:color w:val="auto"/>
                    </w:rPr>
                  </w:pPr>
                  <w:r>
                    <w:rPr>
                      <w:rFonts w:hint="default"/>
                      <w:color w:val="auto"/>
                    </w:rPr>
                    <w:t>推动低（无）VOCs原辅材料源头替代。</w:t>
                  </w:r>
                </w:p>
              </w:tc>
              <w:tc>
                <w:tcPr>
                  <w:tcW w:w="1697" w:type="pct"/>
                  <w:noWrap/>
                  <w:vAlign w:val="center"/>
                </w:tcPr>
                <w:p w14:paraId="4E344B2E">
                  <w:pPr>
                    <w:pStyle w:val="22"/>
                    <w:bidi w:val="0"/>
                    <w:rPr>
                      <w:rFonts w:hint="default"/>
                      <w:color w:val="auto"/>
                    </w:rPr>
                  </w:pPr>
                  <w:r>
                    <w:rPr>
                      <w:rFonts w:hint="default"/>
                      <w:color w:val="auto"/>
                    </w:rPr>
                    <w:t>加大汽车整车制造、汽车修理、木质家具制造、汽车零部件、工程机械、钢结构、船舶制造等工业涂装行业、包装印刷行业及电子行业低（无）VOCs含量原辅材料的替代力度。</w:t>
                  </w:r>
                </w:p>
              </w:tc>
              <w:tc>
                <w:tcPr>
                  <w:tcW w:w="1472" w:type="pct"/>
                  <w:noWrap/>
                  <w:vAlign w:val="center"/>
                </w:tcPr>
                <w:p w14:paraId="51308E82">
                  <w:pPr>
                    <w:pStyle w:val="22"/>
                    <w:bidi w:val="0"/>
                    <w:rPr>
                      <w:rFonts w:hint="default"/>
                      <w:color w:val="auto"/>
                      <w:lang w:val="en-US" w:eastAsia="zh-CN"/>
                    </w:rPr>
                  </w:pPr>
                  <w:r>
                    <w:rPr>
                      <w:rFonts w:hint="default"/>
                      <w:color w:val="auto"/>
                    </w:rPr>
                    <w:t>汽车整车制造、汽车修理、木质家具制造、汽车零部件、工程机械、钢结构、船舶制造等工业涂装行业、包装印刷行业及电子行业</w:t>
                  </w:r>
                  <w:r>
                    <w:rPr>
                      <w:rFonts w:hint="default"/>
                      <w:color w:val="auto"/>
                      <w:lang w:val="en-US" w:eastAsia="zh-CN"/>
                    </w:rPr>
                    <w:t>环评审批中要求加大</w:t>
                  </w:r>
                  <w:r>
                    <w:rPr>
                      <w:rFonts w:hint="default"/>
                      <w:color w:val="auto"/>
                    </w:rPr>
                    <w:t>低（无）VOCs含量原辅材料的替代力度</w:t>
                  </w:r>
                  <w:r>
                    <w:rPr>
                      <w:rFonts w:hint="default"/>
                      <w:color w:val="auto"/>
                      <w:lang w:eastAsia="zh-CN"/>
                    </w:rPr>
                    <w:t>。</w:t>
                  </w:r>
                </w:p>
              </w:tc>
              <w:tc>
                <w:tcPr>
                  <w:tcW w:w="877" w:type="pct"/>
                  <w:vMerge w:val="continue"/>
                  <w:noWrap/>
                  <w:vAlign w:val="center"/>
                </w:tcPr>
                <w:p w14:paraId="3DCBAAAE">
                  <w:pPr>
                    <w:pStyle w:val="22"/>
                    <w:bidi w:val="0"/>
                    <w:rPr>
                      <w:rFonts w:hint="default"/>
                      <w:color w:val="auto"/>
                      <w:lang w:val="en-US" w:eastAsia="zh-CN"/>
                    </w:rPr>
                  </w:pPr>
                </w:p>
              </w:tc>
            </w:tr>
          </w:tbl>
          <w:p w14:paraId="64368E8F">
            <w:pPr>
              <w:bidi w:val="0"/>
              <w:rPr>
                <w:b/>
                <w:bCs/>
                <w:color w:val="auto"/>
              </w:rPr>
            </w:pPr>
            <w:r>
              <w:rPr>
                <w:rFonts w:hint="eastAsia"/>
                <w:b/>
                <w:bCs/>
                <w:color w:val="auto"/>
                <w:lang w:val="en-US" w:eastAsia="zh-CN"/>
              </w:rPr>
              <w:t>7</w:t>
            </w:r>
            <w:r>
              <w:rPr>
                <w:rFonts w:hint="eastAsia"/>
                <w:b/>
                <w:bCs/>
                <w:color w:val="auto"/>
                <w:lang w:eastAsia="zh-CN"/>
              </w:rPr>
              <w:t>、</w:t>
            </w:r>
            <w:r>
              <w:rPr>
                <w:b/>
                <w:bCs/>
                <w:color w:val="auto"/>
              </w:rPr>
              <w:t>项目</w:t>
            </w:r>
            <w:r>
              <w:rPr>
                <w:rFonts w:hint="eastAsia"/>
                <w:b/>
                <w:bCs/>
                <w:color w:val="auto"/>
                <w:lang w:eastAsia="zh-CN"/>
              </w:rPr>
              <w:t>“</w:t>
            </w:r>
            <w:r>
              <w:rPr>
                <w:b/>
                <w:bCs/>
                <w:color w:val="auto"/>
              </w:rPr>
              <w:t>三线一单</w:t>
            </w:r>
            <w:r>
              <w:rPr>
                <w:rFonts w:hint="eastAsia"/>
                <w:b/>
                <w:bCs/>
                <w:color w:val="auto"/>
                <w:lang w:eastAsia="zh-CN"/>
              </w:rPr>
              <w:t>”</w:t>
            </w:r>
            <w:r>
              <w:rPr>
                <w:b/>
                <w:bCs/>
                <w:color w:val="auto"/>
              </w:rPr>
              <w:t>符合性分析</w:t>
            </w:r>
          </w:p>
          <w:p w14:paraId="2C09B535">
            <w:pPr>
              <w:bidi w:val="0"/>
              <w:rPr>
                <w:b/>
                <w:bCs/>
                <w:color w:val="auto"/>
              </w:rPr>
            </w:pPr>
            <w:r>
              <w:rPr>
                <w:rFonts w:hint="eastAsia"/>
                <w:b/>
                <w:bCs/>
                <w:color w:val="auto"/>
              </w:rPr>
              <w:t>（1）与以改善环境质量为核心加强环境影响评价管理的通知相符性</w:t>
            </w:r>
          </w:p>
          <w:p w14:paraId="48D6B23E">
            <w:pPr>
              <w:bidi w:val="0"/>
              <w:rPr>
                <w:color w:val="auto"/>
              </w:rPr>
            </w:pPr>
            <w:r>
              <w:rPr>
                <w:rFonts w:hint="eastAsia"/>
                <w:color w:val="auto"/>
                <w:lang w:val="en-US" w:eastAsia="zh-CN"/>
              </w:rPr>
              <w:t>2016年10月26日，环境保护部以“环环评〔2016〕150号”发布《关于以改善环境质量为核心加强环境影响评价管理的通知》（以下简称“通知”），通知中明确应强化“三线一单”（即生态保护红线、环境质量底线、资源利用上线和生态环境准入负面清单）的约束作用。</w:t>
            </w:r>
          </w:p>
          <w:p w14:paraId="56E81400">
            <w:pPr>
              <w:bidi w:val="0"/>
              <w:rPr>
                <w:color w:val="auto"/>
              </w:rPr>
            </w:pPr>
            <w:r>
              <w:rPr>
                <w:color w:val="auto"/>
                <w:lang w:val="en-US" w:eastAsia="zh-CN"/>
              </w:rPr>
              <w:t>判定本项目与</w:t>
            </w:r>
            <w:r>
              <w:rPr>
                <w:rFonts w:hint="eastAsia"/>
                <w:color w:val="auto"/>
                <w:lang w:val="en-US" w:eastAsia="zh-CN"/>
              </w:rPr>
              <w:t>“</w:t>
            </w:r>
            <w:r>
              <w:rPr>
                <w:color w:val="auto"/>
                <w:lang w:val="en-US" w:eastAsia="zh-CN"/>
              </w:rPr>
              <w:t>三线一单</w:t>
            </w:r>
            <w:r>
              <w:rPr>
                <w:rFonts w:hint="eastAsia"/>
                <w:color w:val="auto"/>
                <w:lang w:val="en-US" w:eastAsia="zh-CN"/>
              </w:rPr>
              <w:t>”</w:t>
            </w:r>
            <w:r>
              <w:rPr>
                <w:color w:val="auto"/>
                <w:lang w:val="en-US" w:eastAsia="zh-CN"/>
              </w:rPr>
              <w:t>相符性如下表。</w:t>
            </w:r>
          </w:p>
          <w:p w14:paraId="3FF1ECEC">
            <w:pPr>
              <w:pStyle w:val="21"/>
              <w:bidi w:val="0"/>
              <w:rPr>
                <w:color w:val="auto"/>
              </w:rPr>
            </w:pPr>
            <w:r>
              <w:rPr>
                <w:color w:val="auto"/>
              </w:rPr>
              <w:t>表</w:t>
            </w:r>
            <w:r>
              <w:rPr>
                <w:rFonts w:hint="eastAsia"/>
                <w:color w:val="auto"/>
              </w:rPr>
              <w:t>1-</w:t>
            </w:r>
            <w:r>
              <w:rPr>
                <w:rFonts w:hint="eastAsia"/>
                <w:color w:val="auto"/>
                <w:lang w:val="en-US" w:eastAsia="zh-CN"/>
              </w:rPr>
              <w:t xml:space="preserve">7  </w:t>
            </w:r>
            <w:r>
              <w:rPr>
                <w:color w:val="auto"/>
              </w:rPr>
              <w:t>本项目与</w:t>
            </w:r>
            <w:r>
              <w:rPr>
                <w:rFonts w:hint="eastAsia"/>
                <w:color w:val="auto"/>
                <w:lang w:eastAsia="zh-CN"/>
              </w:rPr>
              <w:t>“</w:t>
            </w:r>
            <w:r>
              <w:rPr>
                <w:color w:val="auto"/>
              </w:rPr>
              <w:t>三线一单</w:t>
            </w:r>
            <w:r>
              <w:rPr>
                <w:rFonts w:hint="eastAsia"/>
                <w:color w:val="auto"/>
                <w:lang w:eastAsia="zh-CN"/>
              </w:rPr>
              <w:t>”</w:t>
            </w:r>
            <w:r>
              <w:rPr>
                <w:color w:val="auto"/>
              </w:rPr>
              <w:t>相符性</w:t>
            </w:r>
          </w:p>
          <w:tbl>
            <w:tblPr>
              <w:tblStyle w:val="12"/>
              <w:tblW w:w="769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1" w:type="dxa"/>
                <w:left w:w="28" w:type="dxa"/>
                <w:bottom w:w="11" w:type="dxa"/>
                <w:right w:w="28" w:type="dxa"/>
              </w:tblCellMar>
            </w:tblPr>
            <w:tblGrid>
              <w:gridCol w:w="504"/>
              <w:gridCol w:w="615"/>
              <w:gridCol w:w="1790"/>
              <w:gridCol w:w="3988"/>
              <w:gridCol w:w="797"/>
            </w:tblGrid>
            <w:tr w14:paraId="003D3E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1" w:type="dxa"/>
                  <w:left w:w="28" w:type="dxa"/>
                  <w:bottom w:w="11" w:type="dxa"/>
                  <w:right w:w="28" w:type="dxa"/>
                </w:tblCellMar>
              </w:tblPrEx>
              <w:trPr>
                <w:trHeight w:val="397" w:hRule="atLeast"/>
                <w:jc w:val="center"/>
              </w:trPr>
              <w:tc>
                <w:tcPr>
                  <w:tcW w:w="504" w:type="dxa"/>
                  <w:noWrap w:val="0"/>
                  <w:vAlign w:val="center"/>
                </w:tcPr>
                <w:p w14:paraId="4346855E">
                  <w:pPr>
                    <w:pStyle w:val="22"/>
                    <w:bidi w:val="0"/>
                    <w:rPr>
                      <w:b/>
                      <w:bCs/>
                      <w:color w:val="auto"/>
                    </w:rPr>
                  </w:pPr>
                  <w:r>
                    <w:rPr>
                      <w:b/>
                      <w:bCs/>
                      <w:color w:val="auto"/>
                    </w:rPr>
                    <w:t>序号</w:t>
                  </w:r>
                </w:p>
              </w:tc>
              <w:tc>
                <w:tcPr>
                  <w:tcW w:w="615" w:type="dxa"/>
                  <w:noWrap w:val="0"/>
                  <w:vAlign w:val="center"/>
                </w:tcPr>
                <w:p w14:paraId="6B583AB5">
                  <w:pPr>
                    <w:pStyle w:val="22"/>
                    <w:bidi w:val="0"/>
                    <w:rPr>
                      <w:b/>
                      <w:bCs/>
                      <w:color w:val="auto"/>
                    </w:rPr>
                  </w:pPr>
                  <w:r>
                    <w:rPr>
                      <w:b/>
                      <w:bCs/>
                      <w:color w:val="auto"/>
                    </w:rPr>
                    <w:t>内容</w:t>
                  </w:r>
                </w:p>
              </w:tc>
              <w:tc>
                <w:tcPr>
                  <w:tcW w:w="1790" w:type="dxa"/>
                  <w:noWrap w:val="0"/>
                  <w:vAlign w:val="center"/>
                </w:tcPr>
                <w:p w14:paraId="79CD23D4">
                  <w:pPr>
                    <w:pStyle w:val="22"/>
                    <w:bidi w:val="0"/>
                    <w:rPr>
                      <w:b/>
                      <w:bCs/>
                      <w:color w:val="auto"/>
                    </w:rPr>
                  </w:pPr>
                  <w:r>
                    <w:rPr>
                      <w:b/>
                      <w:bCs/>
                      <w:color w:val="auto"/>
                    </w:rPr>
                    <w:t>要求</w:t>
                  </w:r>
                </w:p>
              </w:tc>
              <w:tc>
                <w:tcPr>
                  <w:tcW w:w="3988" w:type="dxa"/>
                  <w:noWrap w:val="0"/>
                  <w:vAlign w:val="center"/>
                </w:tcPr>
                <w:p w14:paraId="3A4A348C">
                  <w:pPr>
                    <w:pStyle w:val="22"/>
                    <w:bidi w:val="0"/>
                    <w:rPr>
                      <w:b/>
                      <w:bCs/>
                      <w:color w:val="auto"/>
                    </w:rPr>
                  </w:pPr>
                  <w:r>
                    <w:rPr>
                      <w:b/>
                      <w:bCs/>
                      <w:color w:val="auto"/>
                    </w:rPr>
                    <w:t>本项目情况</w:t>
                  </w:r>
                </w:p>
              </w:tc>
              <w:tc>
                <w:tcPr>
                  <w:tcW w:w="797" w:type="dxa"/>
                  <w:noWrap w:val="0"/>
                  <w:vAlign w:val="center"/>
                </w:tcPr>
                <w:p w14:paraId="4F5D90F9">
                  <w:pPr>
                    <w:pStyle w:val="22"/>
                    <w:bidi w:val="0"/>
                    <w:rPr>
                      <w:b/>
                      <w:bCs/>
                      <w:color w:val="auto"/>
                    </w:rPr>
                  </w:pPr>
                  <w:r>
                    <w:rPr>
                      <w:b/>
                      <w:bCs/>
                      <w:color w:val="auto"/>
                    </w:rPr>
                    <w:t>相符性</w:t>
                  </w:r>
                </w:p>
              </w:tc>
            </w:tr>
            <w:tr w14:paraId="66A15C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1" w:type="dxa"/>
                  <w:left w:w="28" w:type="dxa"/>
                  <w:bottom w:w="11" w:type="dxa"/>
                  <w:right w:w="28" w:type="dxa"/>
                </w:tblCellMar>
              </w:tblPrEx>
              <w:trPr>
                <w:trHeight w:val="397" w:hRule="atLeast"/>
                <w:jc w:val="center"/>
              </w:trPr>
              <w:tc>
                <w:tcPr>
                  <w:tcW w:w="504" w:type="dxa"/>
                  <w:noWrap w:val="0"/>
                  <w:vAlign w:val="center"/>
                </w:tcPr>
                <w:p w14:paraId="3A070E85">
                  <w:pPr>
                    <w:pStyle w:val="22"/>
                    <w:bidi w:val="0"/>
                    <w:rPr>
                      <w:color w:val="auto"/>
                    </w:rPr>
                  </w:pPr>
                  <w:r>
                    <w:rPr>
                      <w:color w:val="auto"/>
                    </w:rPr>
                    <w:t>1</w:t>
                  </w:r>
                </w:p>
              </w:tc>
              <w:tc>
                <w:tcPr>
                  <w:tcW w:w="615" w:type="dxa"/>
                  <w:noWrap w:val="0"/>
                  <w:vAlign w:val="center"/>
                </w:tcPr>
                <w:p w14:paraId="653C38D3">
                  <w:pPr>
                    <w:pStyle w:val="22"/>
                    <w:bidi w:val="0"/>
                    <w:rPr>
                      <w:color w:val="auto"/>
                    </w:rPr>
                  </w:pPr>
                  <w:r>
                    <w:rPr>
                      <w:color w:val="auto"/>
                    </w:rPr>
                    <w:t>生态保护红线</w:t>
                  </w:r>
                </w:p>
              </w:tc>
              <w:tc>
                <w:tcPr>
                  <w:tcW w:w="1790" w:type="dxa"/>
                  <w:noWrap w:val="0"/>
                  <w:vAlign w:val="center"/>
                </w:tcPr>
                <w:p w14:paraId="433CE59A">
                  <w:pPr>
                    <w:pStyle w:val="22"/>
                    <w:bidi w:val="0"/>
                    <w:rPr>
                      <w:color w:val="auto"/>
                      <w:lang w:val="en"/>
                    </w:rPr>
                  </w:pPr>
                  <w:r>
                    <w:rPr>
                      <w:color w:val="auto"/>
                      <w:lang w:val="en"/>
                    </w:rPr>
                    <w:t>生态保护红线是生态空间范围内具有特殊重要生态功能必须实行强制性严格保护的区域。在生态保护红线范围内，严控各类开发建设活动，依法不予审批新建工业项目和矿产开发项目的环评文件</w:t>
                  </w:r>
                </w:p>
              </w:tc>
              <w:tc>
                <w:tcPr>
                  <w:tcW w:w="3988" w:type="dxa"/>
                  <w:noWrap w:val="0"/>
                  <w:vAlign w:val="center"/>
                </w:tcPr>
                <w:p w14:paraId="7164927A">
                  <w:pPr>
                    <w:pStyle w:val="22"/>
                    <w:bidi w:val="0"/>
                    <w:rPr>
                      <w:rFonts w:hint="default"/>
                      <w:color w:val="auto"/>
                      <w:lang w:val="en"/>
                    </w:rPr>
                  </w:pPr>
                  <w:r>
                    <w:rPr>
                      <w:rFonts w:hint="default"/>
                      <w:color w:val="auto"/>
                      <w:lang w:val="en" w:eastAsia="zh-CN"/>
                    </w:rPr>
                    <w:t>根据《安徽省人民政府关于发布安徽省生态保护红线的通知》（皖政秘〔2018〕120号），对照《长江经济带战略环境评价安徽省淮南市“三线一单”》，本项目位于潘集区经济开发区（北区），项目未占用生态保护红线区域，因此本项目所在区域不位于淮南市生态保护红线区域保护规划内。本项目与淮南市生态保护红线保护区的位置关系见附图</w:t>
                  </w:r>
                  <w:r>
                    <w:rPr>
                      <w:rFonts w:hint="default"/>
                      <w:color w:val="auto"/>
                      <w:lang w:val="en-US" w:eastAsia="zh-CN"/>
                    </w:rPr>
                    <w:t>5</w:t>
                  </w:r>
                  <w:r>
                    <w:rPr>
                      <w:rFonts w:hint="default"/>
                      <w:color w:val="auto"/>
                      <w:lang w:val="en" w:eastAsia="zh-CN"/>
                    </w:rPr>
                    <w:t>。</w:t>
                  </w:r>
                </w:p>
              </w:tc>
              <w:tc>
                <w:tcPr>
                  <w:tcW w:w="797" w:type="dxa"/>
                  <w:noWrap w:val="0"/>
                  <w:vAlign w:val="center"/>
                </w:tcPr>
                <w:p w14:paraId="067278F1">
                  <w:pPr>
                    <w:pStyle w:val="22"/>
                    <w:bidi w:val="0"/>
                    <w:rPr>
                      <w:color w:val="auto"/>
                    </w:rPr>
                  </w:pPr>
                  <w:r>
                    <w:rPr>
                      <w:color w:val="auto"/>
                    </w:rPr>
                    <w:t>相符</w:t>
                  </w:r>
                </w:p>
              </w:tc>
            </w:tr>
            <w:tr w14:paraId="715FCB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1" w:type="dxa"/>
                  <w:left w:w="28" w:type="dxa"/>
                  <w:bottom w:w="11" w:type="dxa"/>
                  <w:right w:w="28" w:type="dxa"/>
                </w:tblCellMar>
              </w:tblPrEx>
              <w:trPr>
                <w:trHeight w:val="397" w:hRule="atLeast"/>
                <w:jc w:val="center"/>
              </w:trPr>
              <w:tc>
                <w:tcPr>
                  <w:tcW w:w="504" w:type="dxa"/>
                  <w:noWrap w:val="0"/>
                  <w:vAlign w:val="center"/>
                </w:tcPr>
                <w:p w14:paraId="2F459749">
                  <w:pPr>
                    <w:pStyle w:val="22"/>
                    <w:bidi w:val="0"/>
                    <w:rPr>
                      <w:color w:val="auto"/>
                    </w:rPr>
                  </w:pPr>
                  <w:r>
                    <w:rPr>
                      <w:color w:val="auto"/>
                    </w:rPr>
                    <w:t>2</w:t>
                  </w:r>
                </w:p>
              </w:tc>
              <w:tc>
                <w:tcPr>
                  <w:tcW w:w="615" w:type="dxa"/>
                  <w:noWrap w:val="0"/>
                  <w:vAlign w:val="center"/>
                </w:tcPr>
                <w:p w14:paraId="61DFF9D2">
                  <w:pPr>
                    <w:pStyle w:val="22"/>
                    <w:bidi w:val="0"/>
                    <w:rPr>
                      <w:color w:val="auto"/>
                    </w:rPr>
                  </w:pPr>
                  <w:r>
                    <w:rPr>
                      <w:color w:val="auto"/>
                    </w:rPr>
                    <w:t>环境质量底线</w:t>
                  </w:r>
                </w:p>
              </w:tc>
              <w:tc>
                <w:tcPr>
                  <w:tcW w:w="1790" w:type="dxa"/>
                  <w:noWrap w:val="0"/>
                  <w:vAlign w:val="center"/>
                </w:tcPr>
                <w:p w14:paraId="2F97E012">
                  <w:pPr>
                    <w:pStyle w:val="22"/>
                    <w:bidi w:val="0"/>
                    <w:rPr>
                      <w:color w:val="auto"/>
                      <w:lang w:val="en"/>
                    </w:rPr>
                  </w:pPr>
                  <w:r>
                    <w:rPr>
                      <w:color w:val="auto"/>
                      <w:lang w:val="en"/>
                    </w:rPr>
                    <w:t>环境质量现状超标地区以及未达到环境质量目标考核要求的地区上新项目将受到限制；对环境质量现状超标的地区，项目拟采取的措施不能满足区域环境质量改善目标管理要求的，依法不予审批其环评文件</w:t>
                  </w:r>
                </w:p>
              </w:tc>
              <w:tc>
                <w:tcPr>
                  <w:tcW w:w="3988" w:type="dxa"/>
                  <w:noWrap w:val="0"/>
                  <w:vAlign w:val="center"/>
                </w:tcPr>
                <w:p w14:paraId="4DEF34FD">
                  <w:pPr>
                    <w:pStyle w:val="22"/>
                    <w:bidi w:val="0"/>
                    <w:jc w:val="left"/>
                    <w:rPr>
                      <w:rFonts w:hint="default"/>
                      <w:color w:val="auto"/>
                      <w:lang w:val="en" w:eastAsia="zh-CN"/>
                    </w:rPr>
                  </w:pPr>
                  <w:r>
                    <w:rPr>
                      <w:rFonts w:hint="default"/>
                      <w:color w:val="auto"/>
                      <w:lang w:val="en" w:eastAsia="zh-CN"/>
                    </w:rPr>
                    <w:t>根据淮南市人民政府网站公布</w:t>
                  </w:r>
                  <w:r>
                    <w:rPr>
                      <w:rFonts w:hint="default"/>
                      <w:color w:val="auto"/>
                      <w:highlight w:val="none"/>
                      <w:lang w:val="en" w:eastAsia="zh-CN"/>
                    </w:rPr>
                    <w:t>的《202</w:t>
                  </w:r>
                  <w:r>
                    <w:rPr>
                      <w:rFonts w:hint="eastAsia"/>
                      <w:color w:val="auto"/>
                      <w:highlight w:val="none"/>
                      <w:lang w:val="en-US" w:eastAsia="zh-CN"/>
                    </w:rPr>
                    <w:t>4</w:t>
                  </w:r>
                  <w:r>
                    <w:rPr>
                      <w:rFonts w:hint="default"/>
                      <w:color w:val="auto"/>
                      <w:highlight w:val="none"/>
                      <w:lang w:val="en" w:eastAsia="zh-CN"/>
                    </w:rPr>
                    <w:t>年淮南市环境质量状况公报》，项目所在地的环境空气质量不达标，细颗粒物（</w:t>
                  </w:r>
                  <w:r>
                    <w:rPr>
                      <w:rFonts w:hint="eastAsia"/>
                      <w:color w:val="auto"/>
                      <w:highlight w:val="none"/>
                      <w:lang w:val="en-US" w:eastAsia="zh-CN"/>
                    </w:rPr>
                    <w:t>PM</w:t>
                  </w:r>
                  <w:r>
                    <w:rPr>
                      <w:rFonts w:hint="eastAsia"/>
                      <w:color w:val="auto"/>
                      <w:highlight w:val="none"/>
                      <w:vertAlign w:val="subscript"/>
                      <w:lang w:val="en-US" w:eastAsia="zh-CN"/>
                    </w:rPr>
                    <w:t>2.5</w:t>
                  </w:r>
                  <w:r>
                    <w:rPr>
                      <w:rFonts w:hint="default"/>
                      <w:color w:val="auto"/>
                      <w:highlight w:val="none"/>
                      <w:lang w:val="en" w:eastAsia="zh-CN"/>
                    </w:rPr>
                    <w:t>）年均浓度超过《环境空气质量标准》（GB3095-2012）二级标准。</w:t>
                  </w:r>
                  <w:r>
                    <w:rPr>
                      <w:rFonts w:hint="eastAsia"/>
                      <w:color w:val="auto"/>
                      <w:lang w:val="en-US" w:eastAsia="zh-CN"/>
                    </w:rPr>
                    <w:t>淮南市政府采取了一系列的措施，</w:t>
                  </w:r>
                  <w:r>
                    <w:rPr>
                      <w:rFonts w:hint="default"/>
                      <w:color w:val="auto"/>
                      <w:lang w:val="en" w:eastAsia="zh-CN"/>
                    </w:rPr>
                    <w:t>1.对标先进制定规范：对标长三角地区，制定淮南市建设工程扬尘污染防治“十达标”措施，明确施工扬尘管控的具体标准和要求，从工地围挡、物料覆盖、洒水降尘等多方面规范施工行为，有效减少扬尘污染。2.建立协同工作机制：建立空气质量联席会商、重点区域监督帮扶、快速联动反应等一系列机制，通过定期会商分析空气质量状况，针对重点区域开展精准监督帮扶，对突发污染问题快速响应处置，全年发布建议2411条，帮扶县区100余次，推动解决问题1393个。3.制定全过程管理办法：在全省率先制定《淮南市农村黑臭水体治理全过程监督管理办法》，规范“排查识别、成因分析、系统治理、项目管理、长效管控、责任追究”的全过程，为农村黑臭水体治理提供系统性指导，确保治理工作有序推进。</w:t>
                  </w:r>
                </w:p>
                <w:p w14:paraId="0D738036">
                  <w:pPr>
                    <w:pStyle w:val="22"/>
                    <w:bidi w:val="0"/>
                    <w:jc w:val="left"/>
                    <w:rPr>
                      <w:rFonts w:hint="default"/>
                      <w:color w:val="auto"/>
                      <w:lang w:val="en"/>
                    </w:rPr>
                  </w:pPr>
                  <w:r>
                    <w:rPr>
                      <w:rFonts w:hint="default"/>
                      <w:color w:val="auto"/>
                      <w:lang w:val="en" w:eastAsia="zh-CN"/>
                    </w:rPr>
                    <w:t>4.出台多领域协同政策：联合多部门出台金融、税务、交通等领域支持减污降碳协同创新政策。如《金融支持淮南市减污降碳协同创新试点工作的指导意见》，创新推出“绿色贷”和“转型贷”；出台“绿色税务标签”，为符合条件企业给予税收减免优惠3.69亿元；出台《淮南市交通运输领域减污降碳协同创新实施方案》，优化交通运输结构，使铁、水运输量占比分别高出全省平均水平6.74和5.76个百分点。</w:t>
                  </w:r>
                  <w:r>
                    <w:rPr>
                      <w:rFonts w:hint="eastAsia"/>
                      <w:color w:val="auto"/>
                      <w:lang w:val="en" w:eastAsia="zh-CN"/>
                    </w:rPr>
                    <w:t>2024年，全市地表水24个监测断面中优良水质比例为91.7%，比上年下降了4.1个百分点，Ⅳ类水质比例8.3%，总体水质状况优。8个国控断面中优良水质比例为87.5%，Ⅳ类水质比例12.5%，水质总体状况良好；11个省控断面中优良水质比例为90.9%，水质总体状况优。</w:t>
                  </w:r>
                  <w:r>
                    <w:rPr>
                      <w:rFonts w:hint="default"/>
                      <w:color w:val="auto"/>
                      <w:lang w:val="en" w:eastAsia="zh-CN"/>
                    </w:rPr>
                    <w:t>区域声环境质量达到《声环境质量标准》（GB3096-2008）3类区标准。本项目运营过程中会产生一定的污染物，通过采取相应的废气、噪声、固废治理措施，污染物排放量较小，对周边环境影响较小；噪声预测结果表明，在采取相应的隔声降噪措施处理后，生产过程中厂内各种设备运转产生的噪声均能满足《工业企业厂界环境噪声排放标准》（GB12348-2008）中3类标准的要求。项目实施后通过采取相应的污染防治措施，废气、噪声可以做到稳定达标排放，不会降低评价区域大气、地表水及声环境质量原有功能级别。</w:t>
                  </w:r>
                </w:p>
              </w:tc>
              <w:tc>
                <w:tcPr>
                  <w:tcW w:w="797" w:type="dxa"/>
                  <w:noWrap w:val="0"/>
                  <w:vAlign w:val="center"/>
                </w:tcPr>
                <w:p w14:paraId="44CDA1FF">
                  <w:pPr>
                    <w:pStyle w:val="22"/>
                    <w:bidi w:val="0"/>
                    <w:rPr>
                      <w:color w:val="auto"/>
                    </w:rPr>
                  </w:pPr>
                  <w:r>
                    <w:rPr>
                      <w:color w:val="auto"/>
                    </w:rPr>
                    <w:t>相符</w:t>
                  </w:r>
                </w:p>
              </w:tc>
            </w:tr>
            <w:tr w14:paraId="3E91C7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1" w:type="dxa"/>
                  <w:left w:w="28" w:type="dxa"/>
                  <w:bottom w:w="11" w:type="dxa"/>
                  <w:right w:w="28" w:type="dxa"/>
                </w:tblCellMar>
              </w:tblPrEx>
              <w:trPr>
                <w:trHeight w:val="397" w:hRule="atLeast"/>
                <w:jc w:val="center"/>
              </w:trPr>
              <w:tc>
                <w:tcPr>
                  <w:tcW w:w="504" w:type="dxa"/>
                  <w:noWrap w:val="0"/>
                  <w:vAlign w:val="center"/>
                </w:tcPr>
                <w:p w14:paraId="65FA9A09">
                  <w:pPr>
                    <w:pStyle w:val="22"/>
                    <w:bidi w:val="0"/>
                    <w:rPr>
                      <w:color w:val="auto"/>
                    </w:rPr>
                  </w:pPr>
                  <w:r>
                    <w:rPr>
                      <w:color w:val="auto"/>
                    </w:rPr>
                    <w:t>3</w:t>
                  </w:r>
                </w:p>
              </w:tc>
              <w:tc>
                <w:tcPr>
                  <w:tcW w:w="615" w:type="dxa"/>
                  <w:noWrap w:val="0"/>
                  <w:vAlign w:val="center"/>
                </w:tcPr>
                <w:p w14:paraId="1086142D">
                  <w:pPr>
                    <w:pStyle w:val="22"/>
                    <w:bidi w:val="0"/>
                    <w:rPr>
                      <w:color w:val="auto"/>
                    </w:rPr>
                  </w:pPr>
                  <w:r>
                    <w:rPr>
                      <w:color w:val="auto"/>
                    </w:rPr>
                    <w:t>资源利用上线</w:t>
                  </w:r>
                </w:p>
              </w:tc>
              <w:tc>
                <w:tcPr>
                  <w:tcW w:w="1790" w:type="dxa"/>
                  <w:noWrap w:val="0"/>
                  <w:vAlign w:val="center"/>
                </w:tcPr>
                <w:p w14:paraId="311E24D1">
                  <w:pPr>
                    <w:pStyle w:val="22"/>
                    <w:bidi w:val="0"/>
                    <w:rPr>
                      <w:rFonts w:hint="eastAsia"/>
                      <w:color w:val="auto"/>
                      <w:lang w:eastAsia="zh-CN"/>
                    </w:rPr>
                  </w:pPr>
                  <w:r>
                    <w:rPr>
                      <w:color w:val="auto"/>
                      <w:lang w:val="en"/>
                    </w:rPr>
                    <w:t>依据有关资源利用上线要求，即各地区能源、水、土地等资源消耗是不得突破的</w:t>
                  </w:r>
                  <w:r>
                    <w:rPr>
                      <w:rFonts w:hint="eastAsia"/>
                      <w:color w:val="auto"/>
                      <w:lang w:val="en" w:eastAsia="zh-CN"/>
                    </w:rPr>
                    <w:t>“</w:t>
                  </w:r>
                  <w:r>
                    <w:rPr>
                      <w:color w:val="auto"/>
                      <w:lang w:val="en"/>
                    </w:rPr>
                    <w:t>天花板</w:t>
                  </w:r>
                  <w:r>
                    <w:rPr>
                      <w:rFonts w:hint="eastAsia"/>
                      <w:color w:val="auto"/>
                      <w:lang w:eastAsia="zh-CN"/>
                    </w:rPr>
                    <w:t>”</w:t>
                  </w:r>
                </w:p>
              </w:tc>
              <w:tc>
                <w:tcPr>
                  <w:tcW w:w="3988" w:type="dxa"/>
                  <w:noWrap w:val="0"/>
                  <w:vAlign w:val="center"/>
                </w:tcPr>
                <w:p w14:paraId="7BD2D600">
                  <w:pPr>
                    <w:pStyle w:val="22"/>
                    <w:bidi w:val="0"/>
                    <w:rPr>
                      <w:color w:val="auto"/>
                    </w:rPr>
                  </w:pPr>
                  <w:r>
                    <w:rPr>
                      <w:color w:val="auto"/>
                      <w:lang w:val="en-US" w:eastAsia="zh-CN"/>
                    </w:rPr>
                    <w:t>本项目</w:t>
                  </w:r>
                  <w:r>
                    <w:rPr>
                      <w:rFonts w:hint="eastAsia"/>
                      <w:color w:val="auto"/>
                      <w:lang w:val="en-US" w:eastAsia="zh-CN"/>
                    </w:rPr>
                    <w:t>能源主要使用电能，本次项目租赁现有厂房进行生产加工，不新增用地，不新增占用农用地</w:t>
                  </w:r>
                  <w:r>
                    <w:rPr>
                      <w:rFonts w:hint="eastAsia"/>
                      <w:color w:val="auto"/>
                      <w:lang w:val="en" w:eastAsia="zh-CN"/>
                    </w:rPr>
                    <w:t>。生产过程</w:t>
                  </w:r>
                  <w:r>
                    <w:rPr>
                      <w:rFonts w:hint="eastAsia"/>
                      <w:color w:val="auto"/>
                      <w:lang w:val="en-US" w:eastAsia="zh-CN"/>
                    </w:rPr>
                    <w:t>使用水直接进行冷却，依托园区现有供水管网，</w:t>
                  </w:r>
                  <w:r>
                    <w:rPr>
                      <w:color w:val="auto"/>
                      <w:lang w:val="en" w:eastAsia="zh-CN"/>
                    </w:rPr>
                    <w:t>项目年用电约</w:t>
                  </w:r>
                  <w:r>
                    <w:rPr>
                      <w:rFonts w:hint="eastAsia"/>
                      <w:color w:val="auto"/>
                      <w:highlight w:val="none"/>
                      <w:lang w:val="en-US" w:eastAsia="zh-CN"/>
                    </w:rPr>
                    <w:t>200</w:t>
                  </w:r>
                  <w:r>
                    <w:rPr>
                      <w:color w:val="auto"/>
                      <w:highlight w:val="none"/>
                      <w:lang w:val="en" w:eastAsia="zh-CN"/>
                    </w:rPr>
                    <w:t>万kwh，</w:t>
                  </w:r>
                  <w:r>
                    <w:rPr>
                      <w:color w:val="auto"/>
                      <w:lang w:val="en" w:eastAsia="zh-CN"/>
                    </w:rPr>
                    <w:t>园区电网能够满足本项目需求。因此，本项目用水、用电等均在园区供应能力范围内，不突破区域资源利用上线。</w:t>
                  </w:r>
                </w:p>
              </w:tc>
              <w:tc>
                <w:tcPr>
                  <w:tcW w:w="797" w:type="dxa"/>
                  <w:noWrap w:val="0"/>
                  <w:vAlign w:val="center"/>
                </w:tcPr>
                <w:p w14:paraId="46825358">
                  <w:pPr>
                    <w:pStyle w:val="22"/>
                    <w:bidi w:val="0"/>
                    <w:rPr>
                      <w:color w:val="auto"/>
                    </w:rPr>
                  </w:pPr>
                  <w:r>
                    <w:rPr>
                      <w:color w:val="auto"/>
                    </w:rPr>
                    <w:t>相符</w:t>
                  </w:r>
                </w:p>
              </w:tc>
            </w:tr>
            <w:tr w14:paraId="14ED584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1" w:type="dxa"/>
                  <w:left w:w="28" w:type="dxa"/>
                  <w:bottom w:w="11" w:type="dxa"/>
                  <w:right w:w="28" w:type="dxa"/>
                </w:tblCellMar>
              </w:tblPrEx>
              <w:trPr>
                <w:trHeight w:val="397" w:hRule="atLeast"/>
                <w:jc w:val="center"/>
              </w:trPr>
              <w:tc>
                <w:tcPr>
                  <w:tcW w:w="504" w:type="dxa"/>
                  <w:noWrap w:val="0"/>
                  <w:vAlign w:val="center"/>
                </w:tcPr>
                <w:p w14:paraId="785B4B81">
                  <w:pPr>
                    <w:pStyle w:val="22"/>
                    <w:bidi w:val="0"/>
                    <w:rPr>
                      <w:color w:val="auto"/>
                    </w:rPr>
                  </w:pPr>
                  <w:r>
                    <w:rPr>
                      <w:color w:val="auto"/>
                    </w:rPr>
                    <w:t>4</w:t>
                  </w:r>
                </w:p>
              </w:tc>
              <w:tc>
                <w:tcPr>
                  <w:tcW w:w="615" w:type="dxa"/>
                  <w:noWrap w:val="0"/>
                  <w:vAlign w:val="center"/>
                </w:tcPr>
                <w:p w14:paraId="7F230EFD">
                  <w:pPr>
                    <w:pStyle w:val="22"/>
                    <w:bidi w:val="0"/>
                    <w:rPr>
                      <w:color w:val="auto"/>
                    </w:rPr>
                  </w:pPr>
                  <w:r>
                    <w:rPr>
                      <w:rFonts w:hint="eastAsia"/>
                      <w:color w:val="auto"/>
                    </w:rPr>
                    <w:t>生态</w:t>
                  </w:r>
                  <w:r>
                    <w:rPr>
                      <w:color w:val="auto"/>
                    </w:rPr>
                    <w:t>环境准入负面清单</w:t>
                  </w:r>
                </w:p>
              </w:tc>
              <w:tc>
                <w:tcPr>
                  <w:tcW w:w="1790" w:type="dxa"/>
                  <w:noWrap w:val="0"/>
                  <w:vAlign w:val="center"/>
                </w:tcPr>
                <w:p w14:paraId="43C125A9">
                  <w:pPr>
                    <w:pStyle w:val="22"/>
                    <w:bidi w:val="0"/>
                    <w:rPr>
                      <w:color w:val="auto"/>
                      <w:lang w:val="en"/>
                    </w:rPr>
                  </w:pPr>
                  <w:r>
                    <w:rPr>
                      <w:color w:val="auto"/>
                      <w:lang w:val="en"/>
                    </w:rPr>
                    <w:t>环境准入负面清单是基于生态保护红线、环境质量底线和资源利用上线，以清单方式列出的禁止、限制等差别化环境准入条件和要求。要在规划环评清单式管理试点的基础上，从布局选址、资源利用效率、资源配置方式等方面入手，制定环境准入负面清单，充分发挥负面清单对产业发展和项目准入的指导和约束作用</w:t>
                  </w:r>
                </w:p>
              </w:tc>
              <w:tc>
                <w:tcPr>
                  <w:tcW w:w="3988" w:type="dxa"/>
                  <w:noWrap w:val="0"/>
                  <w:vAlign w:val="center"/>
                </w:tcPr>
                <w:p w14:paraId="046BDE4E">
                  <w:pPr>
                    <w:pStyle w:val="22"/>
                    <w:bidi w:val="0"/>
                    <w:rPr>
                      <w:color w:val="auto"/>
                      <w:lang w:val="en"/>
                    </w:rPr>
                  </w:pPr>
                  <w:r>
                    <w:rPr>
                      <w:rFonts w:hint="eastAsia"/>
                      <w:color w:val="auto"/>
                      <w:lang w:val="en"/>
                    </w:rPr>
                    <w:t>本项目涉及行业类别有C29</w:t>
                  </w:r>
                  <w:r>
                    <w:rPr>
                      <w:rFonts w:hint="eastAsia"/>
                      <w:color w:val="auto"/>
                      <w:lang w:val="en-US" w:eastAsia="zh-CN"/>
                    </w:rPr>
                    <w:t>22塑料板、管、型材制造</w:t>
                  </w:r>
                  <w:r>
                    <w:rPr>
                      <w:rFonts w:hint="eastAsia"/>
                      <w:color w:val="auto"/>
                      <w:lang w:val="en"/>
                    </w:rPr>
                    <w:t>，对照《产业结构调整指导目录（2024年本）》，本项目不属于鼓励类、限制类和淘汰类项目，本项目位于</w:t>
                  </w:r>
                  <w:r>
                    <w:rPr>
                      <w:rFonts w:hint="eastAsia"/>
                      <w:color w:val="auto"/>
                      <w:lang w:val="en-US" w:eastAsia="zh-CN"/>
                    </w:rPr>
                    <w:t>淮南潘集经济开发区（北区）</w:t>
                  </w:r>
                  <w:r>
                    <w:rPr>
                      <w:rFonts w:hint="eastAsia"/>
                      <w:color w:val="auto"/>
                      <w:lang w:val="en"/>
                    </w:rPr>
                    <w:t>，根据安徽淮南潘集经济开发区(安徽淮南现代煤</w:t>
                  </w:r>
                  <w:r>
                    <w:rPr>
                      <w:rFonts w:hint="eastAsia"/>
                      <w:color w:val="auto"/>
                      <w:lang w:val="en-US" w:eastAsia="zh-CN"/>
                    </w:rPr>
                    <w:t>化</w:t>
                  </w:r>
                  <w:r>
                    <w:rPr>
                      <w:rFonts w:hint="eastAsia"/>
                      <w:color w:val="auto"/>
                      <w:lang w:val="en"/>
                    </w:rPr>
                    <w:t>工产业园)总体发展规划，本项目属于规划主导产业。</w:t>
                  </w:r>
                </w:p>
              </w:tc>
              <w:tc>
                <w:tcPr>
                  <w:tcW w:w="797" w:type="dxa"/>
                  <w:noWrap w:val="0"/>
                  <w:vAlign w:val="center"/>
                </w:tcPr>
                <w:p w14:paraId="73B7AFE5">
                  <w:pPr>
                    <w:pStyle w:val="22"/>
                    <w:bidi w:val="0"/>
                    <w:rPr>
                      <w:color w:val="auto"/>
                    </w:rPr>
                  </w:pPr>
                  <w:r>
                    <w:rPr>
                      <w:color w:val="auto"/>
                    </w:rPr>
                    <w:t>相符</w:t>
                  </w:r>
                </w:p>
              </w:tc>
            </w:tr>
          </w:tbl>
          <w:p w14:paraId="0B1076D9">
            <w:pPr>
              <w:bidi w:val="0"/>
              <w:rPr>
                <w:color w:val="auto"/>
              </w:rPr>
            </w:pPr>
            <w:r>
              <w:rPr>
                <w:color w:val="auto"/>
              </w:rPr>
              <w:t>综上所述，项目符合《关于以改善环境质量为核心加强环境影响评价管理的通知》（环环评</w:t>
            </w:r>
            <w:r>
              <w:rPr>
                <w:rFonts w:hint="eastAsia"/>
                <w:color w:val="auto"/>
                <w:lang w:eastAsia="zh-CN"/>
              </w:rPr>
              <w:t>〔2016〕150号</w:t>
            </w:r>
            <w:r>
              <w:rPr>
                <w:color w:val="auto"/>
              </w:rPr>
              <w:t>）中</w:t>
            </w:r>
            <w:r>
              <w:rPr>
                <w:rFonts w:hint="eastAsia"/>
                <w:color w:val="auto"/>
                <w:lang w:eastAsia="zh-CN"/>
              </w:rPr>
              <w:t>“</w:t>
            </w:r>
            <w:r>
              <w:rPr>
                <w:color w:val="auto"/>
              </w:rPr>
              <w:t>三线一单</w:t>
            </w:r>
            <w:r>
              <w:rPr>
                <w:rFonts w:hint="eastAsia"/>
                <w:color w:val="auto"/>
                <w:lang w:eastAsia="zh-CN"/>
              </w:rPr>
              <w:t>”</w:t>
            </w:r>
            <w:r>
              <w:rPr>
                <w:color w:val="auto"/>
              </w:rPr>
              <w:t>相关要求。</w:t>
            </w:r>
          </w:p>
          <w:p w14:paraId="478CDB98">
            <w:pPr>
              <w:bidi w:val="0"/>
              <w:rPr>
                <w:rFonts w:hint="default"/>
                <w:b/>
                <w:bCs/>
                <w:color w:val="auto"/>
              </w:rPr>
            </w:pPr>
            <w:r>
              <w:rPr>
                <w:rFonts w:hint="default"/>
                <w:b/>
                <w:bCs/>
                <w:color w:val="auto"/>
              </w:rPr>
              <w:t>（2）</w:t>
            </w:r>
            <w:r>
              <w:rPr>
                <w:rFonts w:hint="eastAsia"/>
                <w:b/>
                <w:bCs/>
                <w:color w:val="auto"/>
                <w:lang w:val="en-US" w:eastAsia="zh-CN"/>
              </w:rPr>
              <w:t>生态环境分区管控</w:t>
            </w:r>
            <w:r>
              <w:rPr>
                <w:rFonts w:hint="default"/>
                <w:b/>
                <w:bCs/>
                <w:color w:val="auto"/>
              </w:rPr>
              <w:t>相符性</w:t>
            </w:r>
          </w:p>
          <w:p w14:paraId="42C7907D">
            <w:pPr>
              <w:bidi w:val="0"/>
              <w:rPr>
                <w:rFonts w:hint="eastAsia"/>
                <w:color w:val="auto"/>
              </w:rPr>
            </w:pPr>
            <w:r>
              <w:rPr>
                <w:rFonts w:hint="eastAsia"/>
                <w:color w:val="auto"/>
              </w:rPr>
              <w:t>根据安徽省</w:t>
            </w:r>
            <w:r>
              <w:rPr>
                <w:rFonts w:hint="eastAsia"/>
                <w:color w:val="auto"/>
                <w:lang w:eastAsia="zh-CN"/>
              </w:rPr>
              <w:t>“</w:t>
            </w:r>
            <w:r>
              <w:rPr>
                <w:rFonts w:hint="eastAsia"/>
                <w:color w:val="auto"/>
              </w:rPr>
              <w:t>三线一单</w:t>
            </w:r>
            <w:r>
              <w:rPr>
                <w:rFonts w:hint="eastAsia"/>
                <w:color w:val="auto"/>
                <w:lang w:eastAsia="zh-CN"/>
              </w:rPr>
              <w:t>”</w:t>
            </w:r>
            <w:r>
              <w:rPr>
                <w:rFonts w:hint="eastAsia"/>
                <w:color w:val="auto"/>
              </w:rPr>
              <w:t>公众服务平台查询，本项目所在区域环境管控单元编码为：ZH34040620020，与“三线一单”成果数据分析，与1个环境管控单元存在交叠，其中优先保护类0个，重点管控类1个，一般管控类0个。根据淮南市</w:t>
            </w:r>
            <w:r>
              <w:rPr>
                <w:rFonts w:hint="eastAsia"/>
                <w:color w:val="auto"/>
                <w:lang w:eastAsia="zh-CN"/>
              </w:rPr>
              <w:t>“</w:t>
            </w:r>
            <w:r>
              <w:rPr>
                <w:rFonts w:hint="eastAsia"/>
                <w:color w:val="auto"/>
              </w:rPr>
              <w:t>三线一单</w:t>
            </w:r>
            <w:r>
              <w:rPr>
                <w:rFonts w:hint="eastAsia"/>
                <w:color w:val="auto"/>
                <w:lang w:eastAsia="zh-CN"/>
              </w:rPr>
              <w:t>”</w:t>
            </w:r>
            <w:r>
              <w:rPr>
                <w:rFonts w:hint="eastAsia"/>
                <w:color w:val="auto"/>
              </w:rPr>
              <w:t>图集</w:t>
            </w:r>
            <w:r>
              <w:rPr>
                <w:rFonts w:hint="eastAsia"/>
                <w:color w:val="auto"/>
                <w:lang w:val="en-US" w:eastAsia="zh-CN"/>
              </w:rPr>
              <w:t>，对照</w:t>
            </w:r>
            <w:r>
              <w:rPr>
                <w:rFonts w:hint="eastAsia"/>
                <w:color w:val="auto"/>
              </w:rPr>
              <w:t>安徽“三线一单”管控要求查询报告</w:t>
            </w:r>
            <w:r>
              <w:rPr>
                <w:rFonts w:hint="eastAsia"/>
                <w:color w:val="auto"/>
                <w:lang w:val="en-US" w:eastAsia="zh-CN"/>
              </w:rPr>
              <w:t>内容要求</w:t>
            </w:r>
            <w:r>
              <w:rPr>
                <w:rFonts w:hint="eastAsia"/>
                <w:color w:val="auto"/>
              </w:rPr>
              <w:t>，本次环评筛选了与本项目有关的管控</w:t>
            </w:r>
            <w:r>
              <w:rPr>
                <w:rFonts w:hint="eastAsia"/>
                <w:color w:val="auto"/>
                <w:lang w:val="en-US" w:eastAsia="zh-CN"/>
              </w:rPr>
              <w:t>要求</w:t>
            </w:r>
            <w:r>
              <w:rPr>
                <w:rFonts w:hint="eastAsia"/>
                <w:color w:val="auto"/>
              </w:rPr>
              <w:t>单元生态环境准入</w:t>
            </w:r>
            <w:r>
              <w:rPr>
                <w:color w:val="auto"/>
              </w:rPr>
              <w:t>清单进行分析，详见</w:t>
            </w:r>
            <w:r>
              <w:rPr>
                <w:rFonts w:hint="eastAsia"/>
                <w:color w:val="auto"/>
              </w:rPr>
              <w:t>下表。</w:t>
            </w:r>
          </w:p>
          <w:p w14:paraId="3C438A61">
            <w:pPr>
              <w:pStyle w:val="21"/>
              <w:keepNext w:val="0"/>
              <w:keepLines w:val="0"/>
              <w:pageBreakBefore w:val="0"/>
              <w:widowControl/>
              <w:kinsoku/>
              <w:wordWrap/>
              <w:overflowPunct/>
              <w:topLinePunct w:val="0"/>
              <w:autoSpaceDE/>
              <w:autoSpaceDN/>
              <w:bidi w:val="0"/>
              <w:adjustRightInd/>
              <w:snapToGrid w:val="0"/>
              <w:spacing w:before="0" w:after="0" w:line="240" w:lineRule="auto"/>
              <w:ind w:right="0" w:firstLine="0"/>
              <w:jc w:val="center"/>
              <w:textAlignment w:val="auto"/>
              <w:rPr>
                <w:rFonts w:hint="eastAsia" w:cs="宋体"/>
                <w:color w:val="0000FF"/>
                <w:kern w:val="2"/>
                <w:szCs w:val="21"/>
                <w:lang w:val="en-US" w:eastAsia="zh-CN"/>
              </w:rPr>
            </w:pPr>
            <w:r>
              <w:drawing>
                <wp:inline distT="0" distB="0" distL="114300" distR="114300">
                  <wp:extent cx="4980940" cy="3408680"/>
                  <wp:effectExtent l="0" t="0" r="10160" b="1270"/>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10"/>
                          <a:stretch>
                            <a:fillRect/>
                          </a:stretch>
                        </pic:blipFill>
                        <pic:spPr>
                          <a:xfrm>
                            <a:off x="0" y="0"/>
                            <a:ext cx="4980940" cy="3408680"/>
                          </a:xfrm>
                          <a:prstGeom prst="rect">
                            <a:avLst/>
                          </a:prstGeom>
                          <a:noFill/>
                          <a:ln>
                            <a:noFill/>
                          </a:ln>
                        </pic:spPr>
                      </pic:pic>
                    </a:graphicData>
                  </a:graphic>
                </wp:inline>
              </w:drawing>
            </w:r>
          </w:p>
          <w:p w14:paraId="5483561A">
            <w:pPr>
              <w:pStyle w:val="21"/>
              <w:bidi w:val="0"/>
              <w:rPr>
                <w:rFonts w:hint="default"/>
                <w:color w:val="auto"/>
                <w:lang w:val="en-US" w:eastAsia="zh-CN"/>
              </w:rPr>
            </w:pPr>
            <w:r>
              <w:rPr>
                <w:rFonts w:hint="eastAsia"/>
                <w:color w:val="auto"/>
                <w:lang w:val="en-US" w:eastAsia="zh-CN"/>
              </w:rPr>
              <w:t>图1-1  本项目在生态环境分区管控单元的点位图</w:t>
            </w:r>
          </w:p>
          <w:p w14:paraId="7A6CE9FE">
            <w:pPr>
              <w:pStyle w:val="21"/>
              <w:bidi w:val="0"/>
              <w:rPr>
                <w:color w:val="auto"/>
              </w:rPr>
            </w:pPr>
            <w:r>
              <w:rPr>
                <w:rFonts w:hint="eastAsia"/>
                <w:color w:val="auto"/>
                <w:lang w:val="en-US" w:eastAsia="zh-CN"/>
              </w:rPr>
              <w:t>表1-8  本项目与生态管控单元的符合性分析</w:t>
            </w:r>
          </w:p>
          <w:tbl>
            <w:tblPr>
              <w:tblStyle w:val="12"/>
              <w:tblW w:w="49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17"/>
              <w:gridCol w:w="841"/>
              <w:gridCol w:w="3097"/>
              <w:gridCol w:w="2175"/>
              <w:gridCol w:w="698"/>
            </w:tblGrid>
            <w:tr w14:paraId="38EE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noWrap w:val="0"/>
                  <w:vAlign w:val="center"/>
                </w:tcPr>
                <w:p w14:paraId="5AEF0E5B">
                  <w:pPr>
                    <w:pStyle w:val="22"/>
                    <w:bidi w:val="0"/>
                    <w:rPr>
                      <w:b/>
                      <w:bCs/>
                      <w:color w:val="auto"/>
                    </w:rPr>
                  </w:pPr>
                  <w:r>
                    <w:rPr>
                      <w:rFonts w:hint="eastAsia"/>
                      <w:b/>
                      <w:bCs/>
                      <w:color w:val="auto"/>
                      <w:lang w:val="en-US" w:eastAsia="zh-CN"/>
                    </w:rPr>
                    <w:t>区域管控要求</w:t>
                  </w:r>
                </w:p>
              </w:tc>
              <w:tc>
                <w:tcPr>
                  <w:tcW w:w="544" w:type="pct"/>
                  <w:noWrap w:val="0"/>
                  <w:vAlign w:val="center"/>
                </w:tcPr>
                <w:p w14:paraId="7A312806">
                  <w:pPr>
                    <w:pStyle w:val="22"/>
                    <w:bidi w:val="0"/>
                    <w:rPr>
                      <w:rFonts w:hint="eastAsia"/>
                      <w:b/>
                      <w:bCs/>
                      <w:color w:val="auto"/>
                      <w:lang w:val="en-US" w:eastAsia="zh-CN"/>
                    </w:rPr>
                  </w:pPr>
                  <w:r>
                    <w:rPr>
                      <w:rFonts w:hint="eastAsia"/>
                      <w:b/>
                      <w:bCs/>
                      <w:color w:val="auto"/>
                      <w:lang w:val="en-US" w:eastAsia="zh-CN"/>
                    </w:rPr>
                    <w:t>管控</w:t>
                  </w:r>
                </w:p>
                <w:p w14:paraId="582AF879">
                  <w:pPr>
                    <w:pStyle w:val="22"/>
                    <w:bidi w:val="0"/>
                    <w:rPr>
                      <w:b/>
                      <w:bCs/>
                      <w:color w:val="auto"/>
                    </w:rPr>
                  </w:pPr>
                  <w:r>
                    <w:rPr>
                      <w:rFonts w:hint="eastAsia"/>
                      <w:b/>
                      <w:bCs/>
                      <w:color w:val="auto"/>
                      <w:lang w:val="en-US" w:eastAsia="zh-CN"/>
                    </w:rPr>
                    <w:t>类别</w:t>
                  </w:r>
                </w:p>
              </w:tc>
              <w:tc>
                <w:tcPr>
                  <w:tcW w:w="2003" w:type="pct"/>
                  <w:noWrap w:val="0"/>
                  <w:vAlign w:val="center"/>
                </w:tcPr>
                <w:p w14:paraId="3858B5C1">
                  <w:pPr>
                    <w:pStyle w:val="22"/>
                    <w:bidi w:val="0"/>
                    <w:rPr>
                      <w:b/>
                      <w:bCs/>
                      <w:color w:val="auto"/>
                    </w:rPr>
                  </w:pPr>
                  <w:r>
                    <w:rPr>
                      <w:rFonts w:hint="eastAsia"/>
                      <w:b/>
                      <w:bCs/>
                      <w:color w:val="auto"/>
                      <w:lang w:val="en-US" w:eastAsia="zh-CN"/>
                    </w:rPr>
                    <w:t>管控要求</w:t>
                  </w:r>
                </w:p>
              </w:tc>
              <w:tc>
                <w:tcPr>
                  <w:tcW w:w="1407" w:type="pct"/>
                  <w:noWrap w:val="0"/>
                  <w:vAlign w:val="center"/>
                </w:tcPr>
                <w:p w14:paraId="4816D18E">
                  <w:pPr>
                    <w:pStyle w:val="22"/>
                    <w:bidi w:val="0"/>
                    <w:rPr>
                      <w:b/>
                      <w:bCs/>
                      <w:color w:val="auto"/>
                    </w:rPr>
                  </w:pPr>
                  <w:r>
                    <w:rPr>
                      <w:b/>
                      <w:bCs/>
                      <w:color w:val="auto"/>
                    </w:rPr>
                    <w:t>协调性分析</w:t>
                  </w:r>
                </w:p>
              </w:tc>
              <w:tc>
                <w:tcPr>
                  <w:tcW w:w="451" w:type="pct"/>
                  <w:noWrap w:val="0"/>
                  <w:vAlign w:val="center"/>
                </w:tcPr>
                <w:p w14:paraId="497EBD7F">
                  <w:pPr>
                    <w:pStyle w:val="22"/>
                    <w:bidi w:val="0"/>
                    <w:rPr>
                      <w:b/>
                      <w:bCs/>
                      <w:color w:val="auto"/>
                    </w:rPr>
                  </w:pPr>
                  <w:r>
                    <w:rPr>
                      <w:b/>
                      <w:bCs/>
                      <w:color w:val="auto"/>
                    </w:rPr>
                    <w:t>符合性分析</w:t>
                  </w:r>
                </w:p>
              </w:tc>
            </w:tr>
            <w:tr w14:paraId="6497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restart"/>
                  <w:noWrap w:val="0"/>
                  <w:vAlign w:val="center"/>
                </w:tcPr>
                <w:p w14:paraId="6EED1D30">
                  <w:pPr>
                    <w:pStyle w:val="22"/>
                    <w:bidi w:val="0"/>
                    <w:rPr>
                      <w:rFonts w:hint="default"/>
                      <w:color w:val="auto"/>
                      <w:lang w:val="en-US" w:eastAsia="zh-CN"/>
                    </w:rPr>
                  </w:pPr>
                  <w:r>
                    <w:rPr>
                      <w:color w:val="auto"/>
                    </w:rPr>
                    <w:t>重点管控单元</w:t>
                  </w:r>
                  <w:r>
                    <w:rPr>
                      <w:rFonts w:hint="eastAsia"/>
                      <w:color w:val="auto"/>
                      <w:lang w:val="en-US" w:eastAsia="zh-CN"/>
                    </w:rPr>
                    <w:t>18</w:t>
                  </w:r>
                </w:p>
              </w:tc>
              <w:tc>
                <w:tcPr>
                  <w:tcW w:w="544" w:type="pct"/>
                  <w:vMerge w:val="restart"/>
                  <w:noWrap w:val="0"/>
                  <w:vAlign w:val="center"/>
                </w:tcPr>
                <w:p w14:paraId="564592CA">
                  <w:pPr>
                    <w:pStyle w:val="22"/>
                    <w:bidi w:val="0"/>
                    <w:rPr>
                      <w:color w:val="auto"/>
                    </w:rPr>
                  </w:pPr>
                  <w:r>
                    <w:rPr>
                      <w:rFonts w:hint="eastAsia"/>
                      <w:color w:val="auto"/>
                      <w:lang w:val="en-US" w:eastAsia="zh-CN"/>
                    </w:rPr>
                    <w:t>空间布局约束</w:t>
                  </w:r>
                </w:p>
              </w:tc>
              <w:tc>
                <w:tcPr>
                  <w:tcW w:w="2003" w:type="pct"/>
                  <w:noWrap w:val="0"/>
                  <w:vAlign w:val="center"/>
                </w:tcPr>
                <w:p w14:paraId="64D4AE62">
                  <w:pPr>
                    <w:pStyle w:val="22"/>
                    <w:bidi w:val="0"/>
                    <w:rPr>
                      <w:color w:val="auto"/>
                    </w:rPr>
                  </w:pPr>
                  <w:r>
                    <w:rPr>
                      <w:color w:val="auto"/>
                    </w:rPr>
                    <w:t>严格城市规划蓝线管理，城市规划区范围内应保留一定比例的水域面积，现有水域面积不得减少。新建项目一律不得违规占用水域。</w:t>
                  </w:r>
                </w:p>
              </w:tc>
              <w:tc>
                <w:tcPr>
                  <w:tcW w:w="1407" w:type="pct"/>
                  <w:noWrap w:val="0"/>
                  <w:vAlign w:val="center"/>
                </w:tcPr>
                <w:p w14:paraId="578253FA">
                  <w:pPr>
                    <w:pStyle w:val="22"/>
                    <w:bidi w:val="0"/>
                    <w:rPr>
                      <w:color w:val="auto"/>
                    </w:rPr>
                  </w:pPr>
                  <w:r>
                    <w:rPr>
                      <w:rFonts w:hint="eastAsia"/>
                      <w:color w:val="auto"/>
                      <w:lang w:val="en-US" w:eastAsia="zh-CN"/>
                    </w:rPr>
                    <w:t>本项目租赁园区现有闲置厂房，不涉及水域。</w:t>
                  </w:r>
                </w:p>
              </w:tc>
              <w:tc>
                <w:tcPr>
                  <w:tcW w:w="451" w:type="pct"/>
                  <w:noWrap w:val="0"/>
                  <w:vAlign w:val="center"/>
                </w:tcPr>
                <w:p w14:paraId="36EC92B1">
                  <w:pPr>
                    <w:pStyle w:val="22"/>
                    <w:bidi w:val="0"/>
                    <w:rPr>
                      <w:color w:val="auto"/>
                    </w:rPr>
                  </w:pPr>
                  <w:r>
                    <w:rPr>
                      <w:color w:val="auto"/>
                    </w:rPr>
                    <w:t>符合</w:t>
                  </w:r>
                </w:p>
              </w:tc>
            </w:tr>
            <w:tr w14:paraId="059C5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3B14F0D1">
                  <w:pPr>
                    <w:pStyle w:val="22"/>
                    <w:bidi w:val="0"/>
                    <w:rPr>
                      <w:color w:val="0000FF"/>
                    </w:rPr>
                  </w:pPr>
                </w:p>
              </w:tc>
              <w:tc>
                <w:tcPr>
                  <w:tcW w:w="544" w:type="pct"/>
                  <w:vMerge w:val="continue"/>
                  <w:noWrap w:val="0"/>
                  <w:vAlign w:val="center"/>
                </w:tcPr>
                <w:p w14:paraId="233F47E2">
                  <w:pPr>
                    <w:pStyle w:val="22"/>
                    <w:bidi w:val="0"/>
                    <w:rPr>
                      <w:color w:val="0000FF"/>
                    </w:rPr>
                  </w:pPr>
                </w:p>
              </w:tc>
              <w:tc>
                <w:tcPr>
                  <w:tcW w:w="2003" w:type="pct"/>
                  <w:noWrap w:val="0"/>
                  <w:vAlign w:val="center"/>
                </w:tcPr>
                <w:p w14:paraId="4597C5A8">
                  <w:pPr>
                    <w:pStyle w:val="22"/>
                    <w:bidi w:val="0"/>
                    <w:rPr>
                      <w:color w:val="auto"/>
                    </w:rPr>
                  </w:pPr>
                  <w:r>
                    <w:rPr>
                      <w:rFonts w:hint="eastAsia"/>
                      <w:color w:val="auto"/>
                    </w:rPr>
                    <w:t>在城市城区及其近郊禁止新建、扩建钢铁、有色、石化、水泥、化工等重污染企业。</w:t>
                  </w:r>
                </w:p>
              </w:tc>
              <w:tc>
                <w:tcPr>
                  <w:tcW w:w="1407" w:type="pct"/>
                  <w:noWrap w:val="0"/>
                  <w:vAlign w:val="center"/>
                </w:tcPr>
                <w:p w14:paraId="2A238484">
                  <w:pPr>
                    <w:pStyle w:val="22"/>
                    <w:bidi w:val="0"/>
                    <w:rPr>
                      <w:color w:val="auto"/>
                    </w:rPr>
                  </w:pPr>
                  <w:r>
                    <w:rPr>
                      <w:rFonts w:hint="eastAsia"/>
                      <w:color w:val="auto"/>
                      <w:lang w:val="en-US" w:eastAsia="zh-CN"/>
                    </w:rPr>
                    <w:t>本项目进行塑料制品生产加工，不使用再生塑料，不属于前述重污染企业。</w:t>
                  </w:r>
                </w:p>
              </w:tc>
              <w:tc>
                <w:tcPr>
                  <w:tcW w:w="451" w:type="pct"/>
                  <w:noWrap w:val="0"/>
                  <w:vAlign w:val="center"/>
                </w:tcPr>
                <w:p w14:paraId="725CEA2D">
                  <w:pPr>
                    <w:pStyle w:val="22"/>
                    <w:bidi w:val="0"/>
                    <w:rPr>
                      <w:color w:val="auto"/>
                    </w:rPr>
                  </w:pPr>
                  <w:r>
                    <w:rPr>
                      <w:color w:val="auto"/>
                    </w:rPr>
                    <w:t>符合</w:t>
                  </w:r>
                </w:p>
              </w:tc>
            </w:tr>
            <w:tr w14:paraId="5929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057CA90B">
                  <w:pPr>
                    <w:pStyle w:val="22"/>
                    <w:bidi w:val="0"/>
                    <w:rPr>
                      <w:color w:val="0000FF"/>
                    </w:rPr>
                  </w:pPr>
                </w:p>
              </w:tc>
              <w:tc>
                <w:tcPr>
                  <w:tcW w:w="544" w:type="pct"/>
                  <w:vMerge w:val="continue"/>
                  <w:noWrap w:val="0"/>
                  <w:vAlign w:val="center"/>
                </w:tcPr>
                <w:p w14:paraId="0F131DD8">
                  <w:pPr>
                    <w:pStyle w:val="22"/>
                    <w:bidi w:val="0"/>
                    <w:rPr>
                      <w:color w:val="0000FF"/>
                    </w:rPr>
                  </w:pPr>
                </w:p>
              </w:tc>
              <w:tc>
                <w:tcPr>
                  <w:tcW w:w="2003" w:type="pct"/>
                  <w:noWrap w:val="0"/>
                  <w:vAlign w:val="center"/>
                </w:tcPr>
                <w:p w14:paraId="42E0F57A">
                  <w:pPr>
                    <w:pStyle w:val="22"/>
                    <w:bidi w:val="0"/>
                    <w:rPr>
                      <w:color w:val="auto"/>
                    </w:rPr>
                  </w:pPr>
                  <w:r>
                    <w:rPr>
                      <w:rFonts w:hint="eastAsia"/>
                      <w:color w:val="auto"/>
                      <w:lang w:val="en-US" w:eastAsia="zh-CN"/>
                    </w:rPr>
                    <w:t>3严禁新增钢铁、焦化、电解铝、铸造、水泥和平板玻璃等产能；严格执行钢铁、水泥、平板玻璃等行业产能置换实施办法。</w:t>
                  </w:r>
                </w:p>
              </w:tc>
              <w:tc>
                <w:tcPr>
                  <w:tcW w:w="1407" w:type="pct"/>
                  <w:noWrap w:val="0"/>
                  <w:vAlign w:val="center"/>
                </w:tcPr>
                <w:p w14:paraId="3887D3B3">
                  <w:pPr>
                    <w:pStyle w:val="22"/>
                    <w:bidi w:val="0"/>
                    <w:rPr>
                      <w:color w:val="auto"/>
                    </w:rPr>
                  </w:pPr>
                  <w:r>
                    <w:rPr>
                      <w:rFonts w:hint="eastAsia"/>
                      <w:color w:val="auto"/>
                      <w:lang w:val="en-US" w:eastAsia="zh-CN"/>
                    </w:rPr>
                    <w:t>对照《安徽省“两高”项目管理目录（试行）》，本项目不属于两高项目。同时根据对照园区规划及规划环评文件，本项目满足规划及规划环评要求。</w:t>
                  </w:r>
                </w:p>
              </w:tc>
              <w:tc>
                <w:tcPr>
                  <w:tcW w:w="451" w:type="pct"/>
                  <w:noWrap w:val="0"/>
                  <w:vAlign w:val="center"/>
                </w:tcPr>
                <w:p w14:paraId="4F3F34E1">
                  <w:pPr>
                    <w:pStyle w:val="22"/>
                    <w:bidi w:val="0"/>
                    <w:rPr>
                      <w:color w:val="auto"/>
                    </w:rPr>
                  </w:pPr>
                  <w:r>
                    <w:rPr>
                      <w:color w:val="auto"/>
                    </w:rPr>
                    <w:t>符合</w:t>
                  </w:r>
                </w:p>
              </w:tc>
            </w:tr>
            <w:tr w14:paraId="587FB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93" w:type="pct"/>
                  <w:vMerge w:val="continue"/>
                  <w:noWrap w:val="0"/>
                  <w:vAlign w:val="center"/>
                </w:tcPr>
                <w:p w14:paraId="2ECD707E">
                  <w:pPr>
                    <w:pStyle w:val="22"/>
                    <w:bidi w:val="0"/>
                    <w:rPr>
                      <w:color w:val="0000FF"/>
                    </w:rPr>
                  </w:pPr>
                </w:p>
              </w:tc>
              <w:tc>
                <w:tcPr>
                  <w:tcW w:w="544" w:type="pct"/>
                  <w:vMerge w:val="continue"/>
                  <w:noWrap w:val="0"/>
                  <w:vAlign w:val="center"/>
                </w:tcPr>
                <w:p w14:paraId="3A17905E">
                  <w:pPr>
                    <w:pStyle w:val="22"/>
                    <w:bidi w:val="0"/>
                    <w:rPr>
                      <w:color w:val="0000FF"/>
                    </w:rPr>
                  </w:pPr>
                </w:p>
              </w:tc>
              <w:tc>
                <w:tcPr>
                  <w:tcW w:w="2003" w:type="pct"/>
                  <w:noWrap w:val="0"/>
                  <w:vAlign w:val="center"/>
                </w:tcPr>
                <w:p w14:paraId="25265285">
                  <w:pPr>
                    <w:pStyle w:val="22"/>
                    <w:bidi w:val="0"/>
                    <w:rPr>
                      <w:color w:val="auto"/>
                    </w:rPr>
                  </w:pPr>
                  <w:r>
                    <w:rPr>
                      <w:rFonts w:hint="eastAsia"/>
                      <w:color w:val="auto"/>
                    </w:rPr>
                    <w:t>严格执行国家关于“两高”产业准入目录和产能总量控制政策措施。严禁新增钢铁、焦化、电解铝、铸造、水泥和平板玻璃等产能；新、改、扩建涉及大宗物料运输的建设项目，原则上不得采用公路运输。</w:t>
                  </w:r>
                </w:p>
              </w:tc>
              <w:tc>
                <w:tcPr>
                  <w:tcW w:w="1407" w:type="pct"/>
                  <w:vMerge w:val="restart"/>
                  <w:noWrap w:val="0"/>
                  <w:vAlign w:val="center"/>
                </w:tcPr>
                <w:p w14:paraId="5F240D02">
                  <w:pPr>
                    <w:pStyle w:val="22"/>
                    <w:bidi w:val="0"/>
                    <w:rPr>
                      <w:color w:val="auto"/>
                    </w:rPr>
                  </w:pPr>
                  <w:r>
                    <w:rPr>
                      <w:rFonts w:hint="eastAsia"/>
                      <w:color w:val="auto"/>
                      <w:lang w:val="en-US" w:eastAsia="zh-CN"/>
                    </w:rPr>
                    <w:t>对照《安徽省“两高”项目管理目录（试行）》，本项目进行塑料制品生产加工，不属于“两高”行业。</w:t>
                  </w:r>
                </w:p>
              </w:tc>
              <w:tc>
                <w:tcPr>
                  <w:tcW w:w="451" w:type="pct"/>
                  <w:noWrap w:val="0"/>
                  <w:vAlign w:val="center"/>
                </w:tcPr>
                <w:p w14:paraId="1DBB9F42">
                  <w:pPr>
                    <w:pStyle w:val="22"/>
                    <w:bidi w:val="0"/>
                    <w:rPr>
                      <w:color w:val="auto"/>
                    </w:rPr>
                  </w:pPr>
                  <w:r>
                    <w:rPr>
                      <w:color w:val="auto"/>
                    </w:rPr>
                    <w:t>符合</w:t>
                  </w:r>
                </w:p>
              </w:tc>
            </w:tr>
            <w:tr w14:paraId="1F1A8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3F8DDE15">
                  <w:pPr>
                    <w:pStyle w:val="22"/>
                    <w:bidi w:val="0"/>
                    <w:rPr>
                      <w:color w:val="0000FF"/>
                    </w:rPr>
                  </w:pPr>
                </w:p>
              </w:tc>
              <w:tc>
                <w:tcPr>
                  <w:tcW w:w="544" w:type="pct"/>
                  <w:vMerge w:val="continue"/>
                  <w:noWrap w:val="0"/>
                  <w:vAlign w:val="center"/>
                </w:tcPr>
                <w:p w14:paraId="4D1DB7C9">
                  <w:pPr>
                    <w:pStyle w:val="22"/>
                    <w:bidi w:val="0"/>
                    <w:rPr>
                      <w:color w:val="0000FF"/>
                    </w:rPr>
                  </w:pPr>
                </w:p>
              </w:tc>
              <w:tc>
                <w:tcPr>
                  <w:tcW w:w="2003" w:type="pct"/>
                  <w:noWrap w:val="0"/>
                  <w:vAlign w:val="center"/>
                </w:tcPr>
                <w:p w14:paraId="097F9B08">
                  <w:pPr>
                    <w:pStyle w:val="22"/>
                    <w:bidi w:val="0"/>
                    <w:rPr>
                      <w:rFonts w:hint="eastAsia"/>
                      <w:color w:val="auto"/>
                    </w:rPr>
                  </w:pPr>
                  <w:r>
                    <w:rPr>
                      <w:rFonts w:hint="eastAsia"/>
                      <w:color w:val="auto"/>
                    </w:rPr>
                    <w:t>严格控制新增“两高”项目审批，认真分析评估拟建项目必要性、可行性和对产业高质量发展、能耗双控、碳排放和环境质量的影响，严格审查项目是否符合产业政策、产业规划、“三线一单”、规划环评要求，是否依法依规落实产能置换、能耗置换、煤炭消费减量替代、污染物排放区域削减等要求。对已建成投产的存量“两高”项目，有节能减排潜力的加快改造升级，属于落后产能的加快淘汰。</w:t>
                  </w:r>
                </w:p>
              </w:tc>
              <w:tc>
                <w:tcPr>
                  <w:tcW w:w="1407" w:type="pct"/>
                  <w:vMerge w:val="continue"/>
                  <w:noWrap w:val="0"/>
                  <w:vAlign w:val="center"/>
                </w:tcPr>
                <w:p w14:paraId="6910B924">
                  <w:pPr>
                    <w:pStyle w:val="22"/>
                    <w:bidi w:val="0"/>
                    <w:rPr>
                      <w:rFonts w:hint="default"/>
                      <w:color w:val="auto"/>
                      <w:lang w:val="en-US" w:eastAsia="zh-CN"/>
                    </w:rPr>
                  </w:pPr>
                </w:p>
              </w:tc>
              <w:tc>
                <w:tcPr>
                  <w:tcW w:w="451" w:type="pct"/>
                  <w:noWrap w:val="0"/>
                  <w:vAlign w:val="center"/>
                </w:tcPr>
                <w:p w14:paraId="0A0299C1">
                  <w:pPr>
                    <w:pStyle w:val="22"/>
                    <w:bidi w:val="0"/>
                    <w:rPr>
                      <w:color w:val="auto"/>
                    </w:rPr>
                  </w:pPr>
                  <w:r>
                    <w:rPr>
                      <w:color w:val="auto"/>
                    </w:rPr>
                    <w:t>符合</w:t>
                  </w:r>
                </w:p>
              </w:tc>
            </w:tr>
            <w:tr w14:paraId="4D277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3C7DD22A">
                  <w:pPr>
                    <w:pStyle w:val="22"/>
                    <w:bidi w:val="0"/>
                    <w:rPr>
                      <w:color w:val="0000FF"/>
                    </w:rPr>
                  </w:pPr>
                </w:p>
              </w:tc>
              <w:tc>
                <w:tcPr>
                  <w:tcW w:w="544" w:type="pct"/>
                  <w:vMerge w:val="continue"/>
                  <w:noWrap w:val="0"/>
                  <w:vAlign w:val="center"/>
                </w:tcPr>
                <w:p w14:paraId="6262ED2E">
                  <w:pPr>
                    <w:pStyle w:val="22"/>
                    <w:bidi w:val="0"/>
                    <w:rPr>
                      <w:color w:val="0000FF"/>
                    </w:rPr>
                  </w:pPr>
                </w:p>
              </w:tc>
              <w:tc>
                <w:tcPr>
                  <w:tcW w:w="2003" w:type="pct"/>
                  <w:noWrap w:val="0"/>
                  <w:vAlign w:val="center"/>
                </w:tcPr>
                <w:p w14:paraId="5B2AB204">
                  <w:pPr>
                    <w:pStyle w:val="22"/>
                    <w:bidi w:val="0"/>
                    <w:rPr>
                      <w:rFonts w:hint="eastAsia"/>
                      <w:color w:val="auto"/>
                    </w:rPr>
                  </w:pPr>
                  <w:r>
                    <w:rPr>
                      <w:rFonts w:hint="eastAsia"/>
                      <w:color w:val="auto"/>
                    </w:rPr>
                    <w:t>禁止建设生产和使用高挥发性有机物含量涂料、油墨、胶粘剂、清洗剂等项目。</w:t>
                  </w:r>
                </w:p>
              </w:tc>
              <w:tc>
                <w:tcPr>
                  <w:tcW w:w="1407" w:type="pct"/>
                  <w:noWrap w:val="0"/>
                  <w:vAlign w:val="center"/>
                </w:tcPr>
                <w:p w14:paraId="5306D576">
                  <w:pPr>
                    <w:pStyle w:val="22"/>
                    <w:bidi w:val="0"/>
                    <w:rPr>
                      <w:rFonts w:hint="default"/>
                      <w:color w:val="auto"/>
                      <w:lang w:val="en-US" w:eastAsia="zh-CN"/>
                    </w:rPr>
                  </w:pPr>
                  <w:r>
                    <w:rPr>
                      <w:rFonts w:hint="eastAsia"/>
                      <w:color w:val="auto"/>
                      <w:lang w:val="en-US" w:eastAsia="zh-CN"/>
                    </w:rPr>
                    <w:t>本项目不涉及</w:t>
                  </w:r>
                  <w:r>
                    <w:rPr>
                      <w:rFonts w:hint="eastAsia"/>
                      <w:color w:val="auto"/>
                    </w:rPr>
                    <w:t>涂料、油墨、胶粘剂、清洗剂</w:t>
                  </w:r>
                  <w:r>
                    <w:rPr>
                      <w:rFonts w:hint="eastAsia"/>
                      <w:color w:val="auto"/>
                      <w:lang w:val="en-US" w:eastAsia="zh-CN"/>
                    </w:rPr>
                    <w:t>等原辅料的使用，不进行表面处理。</w:t>
                  </w:r>
                </w:p>
              </w:tc>
              <w:tc>
                <w:tcPr>
                  <w:tcW w:w="451" w:type="pct"/>
                  <w:noWrap w:val="0"/>
                  <w:vAlign w:val="center"/>
                </w:tcPr>
                <w:p w14:paraId="3F97748E">
                  <w:pPr>
                    <w:pStyle w:val="22"/>
                    <w:bidi w:val="0"/>
                    <w:rPr>
                      <w:rFonts w:hint="eastAsia"/>
                      <w:color w:val="auto"/>
                      <w:lang w:val="en-US" w:eastAsia="zh-CN"/>
                    </w:rPr>
                  </w:pPr>
                  <w:r>
                    <w:rPr>
                      <w:rFonts w:hint="eastAsia"/>
                      <w:color w:val="auto"/>
                      <w:lang w:val="en-US" w:eastAsia="zh-CN"/>
                    </w:rPr>
                    <w:t>符合</w:t>
                  </w:r>
                </w:p>
              </w:tc>
            </w:tr>
            <w:tr w14:paraId="2C139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1074FFE3">
                  <w:pPr>
                    <w:pStyle w:val="22"/>
                    <w:bidi w:val="0"/>
                    <w:rPr>
                      <w:color w:val="0000FF"/>
                    </w:rPr>
                  </w:pPr>
                </w:p>
              </w:tc>
              <w:tc>
                <w:tcPr>
                  <w:tcW w:w="544" w:type="pct"/>
                  <w:vMerge w:val="continue"/>
                  <w:noWrap w:val="0"/>
                  <w:vAlign w:val="center"/>
                </w:tcPr>
                <w:p w14:paraId="37FD48BF">
                  <w:pPr>
                    <w:pStyle w:val="22"/>
                    <w:bidi w:val="0"/>
                    <w:rPr>
                      <w:color w:val="0000FF"/>
                    </w:rPr>
                  </w:pPr>
                </w:p>
              </w:tc>
              <w:tc>
                <w:tcPr>
                  <w:tcW w:w="2003" w:type="pct"/>
                  <w:noWrap w:val="0"/>
                  <w:vAlign w:val="center"/>
                </w:tcPr>
                <w:p w14:paraId="167F5B98">
                  <w:pPr>
                    <w:pStyle w:val="22"/>
                    <w:bidi w:val="0"/>
                    <w:rPr>
                      <w:rFonts w:hint="eastAsia"/>
                      <w:color w:val="auto"/>
                    </w:rPr>
                  </w:pPr>
                  <w:r>
                    <w:rPr>
                      <w:rFonts w:hint="eastAsia"/>
                      <w:color w:val="auto"/>
                    </w:rPr>
                    <w:t>禁止新建、扩建分散燃煤供热锅炉。</w:t>
                  </w:r>
                </w:p>
              </w:tc>
              <w:tc>
                <w:tcPr>
                  <w:tcW w:w="1407" w:type="pct"/>
                  <w:noWrap w:val="0"/>
                  <w:vAlign w:val="center"/>
                </w:tcPr>
                <w:p w14:paraId="1F794EC6">
                  <w:pPr>
                    <w:pStyle w:val="22"/>
                    <w:bidi w:val="0"/>
                    <w:rPr>
                      <w:rFonts w:hint="default"/>
                      <w:color w:val="auto"/>
                      <w:lang w:val="en-US" w:eastAsia="zh-CN"/>
                    </w:rPr>
                  </w:pPr>
                  <w:r>
                    <w:rPr>
                      <w:rFonts w:hint="eastAsia"/>
                      <w:color w:val="auto"/>
                      <w:lang w:val="en-US" w:eastAsia="zh-CN"/>
                    </w:rPr>
                    <w:t>本项目设备机头供热环节使用电能作为能源进行加热，不建设燃气、燃煤锅炉。</w:t>
                  </w:r>
                </w:p>
              </w:tc>
              <w:tc>
                <w:tcPr>
                  <w:tcW w:w="451" w:type="pct"/>
                  <w:noWrap w:val="0"/>
                  <w:vAlign w:val="center"/>
                </w:tcPr>
                <w:p w14:paraId="12E68980">
                  <w:pPr>
                    <w:pStyle w:val="22"/>
                    <w:bidi w:val="0"/>
                    <w:rPr>
                      <w:color w:val="auto"/>
                    </w:rPr>
                  </w:pPr>
                  <w:r>
                    <w:rPr>
                      <w:rFonts w:hint="eastAsia"/>
                      <w:color w:val="auto"/>
                      <w:lang w:val="en-US" w:eastAsia="zh-CN"/>
                    </w:rPr>
                    <w:t>符合</w:t>
                  </w:r>
                </w:p>
              </w:tc>
            </w:tr>
            <w:tr w14:paraId="1CEE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4DCF0FF6">
                  <w:pPr>
                    <w:pStyle w:val="22"/>
                    <w:bidi w:val="0"/>
                    <w:rPr>
                      <w:color w:val="0000FF"/>
                    </w:rPr>
                  </w:pPr>
                </w:p>
              </w:tc>
              <w:tc>
                <w:tcPr>
                  <w:tcW w:w="544" w:type="pct"/>
                  <w:vMerge w:val="continue"/>
                  <w:noWrap w:val="0"/>
                  <w:vAlign w:val="center"/>
                </w:tcPr>
                <w:p w14:paraId="58EB23F0">
                  <w:pPr>
                    <w:pStyle w:val="22"/>
                    <w:bidi w:val="0"/>
                    <w:rPr>
                      <w:color w:val="0000FF"/>
                    </w:rPr>
                  </w:pPr>
                </w:p>
              </w:tc>
              <w:tc>
                <w:tcPr>
                  <w:tcW w:w="2003" w:type="pct"/>
                  <w:noWrap w:val="0"/>
                  <w:vAlign w:val="center"/>
                </w:tcPr>
                <w:p w14:paraId="275981A4">
                  <w:pPr>
                    <w:pStyle w:val="22"/>
                    <w:bidi w:val="0"/>
                    <w:rPr>
                      <w:rFonts w:hint="eastAsia"/>
                      <w:color w:val="auto"/>
                    </w:rPr>
                  </w:pPr>
                  <w:r>
                    <w:rPr>
                      <w:rFonts w:hint="eastAsia"/>
                      <w:color w:val="auto"/>
                    </w:rPr>
                    <w:t>严禁钢铁、水泥、电解铝、平板玻璃等行业新增产能，对确有必要新建的必须实施等量或减量置换</w:t>
                  </w:r>
                </w:p>
              </w:tc>
              <w:tc>
                <w:tcPr>
                  <w:tcW w:w="1407" w:type="pct"/>
                  <w:vMerge w:val="restart"/>
                  <w:noWrap w:val="0"/>
                  <w:vAlign w:val="center"/>
                </w:tcPr>
                <w:p w14:paraId="37EC34C0">
                  <w:pPr>
                    <w:pStyle w:val="22"/>
                    <w:bidi w:val="0"/>
                    <w:rPr>
                      <w:rFonts w:hint="default"/>
                      <w:color w:val="auto"/>
                      <w:lang w:val="en-US" w:eastAsia="zh-CN"/>
                    </w:rPr>
                  </w:pPr>
                  <w:r>
                    <w:rPr>
                      <w:rFonts w:hint="eastAsia"/>
                      <w:color w:val="auto"/>
                      <w:lang w:val="en-US" w:eastAsia="zh-CN"/>
                    </w:rPr>
                    <w:t>本项目外购新料PP、PE塑料粒子进行加热熔融挤出生产塑料管材管件，不使用再生塑料，不进行塑料表面喷涂、印刷，不使用胶黏剂和清洗剂，对照《安徽省“两高”项目管理目录（试行）》，本项目进行塑料生产加工，不属于“两高”行业。</w:t>
                  </w:r>
                </w:p>
              </w:tc>
              <w:tc>
                <w:tcPr>
                  <w:tcW w:w="451" w:type="pct"/>
                  <w:noWrap w:val="0"/>
                  <w:vAlign w:val="center"/>
                </w:tcPr>
                <w:p w14:paraId="61944F18">
                  <w:pPr>
                    <w:pStyle w:val="22"/>
                    <w:bidi w:val="0"/>
                    <w:rPr>
                      <w:color w:val="auto"/>
                    </w:rPr>
                  </w:pPr>
                  <w:r>
                    <w:rPr>
                      <w:rFonts w:hint="eastAsia"/>
                      <w:color w:val="auto"/>
                      <w:lang w:val="en-US" w:eastAsia="zh-CN"/>
                    </w:rPr>
                    <w:t>符合</w:t>
                  </w:r>
                </w:p>
              </w:tc>
            </w:tr>
            <w:tr w14:paraId="068B1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04B9D092">
                  <w:pPr>
                    <w:pStyle w:val="22"/>
                    <w:bidi w:val="0"/>
                    <w:rPr>
                      <w:color w:val="0000FF"/>
                    </w:rPr>
                  </w:pPr>
                </w:p>
              </w:tc>
              <w:tc>
                <w:tcPr>
                  <w:tcW w:w="544" w:type="pct"/>
                  <w:vMerge w:val="continue"/>
                  <w:noWrap w:val="0"/>
                  <w:vAlign w:val="center"/>
                </w:tcPr>
                <w:p w14:paraId="3641DC8D">
                  <w:pPr>
                    <w:pStyle w:val="22"/>
                    <w:bidi w:val="0"/>
                    <w:rPr>
                      <w:color w:val="0000FF"/>
                    </w:rPr>
                  </w:pPr>
                </w:p>
              </w:tc>
              <w:tc>
                <w:tcPr>
                  <w:tcW w:w="2003" w:type="pct"/>
                  <w:noWrap w:val="0"/>
                  <w:vAlign w:val="center"/>
                </w:tcPr>
                <w:p w14:paraId="290D34B5">
                  <w:pPr>
                    <w:pStyle w:val="22"/>
                    <w:bidi w:val="0"/>
                    <w:rPr>
                      <w:rFonts w:hint="eastAsia"/>
                      <w:color w:val="auto"/>
                    </w:rPr>
                  </w:pPr>
                  <w:r>
                    <w:rPr>
                      <w:rFonts w:hint="eastAsia"/>
                      <w:color w:val="auto"/>
                    </w:rPr>
                    <w:t>禁止淘汰落后类的产业进入开发区</w:t>
                  </w:r>
                </w:p>
              </w:tc>
              <w:tc>
                <w:tcPr>
                  <w:tcW w:w="1407" w:type="pct"/>
                  <w:vMerge w:val="continue"/>
                  <w:noWrap w:val="0"/>
                  <w:vAlign w:val="center"/>
                </w:tcPr>
                <w:p w14:paraId="6F8726E5">
                  <w:pPr>
                    <w:pStyle w:val="22"/>
                    <w:bidi w:val="0"/>
                    <w:rPr>
                      <w:rFonts w:hint="eastAsia"/>
                      <w:color w:val="auto"/>
                      <w:lang w:val="en-US" w:eastAsia="zh-CN"/>
                    </w:rPr>
                  </w:pPr>
                </w:p>
              </w:tc>
              <w:tc>
                <w:tcPr>
                  <w:tcW w:w="451" w:type="pct"/>
                  <w:noWrap w:val="0"/>
                  <w:vAlign w:val="center"/>
                </w:tcPr>
                <w:p w14:paraId="46D17A78">
                  <w:pPr>
                    <w:pStyle w:val="22"/>
                    <w:bidi w:val="0"/>
                    <w:rPr>
                      <w:color w:val="auto"/>
                    </w:rPr>
                  </w:pPr>
                  <w:r>
                    <w:rPr>
                      <w:rFonts w:hint="eastAsia"/>
                      <w:color w:val="auto"/>
                      <w:lang w:val="en-US" w:eastAsia="zh-CN"/>
                    </w:rPr>
                    <w:t>符合</w:t>
                  </w:r>
                </w:p>
              </w:tc>
            </w:tr>
            <w:tr w14:paraId="38A8F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017A1902">
                  <w:pPr>
                    <w:pStyle w:val="22"/>
                    <w:bidi w:val="0"/>
                    <w:rPr>
                      <w:color w:val="0000FF"/>
                    </w:rPr>
                  </w:pPr>
                </w:p>
              </w:tc>
              <w:tc>
                <w:tcPr>
                  <w:tcW w:w="544" w:type="pct"/>
                  <w:vMerge w:val="continue"/>
                  <w:noWrap w:val="0"/>
                  <w:vAlign w:val="center"/>
                </w:tcPr>
                <w:p w14:paraId="3C5C5ACC">
                  <w:pPr>
                    <w:pStyle w:val="22"/>
                    <w:bidi w:val="0"/>
                    <w:rPr>
                      <w:color w:val="0000FF"/>
                    </w:rPr>
                  </w:pPr>
                </w:p>
              </w:tc>
              <w:tc>
                <w:tcPr>
                  <w:tcW w:w="2003" w:type="pct"/>
                  <w:noWrap w:val="0"/>
                  <w:vAlign w:val="center"/>
                </w:tcPr>
                <w:p w14:paraId="7B1B5D38">
                  <w:pPr>
                    <w:pStyle w:val="22"/>
                    <w:bidi w:val="0"/>
                    <w:rPr>
                      <w:rFonts w:hint="eastAsia"/>
                      <w:color w:val="auto"/>
                    </w:rPr>
                  </w:pPr>
                  <w:r>
                    <w:rPr>
                      <w:rFonts w:hint="eastAsia"/>
                      <w:color w:val="auto"/>
                    </w:rPr>
                    <w:t>禁止在淮河流域新建化学制浆造纸企业和印染、制革、化工、电镀、酿造等污染严重的小型企业。</w:t>
                  </w:r>
                </w:p>
              </w:tc>
              <w:tc>
                <w:tcPr>
                  <w:tcW w:w="1407" w:type="pct"/>
                  <w:vMerge w:val="continue"/>
                  <w:noWrap w:val="0"/>
                  <w:vAlign w:val="center"/>
                </w:tcPr>
                <w:p w14:paraId="4C2CE2A9">
                  <w:pPr>
                    <w:pStyle w:val="22"/>
                    <w:bidi w:val="0"/>
                    <w:rPr>
                      <w:rFonts w:hint="eastAsia"/>
                      <w:color w:val="auto"/>
                      <w:lang w:val="en-US" w:eastAsia="zh-CN"/>
                    </w:rPr>
                  </w:pPr>
                </w:p>
              </w:tc>
              <w:tc>
                <w:tcPr>
                  <w:tcW w:w="451" w:type="pct"/>
                  <w:noWrap w:val="0"/>
                  <w:vAlign w:val="center"/>
                </w:tcPr>
                <w:p w14:paraId="780AC8AA">
                  <w:pPr>
                    <w:pStyle w:val="22"/>
                    <w:bidi w:val="0"/>
                    <w:rPr>
                      <w:color w:val="auto"/>
                    </w:rPr>
                  </w:pPr>
                  <w:r>
                    <w:rPr>
                      <w:rFonts w:hint="eastAsia"/>
                      <w:color w:val="auto"/>
                      <w:lang w:val="en-US" w:eastAsia="zh-CN"/>
                    </w:rPr>
                    <w:t>符合</w:t>
                  </w:r>
                </w:p>
              </w:tc>
            </w:tr>
            <w:tr w14:paraId="68324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4A9072A6">
                  <w:pPr>
                    <w:pStyle w:val="22"/>
                    <w:bidi w:val="0"/>
                    <w:rPr>
                      <w:color w:val="0000FF"/>
                    </w:rPr>
                  </w:pPr>
                </w:p>
              </w:tc>
              <w:tc>
                <w:tcPr>
                  <w:tcW w:w="544" w:type="pct"/>
                  <w:vMerge w:val="continue"/>
                  <w:noWrap w:val="0"/>
                  <w:vAlign w:val="center"/>
                </w:tcPr>
                <w:p w14:paraId="5DF2131F">
                  <w:pPr>
                    <w:pStyle w:val="22"/>
                    <w:bidi w:val="0"/>
                    <w:rPr>
                      <w:color w:val="0000FF"/>
                    </w:rPr>
                  </w:pPr>
                </w:p>
              </w:tc>
              <w:tc>
                <w:tcPr>
                  <w:tcW w:w="2003" w:type="pct"/>
                  <w:noWrap w:val="0"/>
                  <w:vAlign w:val="center"/>
                </w:tcPr>
                <w:p w14:paraId="7B826825">
                  <w:pPr>
                    <w:pStyle w:val="22"/>
                    <w:bidi w:val="0"/>
                    <w:rPr>
                      <w:rFonts w:hint="eastAsia"/>
                      <w:color w:val="auto"/>
                    </w:rPr>
                  </w:pPr>
                  <w:r>
                    <w:rPr>
                      <w:rFonts w:hint="eastAsia"/>
                      <w:color w:val="auto"/>
                    </w:rPr>
                    <w:t>全市范围内严禁违规新增钢铁、焦化、水泥熟料、平板玻璃、电解铝、氧化铝、煤化工产能，合理控制煤制油气产能规模。未纳入国家有关领域产业规划的，一律不得新建改扩建炼油和新建乙烯、对二甲苯、煤制烯烃项目。</w:t>
                  </w:r>
                </w:p>
              </w:tc>
              <w:tc>
                <w:tcPr>
                  <w:tcW w:w="1407" w:type="pct"/>
                  <w:vMerge w:val="continue"/>
                  <w:noWrap w:val="0"/>
                  <w:vAlign w:val="center"/>
                </w:tcPr>
                <w:p w14:paraId="70184312">
                  <w:pPr>
                    <w:pStyle w:val="22"/>
                    <w:bidi w:val="0"/>
                    <w:rPr>
                      <w:rFonts w:hint="eastAsia"/>
                      <w:color w:val="auto"/>
                      <w:lang w:val="en-US" w:eastAsia="zh-CN"/>
                    </w:rPr>
                  </w:pPr>
                </w:p>
              </w:tc>
              <w:tc>
                <w:tcPr>
                  <w:tcW w:w="451" w:type="pct"/>
                  <w:noWrap w:val="0"/>
                  <w:vAlign w:val="center"/>
                </w:tcPr>
                <w:p w14:paraId="18B77EED">
                  <w:pPr>
                    <w:pStyle w:val="22"/>
                    <w:bidi w:val="0"/>
                    <w:rPr>
                      <w:color w:val="auto"/>
                    </w:rPr>
                  </w:pPr>
                  <w:r>
                    <w:rPr>
                      <w:rFonts w:hint="eastAsia"/>
                      <w:color w:val="auto"/>
                      <w:lang w:val="en-US" w:eastAsia="zh-CN"/>
                    </w:rPr>
                    <w:t>符合</w:t>
                  </w:r>
                </w:p>
              </w:tc>
            </w:tr>
            <w:tr w14:paraId="5F903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20" w:hRule="atLeast"/>
                <w:jc w:val="center"/>
              </w:trPr>
              <w:tc>
                <w:tcPr>
                  <w:tcW w:w="593" w:type="pct"/>
                  <w:vMerge w:val="continue"/>
                  <w:noWrap w:val="0"/>
                  <w:vAlign w:val="center"/>
                </w:tcPr>
                <w:p w14:paraId="748434B1">
                  <w:pPr>
                    <w:pStyle w:val="22"/>
                    <w:bidi w:val="0"/>
                    <w:rPr>
                      <w:color w:val="0000FF"/>
                    </w:rPr>
                  </w:pPr>
                </w:p>
              </w:tc>
              <w:tc>
                <w:tcPr>
                  <w:tcW w:w="544" w:type="pct"/>
                  <w:vMerge w:val="continue"/>
                  <w:noWrap w:val="0"/>
                  <w:vAlign w:val="center"/>
                </w:tcPr>
                <w:p w14:paraId="6007FC94">
                  <w:pPr>
                    <w:pStyle w:val="22"/>
                    <w:bidi w:val="0"/>
                    <w:rPr>
                      <w:color w:val="0000FF"/>
                    </w:rPr>
                  </w:pPr>
                </w:p>
              </w:tc>
              <w:tc>
                <w:tcPr>
                  <w:tcW w:w="2003" w:type="pct"/>
                  <w:noWrap w:val="0"/>
                  <w:vAlign w:val="center"/>
                </w:tcPr>
                <w:p w14:paraId="71E683FF">
                  <w:pPr>
                    <w:pStyle w:val="22"/>
                    <w:bidi w:val="0"/>
                    <w:rPr>
                      <w:rFonts w:hint="eastAsia"/>
                      <w:color w:val="auto"/>
                    </w:rPr>
                  </w:pPr>
                  <w:r>
                    <w:rPr>
                      <w:rFonts w:hint="eastAsia"/>
                      <w:color w:val="auto"/>
                    </w:rPr>
                    <w:t>严把“两高”项目审批，严格落实区域削减措施，对不符合规定的坚决停批停建。</w:t>
                  </w:r>
                </w:p>
              </w:tc>
              <w:tc>
                <w:tcPr>
                  <w:tcW w:w="1407" w:type="pct"/>
                  <w:vMerge w:val="continue"/>
                  <w:noWrap w:val="0"/>
                  <w:vAlign w:val="center"/>
                </w:tcPr>
                <w:p w14:paraId="29377CC6">
                  <w:pPr>
                    <w:pStyle w:val="22"/>
                    <w:bidi w:val="0"/>
                    <w:rPr>
                      <w:rFonts w:hint="eastAsia"/>
                      <w:color w:val="auto"/>
                      <w:lang w:val="en-US" w:eastAsia="zh-CN"/>
                    </w:rPr>
                  </w:pPr>
                </w:p>
              </w:tc>
              <w:tc>
                <w:tcPr>
                  <w:tcW w:w="451" w:type="pct"/>
                  <w:noWrap w:val="0"/>
                  <w:vAlign w:val="center"/>
                </w:tcPr>
                <w:p w14:paraId="41815F21">
                  <w:pPr>
                    <w:pStyle w:val="22"/>
                    <w:bidi w:val="0"/>
                    <w:rPr>
                      <w:color w:val="auto"/>
                    </w:rPr>
                  </w:pPr>
                  <w:r>
                    <w:rPr>
                      <w:rFonts w:hint="eastAsia"/>
                      <w:color w:val="auto"/>
                      <w:lang w:val="en-US" w:eastAsia="zh-CN"/>
                    </w:rPr>
                    <w:t>符合</w:t>
                  </w:r>
                </w:p>
              </w:tc>
            </w:tr>
            <w:tr w14:paraId="7A6B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6C0FF830">
                  <w:pPr>
                    <w:pStyle w:val="22"/>
                    <w:bidi w:val="0"/>
                    <w:rPr>
                      <w:color w:val="0000FF"/>
                    </w:rPr>
                  </w:pPr>
                </w:p>
              </w:tc>
              <w:tc>
                <w:tcPr>
                  <w:tcW w:w="544" w:type="pct"/>
                  <w:vMerge w:val="continue"/>
                  <w:noWrap w:val="0"/>
                  <w:vAlign w:val="center"/>
                </w:tcPr>
                <w:p w14:paraId="6DF1508D">
                  <w:pPr>
                    <w:pStyle w:val="22"/>
                    <w:bidi w:val="0"/>
                    <w:rPr>
                      <w:color w:val="0000FF"/>
                    </w:rPr>
                  </w:pPr>
                </w:p>
              </w:tc>
              <w:tc>
                <w:tcPr>
                  <w:tcW w:w="2003" w:type="pct"/>
                  <w:noWrap w:val="0"/>
                  <w:vAlign w:val="center"/>
                </w:tcPr>
                <w:p w14:paraId="645242AB">
                  <w:pPr>
                    <w:pStyle w:val="22"/>
                    <w:bidi w:val="0"/>
                    <w:rPr>
                      <w:rFonts w:hint="eastAsia"/>
                      <w:color w:val="auto"/>
                    </w:rPr>
                  </w:pPr>
                  <w:r>
                    <w:rPr>
                      <w:rFonts w:hint="eastAsia"/>
                      <w:color w:val="auto"/>
                    </w:rPr>
                    <w:t>禁止建设生产和使用VOCs含量限值不符合国家标准的涂料、油墨、胶黏剂、清洗剂等项目</w:t>
                  </w:r>
                </w:p>
              </w:tc>
              <w:tc>
                <w:tcPr>
                  <w:tcW w:w="1407" w:type="pct"/>
                  <w:vMerge w:val="continue"/>
                  <w:noWrap w:val="0"/>
                  <w:vAlign w:val="center"/>
                </w:tcPr>
                <w:p w14:paraId="07D2D150">
                  <w:pPr>
                    <w:pStyle w:val="22"/>
                    <w:bidi w:val="0"/>
                    <w:rPr>
                      <w:rFonts w:hint="eastAsia"/>
                      <w:color w:val="auto"/>
                      <w:lang w:val="en-US" w:eastAsia="zh-CN"/>
                    </w:rPr>
                  </w:pPr>
                </w:p>
              </w:tc>
              <w:tc>
                <w:tcPr>
                  <w:tcW w:w="451" w:type="pct"/>
                  <w:noWrap w:val="0"/>
                  <w:vAlign w:val="center"/>
                </w:tcPr>
                <w:p w14:paraId="0BF2E832">
                  <w:pPr>
                    <w:pStyle w:val="22"/>
                    <w:bidi w:val="0"/>
                    <w:rPr>
                      <w:color w:val="auto"/>
                    </w:rPr>
                  </w:pPr>
                  <w:r>
                    <w:rPr>
                      <w:rFonts w:hint="eastAsia"/>
                      <w:color w:val="auto"/>
                      <w:lang w:val="en-US" w:eastAsia="zh-CN"/>
                    </w:rPr>
                    <w:t>符合</w:t>
                  </w:r>
                </w:p>
              </w:tc>
            </w:tr>
            <w:tr w14:paraId="25025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023E6CA5">
                  <w:pPr>
                    <w:pStyle w:val="22"/>
                    <w:bidi w:val="0"/>
                    <w:rPr>
                      <w:color w:val="0000FF"/>
                    </w:rPr>
                  </w:pPr>
                </w:p>
              </w:tc>
              <w:tc>
                <w:tcPr>
                  <w:tcW w:w="544" w:type="pct"/>
                  <w:vMerge w:val="continue"/>
                  <w:noWrap w:val="0"/>
                  <w:vAlign w:val="center"/>
                </w:tcPr>
                <w:p w14:paraId="00974EBC">
                  <w:pPr>
                    <w:pStyle w:val="22"/>
                    <w:bidi w:val="0"/>
                    <w:rPr>
                      <w:color w:val="0000FF"/>
                    </w:rPr>
                  </w:pPr>
                </w:p>
              </w:tc>
              <w:tc>
                <w:tcPr>
                  <w:tcW w:w="2003" w:type="pct"/>
                  <w:noWrap w:val="0"/>
                  <w:vAlign w:val="center"/>
                </w:tcPr>
                <w:p w14:paraId="72B0E7C2">
                  <w:pPr>
                    <w:pStyle w:val="22"/>
                    <w:bidi w:val="0"/>
                    <w:rPr>
                      <w:rFonts w:hint="eastAsia"/>
                      <w:color w:val="auto"/>
                    </w:rPr>
                  </w:pPr>
                  <w:r>
                    <w:rPr>
                      <w:rFonts w:hint="eastAsia"/>
                      <w:color w:val="auto"/>
                    </w:rPr>
                    <w:t>加大钢铁、铸造、炼焦、建材、电解铝等产能压减力度。</w:t>
                  </w:r>
                </w:p>
              </w:tc>
              <w:tc>
                <w:tcPr>
                  <w:tcW w:w="1407" w:type="pct"/>
                  <w:noWrap w:val="0"/>
                  <w:vAlign w:val="center"/>
                </w:tcPr>
                <w:p w14:paraId="1E5393A3">
                  <w:pPr>
                    <w:pStyle w:val="22"/>
                    <w:bidi w:val="0"/>
                    <w:rPr>
                      <w:rFonts w:hint="default"/>
                      <w:color w:val="auto"/>
                      <w:lang w:val="en-US" w:eastAsia="zh-CN"/>
                    </w:rPr>
                  </w:pPr>
                  <w:r>
                    <w:rPr>
                      <w:rFonts w:hint="eastAsia"/>
                      <w:color w:val="auto"/>
                      <w:lang w:val="en-US" w:eastAsia="zh-CN"/>
                    </w:rPr>
                    <w:t>本项目不涉及前述产能</w:t>
                  </w:r>
                </w:p>
              </w:tc>
              <w:tc>
                <w:tcPr>
                  <w:tcW w:w="451" w:type="pct"/>
                  <w:noWrap w:val="0"/>
                  <w:vAlign w:val="center"/>
                </w:tcPr>
                <w:p w14:paraId="46850CBF">
                  <w:pPr>
                    <w:pStyle w:val="22"/>
                    <w:bidi w:val="0"/>
                    <w:rPr>
                      <w:color w:val="auto"/>
                    </w:rPr>
                  </w:pPr>
                  <w:r>
                    <w:rPr>
                      <w:rFonts w:hint="eastAsia"/>
                      <w:color w:val="auto"/>
                      <w:lang w:val="en-US" w:eastAsia="zh-CN"/>
                    </w:rPr>
                    <w:t>符合</w:t>
                  </w:r>
                </w:p>
              </w:tc>
            </w:tr>
            <w:tr w14:paraId="052B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6F9CA845">
                  <w:pPr>
                    <w:pStyle w:val="22"/>
                    <w:bidi w:val="0"/>
                    <w:rPr>
                      <w:color w:val="0000FF"/>
                    </w:rPr>
                  </w:pPr>
                </w:p>
              </w:tc>
              <w:tc>
                <w:tcPr>
                  <w:tcW w:w="544" w:type="pct"/>
                  <w:vMerge w:val="continue"/>
                  <w:noWrap w:val="0"/>
                  <w:vAlign w:val="center"/>
                </w:tcPr>
                <w:p w14:paraId="6C193A02">
                  <w:pPr>
                    <w:pStyle w:val="22"/>
                    <w:bidi w:val="0"/>
                    <w:rPr>
                      <w:color w:val="0000FF"/>
                    </w:rPr>
                  </w:pPr>
                </w:p>
              </w:tc>
              <w:tc>
                <w:tcPr>
                  <w:tcW w:w="2003" w:type="pct"/>
                  <w:noWrap w:val="0"/>
                  <w:vAlign w:val="center"/>
                </w:tcPr>
                <w:p w14:paraId="107CDEB7">
                  <w:pPr>
                    <w:pStyle w:val="22"/>
                    <w:bidi w:val="0"/>
                    <w:rPr>
                      <w:rFonts w:hint="eastAsia"/>
                      <w:color w:val="auto"/>
                    </w:rPr>
                  </w:pPr>
                  <w:r>
                    <w:rPr>
                      <w:rFonts w:hint="eastAsia"/>
                      <w:color w:val="auto"/>
                    </w:rPr>
                    <w:t>重点区域钢铁、水泥、焦化、石化、化工、有色等行业，二氧化硫、氮氧化物、颗粒物、挥发性有机物（VOCs）排放全面执行大气污染物特别排放限值。</w:t>
                  </w:r>
                </w:p>
              </w:tc>
              <w:tc>
                <w:tcPr>
                  <w:tcW w:w="1407" w:type="pct"/>
                  <w:noWrap w:val="0"/>
                  <w:vAlign w:val="center"/>
                </w:tcPr>
                <w:p w14:paraId="7C9450C9">
                  <w:pPr>
                    <w:pStyle w:val="22"/>
                    <w:bidi w:val="0"/>
                    <w:rPr>
                      <w:rFonts w:hint="eastAsia"/>
                      <w:color w:val="auto"/>
                      <w:lang w:val="en-US" w:eastAsia="zh-CN"/>
                    </w:rPr>
                  </w:pPr>
                  <w:r>
                    <w:rPr>
                      <w:rFonts w:hint="eastAsia"/>
                      <w:color w:val="auto"/>
                      <w:lang w:val="en-US" w:eastAsia="zh-CN"/>
                    </w:rPr>
                    <w:t>本项目挥发性有机物（VOCs）部分特征污染物排放全面执行《合成树脂工业大气污染物排放标准》中大气污染物特别排放限值</w:t>
                  </w:r>
                </w:p>
              </w:tc>
              <w:tc>
                <w:tcPr>
                  <w:tcW w:w="451" w:type="pct"/>
                  <w:noWrap w:val="0"/>
                  <w:vAlign w:val="center"/>
                </w:tcPr>
                <w:p w14:paraId="3E2FEF86">
                  <w:pPr>
                    <w:pStyle w:val="22"/>
                    <w:bidi w:val="0"/>
                    <w:rPr>
                      <w:color w:val="auto"/>
                    </w:rPr>
                  </w:pPr>
                  <w:r>
                    <w:rPr>
                      <w:rFonts w:hint="eastAsia"/>
                      <w:color w:val="auto"/>
                      <w:lang w:val="en-US" w:eastAsia="zh-CN"/>
                    </w:rPr>
                    <w:t>符合</w:t>
                  </w:r>
                </w:p>
              </w:tc>
            </w:tr>
            <w:tr w14:paraId="44BFE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03DB278E">
                  <w:pPr>
                    <w:pStyle w:val="22"/>
                    <w:bidi w:val="0"/>
                    <w:rPr>
                      <w:color w:val="0000FF"/>
                    </w:rPr>
                  </w:pPr>
                </w:p>
              </w:tc>
              <w:tc>
                <w:tcPr>
                  <w:tcW w:w="544" w:type="pct"/>
                  <w:vMerge w:val="continue"/>
                  <w:noWrap w:val="0"/>
                  <w:vAlign w:val="center"/>
                </w:tcPr>
                <w:p w14:paraId="08E5B736">
                  <w:pPr>
                    <w:pStyle w:val="22"/>
                    <w:bidi w:val="0"/>
                    <w:rPr>
                      <w:color w:val="0000FF"/>
                    </w:rPr>
                  </w:pPr>
                </w:p>
              </w:tc>
              <w:tc>
                <w:tcPr>
                  <w:tcW w:w="2003" w:type="pct"/>
                  <w:noWrap w:val="0"/>
                  <w:vAlign w:val="center"/>
                </w:tcPr>
                <w:p w14:paraId="7A5E5175">
                  <w:pPr>
                    <w:pStyle w:val="22"/>
                    <w:bidi w:val="0"/>
                    <w:rPr>
                      <w:rFonts w:hint="eastAsia"/>
                      <w:color w:val="auto"/>
                    </w:rPr>
                  </w:pPr>
                  <w:r>
                    <w:rPr>
                      <w:rFonts w:hint="default"/>
                      <w:color w:val="auto"/>
                    </w:rPr>
                    <w:t>严格</w:t>
                  </w:r>
                  <w:r>
                    <w:rPr>
                      <w:rFonts w:hint="eastAsia"/>
                      <w:color w:val="auto"/>
                      <w:lang w:val="en-US" w:eastAsia="zh-CN"/>
                    </w:rPr>
                    <w:t>限制</w:t>
                  </w:r>
                  <w:r>
                    <w:rPr>
                      <w:rFonts w:hint="default"/>
                      <w:color w:val="auto"/>
                    </w:rPr>
                    <w:t>高</w:t>
                  </w:r>
                  <w:r>
                    <w:rPr>
                      <w:rFonts w:hint="eastAsia"/>
                      <w:color w:val="auto"/>
                    </w:rPr>
                    <w:t>VOCs</w:t>
                  </w:r>
                  <w:r>
                    <w:rPr>
                      <w:rFonts w:hint="default"/>
                      <w:color w:val="auto"/>
                    </w:rPr>
                    <w:t>排放化工类建设项目</w:t>
                  </w:r>
                </w:p>
              </w:tc>
              <w:tc>
                <w:tcPr>
                  <w:tcW w:w="1407" w:type="pct"/>
                  <w:noWrap w:val="0"/>
                  <w:vAlign w:val="center"/>
                </w:tcPr>
                <w:p w14:paraId="7CF4C5A9">
                  <w:pPr>
                    <w:pStyle w:val="22"/>
                    <w:bidi w:val="0"/>
                    <w:rPr>
                      <w:rFonts w:hint="default"/>
                      <w:color w:val="auto"/>
                      <w:lang w:val="en-US" w:eastAsia="zh-CN"/>
                    </w:rPr>
                  </w:pPr>
                  <w:r>
                    <w:rPr>
                      <w:rFonts w:hint="default"/>
                      <w:color w:val="auto"/>
                      <w:lang w:val="en-US" w:eastAsia="zh-CN"/>
                    </w:rPr>
                    <w:t>本项目废气主要来自塑料加热环节产生有机废气，均采用现行可行技术进行处理达标排放，不属于有机废气高排放项目</w:t>
                  </w:r>
                </w:p>
              </w:tc>
              <w:tc>
                <w:tcPr>
                  <w:tcW w:w="451" w:type="pct"/>
                  <w:noWrap w:val="0"/>
                  <w:vAlign w:val="center"/>
                </w:tcPr>
                <w:p w14:paraId="25D10BF0">
                  <w:pPr>
                    <w:pStyle w:val="22"/>
                    <w:bidi w:val="0"/>
                    <w:rPr>
                      <w:rFonts w:hint="eastAsia"/>
                      <w:color w:val="auto"/>
                      <w:lang w:val="en-US" w:eastAsia="zh-CN"/>
                    </w:rPr>
                  </w:pPr>
                  <w:r>
                    <w:rPr>
                      <w:rFonts w:hint="eastAsia"/>
                      <w:color w:val="auto"/>
                      <w:lang w:val="en-US" w:eastAsia="zh-CN"/>
                    </w:rPr>
                    <w:t>符合</w:t>
                  </w:r>
                </w:p>
              </w:tc>
            </w:tr>
            <w:tr w14:paraId="34D3C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1347677B">
                  <w:pPr>
                    <w:pStyle w:val="22"/>
                    <w:bidi w:val="0"/>
                    <w:rPr>
                      <w:color w:val="0000FF"/>
                    </w:rPr>
                  </w:pPr>
                </w:p>
              </w:tc>
              <w:tc>
                <w:tcPr>
                  <w:tcW w:w="544" w:type="pct"/>
                  <w:vMerge w:val="continue"/>
                  <w:noWrap w:val="0"/>
                  <w:vAlign w:val="center"/>
                </w:tcPr>
                <w:p w14:paraId="1437FEC0">
                  <w:pPr>
                    <w:pStyle w:val="22"/>
                    <w:bidi w:val="0"/>
                    <w:rPr>
                      <w:color w:val="0000FF"/>
                    </w:rPr>
                  </w:pPr>
                </w:p>
              </w:tc>
              <w:tc>
                <w:tcPr>
                  <w:tcW w:w="2003" w:type="pct"/>
                  <w:noWrap w:val="0"/>
                  <w:vAlign w:val="center"/>
                </w:tcPr>
                <w:p w14:paraId="0D84A873">
                  <w:pPr>
                    <w:pStyle w:val="22"/>
                    <w:bidi w:val="0"/>
                    <w:rPr>
                      <w:rFonts w:hint="default"/>
                      <w:color w:val="auto"/>
                    </w:rPr>
                  </w:pPr>
                  <w:r>
                    <w:rPr>
                      <w:rFonts w:hint="default"/>
                      <w:color w:val="auto"/>
                    </w:rPr>
                    <w:t>国家禁止新建不符合国家产业政策的小型造纸、制革、印染、染料、炼焦、炼硫、炼砷、炼汞、炼油、电镀、农药、石棉、水泥、玻璃、钢铁、火电以及其他严重污染水环境的生产项目。</w:t>
                  </w:r>
                </w:p>
              </w:tc>
              <w:tc>
                <w:tcPr>
                  <w:tcW w:w="1407" w:type="pct"/>
                  <w:noWrap w:val="0"/>
                  <w:vAlign w:val="center"/>
                </w:tcPr>
                <w:p w14:paraId="036069FF">
                  <w:pPr>
                    <w:pStyle w:val="22"/>
                    <w:bidi w:val="0"/>
                    <w:rPr>
                      <w:rFonts w:hint="default"/>
                      <w:color w:val="auto"/>
                      <w:lang w:val="en-US" w:eastAsia="zh-CN"/>
                    </w:rPr>
                  </w:pPr>
                  <w:r>
                    <w:rPr>
                      <w:rFonts w:hint="eastAsia"/>
                      <w:color w:val="auto"/>
                      <w:lang w:val="en-US" w:eastAsia="zh-CN"/>
                    </w:rPr>
                    <w:t>本项目属于塑料制品工业，不属于前述行业类别。营运期废水量较少，接管园区污水处理站，不对周边水体环境产生不利影响。</w:t>
                  </w:r>
                </w:p>
              </w:tc>
              <w:tc>
                <w:tcPr>
                  <w:tcW w:w="451" w:type="pct"/>
                  <w:noWrap w:val="0"/>
                  <w:vAlign w:val="center"/>
                </w:tcPr>
                <w:p w14:paraId="4A0FDF5F">
                  <w:pPr>
                    <w:pStyle w:val="22"/>
                    <w:bidi w:val="0"/>
                    <w:rPr>
                      <w:rFonts w:hint="eastAsia"/>
                      <w:color w:val="auto"/>
                      <w:lang w:val="en-US" w:eastAsia="zh-CN"/>
                    </w:rPr>
                  </w:pPr>
                  <w:r>
                    <w:rPr>
                      <w:rFonts w:hint="eastAsia"/>
                      <w:color w:val="auto"/>
                      <w:lang w:val="en-US" w:eastAsia="zh-CN"/>
                    </w:rPr>
                    <w:t>符合</w:t>
                  </w:r>
                </w:p>
              </w:tc>
            </w:tr>
            <w:tr w14:paraId="6E67E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320BC6E1">
                  <w:pPr>
                    <w:pStyle w:val="22"/>
                    <w:bidi w:val="0"/>
                    <w:rPr>
                      <w:color w:val="0000FF"/>
                    </w:rPr>
                  </w:pPr>
                </w:p>
              </w:tc>
              <w:tc>
                <w:tcPr>
                  <w:tcW w:w="544" w:type="pct"/>
                  <w:vMerge w:val="continue"/>
                  <w:noWrap w:val="0"/>
                  <w:vAlign w:val="center"/>
                </w:tcPr>
                <w:p w14:paraId="4271151A">
                  <w:pPr>
                    <w:pStyle w:val="22"/>
                    <w:bidi w:val="0"/>
                    <w:rPr>
                      <w:color w:val="0000FF"/>
                    </w:rPr>
                  </w:pPr>
                </w:p>
              </w:tc>
              <w:tc>
                <w:tcPr>
                  <w:tcW w:w="2003" w:type="pct"/>
                  <w:noWrap w:val="0"/>
                  <w:vAlign w:val="center"/>
                </w:tcPr>
                <w:p w14:paraId="5C998F6F">
                  <w:pPr>
                    <w:pStyle w:val="22"/>
                    <w:bidi w:val="0"/>
                    <w:rPr>
                      <w:rFonts w:hint="default"/>
                      <w:color w:val="auto"/>
                    </w:rPr>
                  </w:pPr>
                  <w:r>
                    <w:rPr>
                      <w:rFonts w:hint="default"/>
                      <w:color w:val="auto"/>
                    </w:rPr>
                    <w:t>依法淘汰落后产能。全市和各县区要依据工业行业淘汰落后生产工艺装备和产品指导目录、产业结构调整指导目录及相关行业污染物排放标准，结合水质改善要求及产业发展情况，制定并实施分年度的落后产能淘汰方案。未完成淘汰任务的县区，暂停审批和核准其相关行业新建项目。</w:t>
                  </w:r>
                </w:p>
              </w:tc>
              <w:tc>
                <w:tcPr>
                  <w:tcW w:w="1407" w:type="pct"/>
                  <w:noWrap w:val="0"/>
                  <w:vAlign w:val="center"/>
                </w:tcPr>
                <w:p w14:paraId="3612BAFF">
                  <w:pPr>
                    <w:pStyle w:val="22"/>
                    <w:bidi w:val="0"/>
                    <w:rPr>
                      <w:rFonts w:hint="default"/>
                      <w:color w:val="auto"/>
                      <w:lang w:val="en-US" w:eastAsia="zh-CN"/>
                    </w:rPr>
                  </w:pPr>
                  <w:r>
                    <w:rPr>
                      <w:rFonts w:hint="eastAsia"/>
                      <w:color w:val="auto"/>
                      <w:lang w:val="en-US" w:eastAsia="zh-CN"/>
                    </w:rPr>
                    <w:t>本项目进行塑料产品生产加工，不涉及产能置换，不属于落后产能。</w:t>
                  </w:r>
                </w:p>
              </w:tc>
              <w:tc>
                <w:tcPr>
                  <w:tcW w:w="451" w:type="pct"/>
                  <w:noWrap w:val="0"/>
                  <w:vAlign w:val="center"/>
                </w:tcPr>
                <w:p w14:paraId="2CAA8D35">
                  <w:pPr>
                    <w:pStyle w:val="22"/>
                    <w:bidi w:val="0"/>
                    <w:rPr>
                      <w:rFonts w:hint="eastAsia"/>
                      <w:color w:val="auto"/>
                      <w:lang w:val="en-US" w:eastAsia="zh-CN"/>
                    </w:rPr>
                  </w:pPr>
                  <w:r>
                    <w:rPr>
                      <w:rFonts w:hint="eastAsia"/>
                      <w:color w:val="auto"/>
                      <w:lang w:val="en-US" w:eastAsia="zh-CN"/>
                    </w:rPr>
                    <w:t>符合</w:t>
                  </w:r>
                </w:p>
              </w:tc>
            </w:tr>
            <w:tr w14:paraId="4B70B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29495FB7">
                  <w:pPr>
                    <w:pStyle w:val="22"/>
                    <w:bidi w:val="0"/>
                    <w:rPr>
                      <w:color w:val="0000FF"/>
                    </w:rPr>
                  </w:pPr>
                </w:p>
              </w:tc>
              <w:tc>
                <w:tcPr>
                  <w:tcW w:w="544" w:type="pct"/>
                  <w:vMerge w:val="continue"/>
                  <w:noWrap w:val="0"/>
                  <w:vAlign w:val="center"/>
                </w:tcPr>
                <w:p w14:paraId="597F32D4">
                  <w:pPr>
                    <w:pStyle w:val="22"/>
                    <w:bidi w:val="0"/>
                    <w:rPr>
                      <w:color w:val="0000FF"/>
                    </w:rPr>
                  </w:pPr>
                </w:p>
              </w:tc>
              <w:tc>
                <w:tcPr>
                  <w:tcW w:w="2003" w:type="pct"/>
                  <w:noWrap w:val="0"/>
                  <w:vAlign w:val="center"/>
                </w:tcPr>
                <w:p w14:paraId="2A684AA2">
                  <w:pPr>
                    <w:pStyle w:val="22"/>
                    <w:bidi w:val="0"/>
                    <w:rPr>
                      <w:rFonts w:hint="default"/>
                      <w:color w:val="auto"/>
                    </w:rPr>
                  </w:pPr>
                  <w:r>
                    <w:rPr>
                      <w:rFonts w:hint="default"/>
                      <w:color w:val="auto"/>
                    </w:rPr>
                    <w:t>全面排查装备水平低、环保设施差的小型工业企业，重点开展小型化工、塑料、印染、造纸、电镀等行业取缔整治工作，制订取缔项目清单。2025年底前全面取缔到位。</w:t>
                  </w:r>
                </w:p>
              </w:tc>
              <w:tc>
                <w:tcPr>
                  <w:tcW w:w="1407" w:type="pct"/>
                  <w:noWrap w:val="0"/>
                  <w:vAlign w:val="center"/>
                </w:tcPr>
                <w:p w14:paraId="3F37E8D8">
                  <w:pPr>
                    <w:pStyle w:val="22"/>
                    <w:bidi w:val="0"/>
                    <w:rPr>
                      <w:rFonts w:hint="default"/>
                      <w:color w:val="auto"/>
                      <w:lang w:val="en-US" w:eastAsia="zh-CN"/>
                    </w:rPr>
                  </w:pPr>
                  <w:r>
                    <w:rPr>
                      <w:rFonts w:hint="eastAsia"/>
                      <w:color w:val="auto"/>
                      <w:lang w:val="en-US" w:eastAsia="zh-CN"/>
                    </w:rPr>
                    <w:t>本项目属于新建项目，生产设备自动化水平高，不使用再生料，产生有机废气经过收集后配套现行可行技术二级活性炭装置处理达标排放</w:t>
                  </w:r>
                </w:p>
              </w:tc>
              <w:tc>
                <w:tcPr>
                  <w:tcW w:w="451" w:type="pct"/>
                  <w:noWrap w:val="0"/>
                  <w:vAlign w:val="center"/>
                </w:tcPr>
                <w:p w14:paraId="6BF13480">
                  <w:pPr>
                    <w:pStyle w:val="22"/>
                    <w:bidi w:val="0"/>
                    <w:rPr>
                      <w:color w:val="auto"/>
                    </w:rPr>
                  </w:pPr>
                  <w:r>
                    <w:rPr>
                      <w:rFonts w:hint="eastAsia"/>
                      <w:color w:val="auto"/>
                      <w:lang w:val="en-US" w:eastAsia="zh-CN"/>
                    </w:rPr>
                    <w:t>符合</w:t>
                  </w:r>
                </w:p>
              </w:tc>
            </w:tr>
            <w:tr w14:paraId="38B51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7F668D8E">
                  <w:pPr>
                    <w:pStyle w:val="22"/>
                    <w:bidi w:val="0"/>
                    <w:rPr>
                      <w:color w:val="0000FF"/>
                    </w:rPr>
                  </w:pPr>
                </w:p>
              </w:tc>
              <w:tc>
                <w:tcPr>
                  <w:tcW w:w="544" w:type="pct"/>
                  <w:vMerge w:val="restart"/>
                  <w:noWrap w:val="0"/>
                  <w:vAlign w:val="center"/>
                </w:tcPr>
                <w:p w14:paraId="2011477C">
                  <w:pPr>
                    <w:pStyle w:val="22"/>
                    <w:bidi w:val="0"/>
                    <w:rPr>
                      <w:color w:val="auto"/>
                    </w:rPr>
                  </w:pPr>
                  <w:r>
                    <w:rPr>
                      <w:rFonts w:hint="eastAsia"/>
                      <w:color w:val="auto"/>
                    </w:rPr>
                    <w:t>污染物排放管控</w:t>
                  </w:r>
                </w:p>
              </w:tc>
              <w:tc>
                <w:tcPr>
                  <w:tcW w:w="2003" w:type="pct"/>
                  <w:noWrap w:val="0"/>
                  <w:vAlign w:val="center"/>
                </w:tcPr>
                <w:p w14:paraId="17434ACD">
                  <w:pPr>
                    <w:pStyle w:val="22"/>
                    <w:bidi w:val="0"/>
                    <w:rPr>
                      <w:color w:val="auto"/>
                    </w:rPr>
                  </w:pPr>
                  <w:r>
                    <w:rPr>
                      <w:rFonts w:hint="eastAsia"/>
                      <w:color w:val="auto"/>
                    </w:rPr>
                    <w:t>新建、改建、扩建排放重点大气污染物的项目不符合总量控制要求的，不得通过环境影响评价。</w:t>
                  </w:r>
                </w:p>
              </w:tc>
              <w:tc>
                <w:tcPr>
                  <w:tcW w:w="1407" w:type="pct"/>
                  <w:noWrap w:val="0"/>
                  <w:vAlign w:val="center"/>
                </w:tcPr>
                <w:p w14:paraId="6AC472DE">
                  <w:pPr>
                    <w:pStyle w:val="22"/>
                    <w:bidi w:val="0"/>
                    <w:rPr>
                      <w:rFonts w:hint="default"/>
                      <w:color w:val="auto"/>
                      <w:lang w:val="en-US" w:eastAsia="zh-CN"/>
                    </w:rPr>
                  </w:pPr>
                  <w:r>
                    <w:rPr>
                      <w:rFonts w:hint="eastAsia"/>
                      <w:color w:val="auto"/>
                      <w:lang w:val="en-US" w:eastAsia="zh-CN"/>
                    </w:rPr>
                    <w:t>本项目属于新建项目，须申请大气污染物颗粒物、有机废气总量指标，</w:t>
                  </w:r>
                </w:p>
              </w:tc>
              <w:tc>
                <w:tcPr>
                  <w:tcW w:w="451" w:type="pct"/>
                  <w:noWrap w:val="0"/>
                  <w:vAlign w:val="center"/>
                </w:tcPr>
                <w:p w14:paraId="6632D002">
                  <w:pPr>
                    <w:pStyle w:val="22"/>
                    <w:bidi w:val="0"/>
                    <w:rPr>
                      <w:color w:val="auto"/>
                    </w:rPr>
                  </w:pPr>
                  <w:r>
                    <w:rPr>
                      <w:color w:val="auto"/>
                    </w:rPr>
                    <w:t>符合</w:t>
                  </w:r>
                </w:p>
              </w:tc>
            </w:tr>
            <w:tr w14:paraId="3C947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200" w:hRule="atLeast"/>
                <w:jc w:val="center"/>
              </w:trPr>
              <w:tc>
                <w:tcPr>
                  <w:tcW w:w="593" w:type="pct"/>
                  <w:vMerge w:val="continue"/>
                  <w:noWrap w:val="0"/>
                  <w:vAlign w:val="center"/>
                </w:tcPr>
                <w:p w14:paraId="380D3B2C">
                  <w:pPr>
                    <w:pStyle w:val="22"/>
                    <w:bidi w:val="0"/>
                    <w:rPr>
                      <w:color w:val="0000FF"/>
                    </w:rPr>
                  </w:pPr>
                </w:p>
              </w:tc>
              <w:tc>
                <w:tcPr>
                  <w:tcW w:w="544" w:type="pct"/>
                  <w:vMerge w:val="continue"/>
                  <w:noWrap w:val="0"/>
                  <w:vAlign w:val="center"/>
                </w:tcPr>
                <w:p w14:paraId="37412A06">
                  <w:pPr>
                    <w:pStyle w:val="22"/>
                    <w:bidi w:val="0"/>
                    <w:rPr>
                      <w:rFonts w:hint="eastAsia"/>
                      <w:color w:val="auto"/>
                    </w:rPr>
                  </w:pPr>
                </w:p>
              </w:tc>
              <w:tc>
                <w:tcPr>
                  <w:tcW w:w="2003" w:type="pct"/>
                  <w:noWrap w:val="0"/>
                  <w:vAlign w:val="center"/>
                </w:tcPr>
                <w:p w14:paraId="79234C64">
                  <w:pPr>
                    <w:pStyle w:val="22"/>
                    <w:bidi w:val="0"/>
                    <w:rPr>
                      <w:rFonts w:hint="eastAsia"/>
                      <w:color w:val="auto"/>
                      <w:lang w:val="en-US" w:eastAsia="zh-CN"/>
                    </w:rPr>
                  </w:pPr>
                  <w:r>
                    <w:rPr>
                      <w:rFonts w:hint="eastAsia"/>
                      <w:color w:val="auto"/>
                    </w:rPr>
                    <w:t>企业事业单位和其他生产经营者超过污染物排放标准或者超过重点污染物排放总量控制指标排放污染物的，县级以上人民政府环境保护主管部门可以责令其采取限制生产、停产整治等措施；情节严重的，报经有批准权的人民政府批准，责令停业、关闭。</w:t>
                  </w:r>
                </w:p>
              </w:tc>
              <w:tc>
                <w:tcPr>
                  <w:tcW w:w="1407" w:type="pct"/>
                  <w:noWrap w:val="0"/>
                  <w:vAlign w:val="center"/>
                </w:tcPr>
                <w:p w14:paraId="4E808822">
                  <w:pPr>
                    <w:pStyle w:val="22"/>
                    <w:bidi w:val="0"/>
                    <w:rPr>
                      <w:color w:val="auto"/>
                    </w:rPr>
                  </w:pPr>
                  <w:r>
                    <w:rPr>
                      <w:rFonts w:hint="eastAsia"/>
                      <w:color w:val="auto"/>
                      <w:lang w:val="en-US" w:eastAsia="zh-CN"/>
                    </w:rPr>
                    <w:t>本项目经工程分析结果表明，在采取相应的污染防治措施以后能够满足达标排放要求，营运期间企业须按照达标排放要求，接受领导部门的监督与管理。</w:t>
                  </w:r>
                </w:p>
              </w:tc>
              <w:tc>
                <w:tcPr>
                  <w:tcW w:w="451" w:type="pct"/>
                  <w:noWrap w:val="0"/>
                  <w:vAlign w:val="center"/>
                </w:tcPr>
                <w:p w14:paraId="5D0493E3">
                  <w:pPr>
                    <w:pStyle w:val="22"/>
                    <w:bidi w:val="0"/>
                    <w:rPr>
                      <w:rFonts w:hint="eastAsia"/>
                      <w:color w:val="auto"/>
                      <w:lang w:val="en-US" w:eastAsia="zh-CN"/>
                    </w:rPr>
                  </w:pPr>
                  <w:r>
                    <w:rPr>
                      <w:rFonts w:hint="eastAsia"/>
                      <w:color w:val="auto"/>
                      <w:lang w:val="en-US" w:eastAsia="zh-CN"/>
                    </w:rPr>
                    <w:t>符合</w:t>
                  </w:r>
                </w:p>
              </w:tc>
            </w:tr>
            <w:tr w14:paraId="69FFA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585" w:hRule="atLeast"/>
                <w:jc w:val="center"/>
              </w:trPr>
              <w:tc>
                <w:tcPr>
                  <w:tcW w:w="593" w:type="pct"/>
                  <w:vMerge w:val="continue"/>
                  <w:noWrap w:val="0"/>
                  <w:vAlign w:val="center"/>
                </w:tcPr>
                <w:p w14:paraId="2182B731">
                  <w:pPr>
                    <w:pStyle w:val="22"/>
                    <w:bidi w:val="0"/>
                    <w:rPr>
                      <w:color w:val="0000FF"/>
                    </w:rPr>
                  </w:pPr>
                </w:p>
              </w:tc>
              <w:tc>
                <w:tcPr>
                  <w:tcW w:w="544" w:type="pct"/>
                  <w:vMerge w:val="continue"/>
                  <w:noWrap w:val="0"/>
                  <w:vAlign w:val="center"/>
                </w:tcPr>
                <w:p w14:paraId="77CABE33">
                  <w:pPr>
                    <w:pStyle w:val="22"/>
                    <w:bidi w:val="0"/>
                    <w:rPr>
                      <w:rFonts w:hint="eastAsia"/>
                      <w:color w:val="auto"/>
                    </w:rPr>
                  </w:pPr>
                </w:p>
              </w:tc>
              <w:tc>
                <w:tcPr>
                  <w:tcW w:w="2003" w:type="pct"/>
                  <w:noWrap w:val="0"/>
                  <w:vAlign w:val="center"/>
                </w:tcPr>
                <w:p w14:paraId="1DC5C642">
                  <w:pPr>
                    <w:pStyle w:val="22"/>
                    <w:bidi w:val="0"/>
                    <w:rPr>
                      <w:rFonts w:hint="eastAsia"/>
                      <w:color w:val="auto"/>
                    </w:rPr>
                  </w:pPr>
                  <w:r>
                    <w:rPr>
                      <w:rFonts w:hint="eastAsia"/>
                      <w:color w:val="auto"/>
                    </w:rPr>
                    <w:t>实行重点排放源排放浓度与去除效率双重控制。车间或生产设施收集排放的废气，VOCs初始排放速率大于等于2千克/小时的，应加大控制力度</w:t>
                  </w:r>
                  <w:r>
                    <w:rPr>
                      <w:rFonts w:hint="eastAsia"/>
                      <w:color w:val="auto"/>
                      <w:lang w:eastAsia="zh-CN"/>
                    </w:rPr>
                    <w:t>，</w:t>
                  </w:r>
                  <w:r>
                    <w:rPr>
                      <w:rFonts w:hint="eastAsia"/>
                      <w:color w:val="auto"/>
                    </w:rPr>
                    <w:t>除确保排放浓度稳定达标外，还应实行去除效率控制，去除效率不低于80%；采用的原辅材料符合国家有关低VOCs含量产品规定的除外，有行业排放标准的按其相关规定执行。</w:t>
                  </w:r>
                </w:p>
              </w:tc>
              <w:tc>
                <w:tcPr>
                  <w:tcW w:w="1407" w:type="pct"/>
                  <w:noWrap w:val="0"/>
                  <w:vAlign w:val="center"/>
                </w:tcPr>
                <w:p w14:paraId="3E4C2B30">
                  <w:pPr>
                    <w:pStyle w:val="22"/>
                    <w:bidi w:val="0"/>
                    <w:rPr>
                      <w:rFonts w:hint="default"/>
                      <w:color w:val="auto"/>
                      <w:lang w:val="en-US" w:eastAsia="zh-CN"/>
                    </w:rPr>
                  </w:pPr>
                  <w:r>
                    <w:rPr>
                      <w:rFonts w:hint="eastAsia"/>
                      <w:color w:val="auto"/>
                      <w:lang w:val="en-US" w:eastAsia="zh-CN"/>
                    </w:rPr>
                    <w:t>本项目有机废气采取二级活性炭吸附装置处理后经有组织排放，满足达标排放要求。</w:t>
                  </w:r>
                </w:p>
              </w:tc>
              <w:tc>
                <w:tcPr>
                  <w:tcW w:w="451" w:type="pct"/>
                  <w:noWrap w:val="0"/>
                  <w:vAlign w:val="center"/>
                </w:tcPr>
                <w:p w14:paraId="31F384F3">
                  <w:pPr>
                    <w:pStyle w:val="22"/>
                    <w:bidi w:val="0"/>
                    <w:rPr>
                      <w:rFonts w:hint="eastAsia"/>
                      <w:color w:val="auto"/>
                      <w:lang w:val="en-US" w:eastAsia="zh-CN"/>
                    </w:rPr>
                  </w:pPr>
                  <w:r>
                    <w:rPr>
                      <w:rFonts w:hint="eastAsia"/>
                      <w:color w:val="auto"/>
                      <w:lang w:val="en-US" w:eastAsia="zh-CN"/>
                    </w:rPr>
                    <w:t>符合</w:t>
                  </w:r>
                </w:p>
              </w:tc>
            </w:tr>
            <w:tr w14:paraId="0F2F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312" w:hRule="atLeast"/>
                <w:jc w:val="center"/>
              </w:trPr>
              <w:tc>
                <w:tcPr>
                  <w:tcW w:w="593" w:type="pct"/>
                  <w:vMerge w:val="continue"/>
                  <w:noWrap w:val="0"/>
                  <w:vAlign w:val="center"/>
                </w:tcPr>
                <w:p w14:paraId="77B99CF7">
                  <w:pPr>
                    <w:pStyle w:val="22"/>
                    <w:bidi w:val="0"/>
                    <w:rPr>
                      <w:color w:val="0000FF"/>
                    </w:rPr>
                  </w:pPr>
                </w:p>
              </w:tc>
              <w:tc>
                <w:tcPr>
                  <w:tcW w:w="544" w:type="pct"/>
                  <w:vMerge w:val="continue"/>
                  <w:noWrap w:val="0"/>
                  <w:vAlign w:val="center"/>
                </w:tcPr>
                <w:p w14:paraId="4953D7FB">
                  <w:pPr>
                    <w:pStyle w:val="22"/>
                    <w:bidi w:val="0"/>
                    <w:rPr>
                      <w:rFonts w:hint="eastAsia"/>
                      <w:color w:val="auto"/>
                    </w:rPr>
                  </w:pPr>
                </w:p>
              </w:tc>
              <w:tc>
                <w:tcPr>
                  <w:tcW w:w="2003" w:type="pct"/>
                  <w:noWrap w:val="0"/>
                  <w:vAlign w:val="center"/>
                </w:tcPr>
                <w:p w14:paraId="00CEC392">
                  <w:pPr>
                    <w:pStyle w:val="22"/>
                    <w:bidi w:val="0"/>
                    <w:rPr>
                      <w:rFonts w:hint="eastAsia"/>
                      <w:color w:val="auto"/>
                    </w:rPr>
                  </w:pPr>
                  <w:r>
                    <w:rPr>
                      <w:rFonts w:hint="eastAsia"/>
                      <w:color w:val="auto"/>
                    </w:rPr>
                    <w:t>实施技术、工艺、设备等生态化、循环化改造，加快布局分散的企业向园区集中，按要求设置生态隔离带，建设相应的防护工程</w:t>
                  </w:r>
                </w:p>
              </w:tc>
              <w:tc>
                <w:tcPr>
                  <w:tcW w:w="1407" w:type="pct"/>
                  <w:noWrap w:val="0"/>
                  <w:vAlign w:val="center"/>
                </w:tcPr>
                <w:p w14:paraId="0BAD34B7">
                  <w:pPr>
                    <w:pStyle w:val="22"/>
                    <w:bidi w:val="0"/>
                    <w:rPr>
                      <w:rFonts w:hint="default"/>
                      <w:color w:val="auto"/>
                      <w:lang w:val="en-US" w:eastAsia="zh-CN"/>
                    </w:rPr>
                  </w:pPr>
                  <w:r>
                    <w:rPr>
                      <w:rFonts w:hint="eastAsia"/>
                      <w:color w:val="auto"/>
                      <w:lang w:val="en-US" w:eastAsia="zh-CN"/>
                    </w:rPr>
                    <w:t>本项目选址位于园区</w:t>
                  </w:r>
                </w:p>
              </w:tc>
              <w:tc>
                <w:tcPr>
                  <w:tcW w:w="451" w:type="pct"/>
                  <w:noWrap w:val="0"/>
                  <w:vAlign w:val="center"/>
                </w:tcPr>
                <w:p w14:paraId="03C9F816">
                  <w:pPr>
                    <w:pStyle w:val="22"/>
                    <w:bidi w:val="0"/>
                    <w:rPr>
                      <w:rFonts w:hint="eastAsia"/>
                      <w:color w:val="auto"/>
                      <w:lang w:val="en-US" w:eastAsia="zh-CN"/>
                    </w:rPr>
                  </w:pPr>
                  <w:r>
                    <w:rPr>
                      <w:rFonts w:hint="eastAsia"/>
                      <w:color w:val="auto"/>
                      <w:lang w:val="en-US" w:eastAsia="zh-CN"/>
                    </w:rPr>
                    <w:t>符合</w:t>
                  </w:r>
                </w:p>
              </w:tc>
            </w:tr>
            <w:tr w14:paraId="4484F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515" w:hRule="atLeast"/>
                <w:jc w:val="center"/>
              </w:trPr>
              <w:tc>
                <w:tcPr>
                  <w:tcW w:w="593" w:type="pct"/>
                  <w:vMerge w:val="continue"/>
                  <w:noWrap w:val="0"/>
                  <w:vAlign w:val="center"/>
                </w:tcPr>
                <w:p w14:paraId="71E6547F">
                  <w:pPr>
                    <w:pStyle w:val="22"/>
                    <w:bidi w:val="0"/>
                    <w:rPr>
                      <w:color w:val="0000FF"/>
                    </w:rPr>
                  </w:pPr>
                </w:p>
              </w:tc>
              <w:tc>
                <w:tcPr>
                  <w:tcW w:w="544" w:type="pct"/>
                  <w:vMerge w:val="continue"/>
                  <w:noWrap w:val="0"/>
                  <w:vAlign w:val="center"/>
                </w:tcPr>
                <w:p w14:paraId="780D7ACC">
                  <w:pPr>
                    <w:pStyle w:val="22"/>
                    <w:bidi w:val="0"/>
                    <w:rPr>
                      <w:rFonts w:hint="eastAsia"/>
                      <w:color w:val="0000FF"/>
                    </w:rPr>
                  </w:pPr>
                </w:p>
              </w:tc>
              <w:tc>
                <w:tcPr>
                  <w:tcW w:w="2003" w:type="pct"/>
                  <w:noWrap w:val="0"/>
                  <w:vAlign w:val="center"/>
                </w:tcPr>
                <w:p w14:paraId="4CA188F9">
                  <w:pPr>
                    <w:pStyle w:val="22"/>
                    <w:bidi w:val="0"/>
                    <w:rPr>
                      <w:rFonts w:hint="eastAsia"/>
                      <w:color w:val="auto"/>
                    </w:rPr>
                  </w:pPr>
                  <w:r>
                    <w:rPr>
                      <w:rFonts w:hint="eastAsia"/>
                      <w:color w:val="auto"/>
                    </w:rPr>
                    <w:t>污染物排放标准中有特别排放限值的标准的行业，二氧化硫、氮氧化物、颗粒物、挥发性有机物（VOCs）全面执行大气污染物特别排放限值。已核发排污许可证的，应严格执行许可要求。</w:t>
                  </w:r>
                </w:p>
              </w:tc>
              <w:tc>
                <w:tcPr>
                  <w:tcW w:w="1407" w:type="pct"/>
                  <w:noWrap w:val="0"/>
                  <w:vAlign w:val="center"/>
                </w:tcPr>
                <w:p w14:paraId="4DD1B7B7">
                  <w:pPr>
                    <w:pStyle w:val="22"/>
                    <w:bidi w:val="0"/>
                    <w:rPr>
                      <w:rFonts w:hint="default"/>
                      <w:color w:val="auto"/>
                      <w:lang w:val="en-US" w:eastAsia="zh-CN"/>
                    </w:rPr>
                  </w:pPr>
                  <w:r>
                    <w:rPr>
                      <w:rFonts w:hint="eastAsia"/>
                      <w:color w:val="auto"/>
                      <w:lang w:val="en-US" w:eastAsia="zh-CN"/>
                    </w:rPr>
                    <w:t>有机废气对照行业标准和地标，从严执行</w:t>
                  </w:r>
                </w:p>
              </w:tc>
              <w:tc>
                <w:tcPr>
                  <w:tcW w:w="451" w:type="pct"/>
                  <w:noWrap w:val="0"/>
                  <w:vAlign w:val="center"/>
                </w:tcPr>
                <w:p w14:paraId="5D8D26A6">
                  <w:pPr>
                    <w:pStyle w:val="22"/>
                    <w:bidi w:val="0"/>
                    <w:rPr>
                      <w:rFonts w:hint="eastAsia"/>
                      <w:color w:val="auto"/>
                      <w:lang w:val="en-US" w:eastAsia="zh-CN"/>
                    </w:rPr>
                  </w:pPr>
                  <w:r>
                    <w:rPr>
                      <w:rFonts w:hint="eastAsia"/>
                      <w:color w:val="auto"/>
                      <w:lang w:val="en-US" w:eastAsia="zh-CN"/>
                    </w:rPr>
                    <w:t>符合</w:t>
                  </w:r>
                </w:p>
              </w:tc>
            </w:tr>
            <w:tr w14:paraId="65F6A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890" w:hRule="atLeast"/>
                <w:jc w:val="center"/>
              </w:trPr>
              <w:tc>
                <w:tcPr>
                  <w:tcW w:w="593" w:type="pct"/>
                  <w:vMerge w:val="continue"/>
                  <w:noWrap w:val="0"/>
                  <w:vAlign w:val="center"/>
                </w:tcPr>
                <w:p w14:paraId="287CE938">
                  <w:pPr>
                    <w:pStyle w:val="22"/>
                    <w:bidi w:val="0"/>
                    <w:rPr>
                      <w:color w:val="0000FF"/>
                    </w:rPr>
                  </w:pPr>
                </w:p>
              </w:tc>
              <w:tc>
                <w:tcPr>
                  <w:tcW w:w="544" w:type="pct"/>
                  <w:vMerge w:val="continue"/>
                  <w:noWrap w:val="0"/>
                  <w:vAlign w:val="center"/>
                </w:tcPr>
                <w:p w14:paraId="7BE6E6C8">
                  <w:pPr>
                    <w:pStyle w:val="22"/>
                    <w:bidi w:val="0"/>
                    <w:rPr>
                      <w:rFonts w:hint="eastAsia"/>
                      <w:color w:val="0000FF"/>
                    </w:rPr>
                  </w:pPr>
                </w:p>
              </w:tc>
              <w:tc>
                <w:tcPr>
                  <w:tcW w:w="2003" w:type="pct"/>
                  <w:noWrap w:val="0"/>
                  <w:vAlign w:val="center"/>
                </w:tcPr>
                <w:p w14:paraId="7DCFC575">
                  <w:pPr>
                    <w:pStyle w:val="22"/>
                    <w:bidi w:val="0"/>
                    <w:rPr>
                      <w:rFonts w:hint="eastAsia"/>
                      <w:color w:val="auto"/>
                    </w:rPr>
                  </w:pPr>
                  <w:r>
                    <w:rPr>
                      <w:rFonts w:hint="eastAsia"/>
                      <w:color w:val="auto"/>
                    </w:rPr>
                    <w:t>按《挥发性有机物无组织排放控制标准》（GB37822-2019）要求，做好VOCs物料储存、物料转移和输送、工艺过程、设备与管线组件、敞开液面VOCs排放，以及VOCs无组织排放废气收集处理系统要求。</w:t>
                  </w:r>
                </w:p>
              </w:tc>
              <w:tc>
                <w:tcPr>
                  <w:tcW w:w="1407" w:type="pct"/>
                  <w:noWrap w:val="0"/>
                  <w:vAlign w:val="center"/>
                </w:tcPr>
                <w:p w14:paraId="5C185411">
                  <w:pPr>
                    <w:pStyle w:val="22"/>
                    <w:bidi w:val="0"/>
                    <w:rPr>
                      <w:rFonts w:hint="default"/>
                      <w:color w:val="auto"/>
                      <w:lang w:val="en-US" w:eastAsia="zh-CN"/>
                    </w:rPr>
                  </w:pPr>
                  <w:r>
                    <w:rPr>
                      <w:rFonts w:hint="eastAsia"/>
                      <w:color w:val="auto"/>
                      <w:lang w:val="en-US" w:eastAsia="zh-CN"/>
                    </w:rPr>
                    <w:t>本项目所使用物料常温下不产生有机废气，使用新料PE、PP在加热熔融挤出环节产生有机废气，有机废气配套可行技术进行收集处理达标排放。</w:t>
                  </w:r>
                </w:p>
              </w:tc>
              <w:tc>
                <w:tcPr>
                  <w:tcW w:w="451" w:type="pct"/>
                  <w:noWrap w:val="0"/>
                  <w:vAlign w:val="center"/>
                </w:tcPr>
                <w:p w14:paraId="5CBF9EFA">
                  <w:pPr>
                    <w:pStyle w:val="22"/>
                    <w:bidi w:val="0"/>
                    <w:rPr>
                      <w:rFonts w:hint="eastAsia"/>
                      <w:color w:val="auto"/>
                      <w:lang w:val="en-US" w:eastAsia="zh-CN"/>
                    </w:rPr>
                  </w:pPr>
                  <w:r>
                    <w:rPr>
                      <w:rFonts w:hint="eastAsia"/>
                      <w:color w:val="auto"/>
                      <w:lang w:val="en-US" w:eastAsia="zh-CN"/>
                    </w:rPr>
                    <w:t>符合</w:t>
                  </w:r>
                </w:p>
              </w:tc>
            </w:tr>
            <w:tr w14:paraId="1C16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687" w:hRule="atLeast"/>
                <w:jc w:val="center"/>
              </w:trPr>
              <w:tc>
                <w:tcPr>
                  <w:tcW w:w="593" w:type="pct"/>
                  <w:vMerge w:val="continue"/>
                  <w:noWrap w:val="0"/>
                  <w:vAlign w:val="center"/>
                </w:tcPr>
                <w:p w14:paraId="35EA4CA6">
                  <w:pPr>
                    <w:pStyle w:val="22"/>
                    <w:bidi w:val="0"/>
                    <w:rPr>
                      <w:color w:val="0000FF"/>
                    </w:rPr>
                  </w:pPr>
                </w:p>
              </w:tc>
              <w:tc>
                <w:tcPr>
                  <w:tcW w:w="544" w:type="pct"/>
                  <w:vMerge w:val="continue"/>
                  <w:noWrap w:val="0"/>
                  <w:vAlign w:val="center"/>
                </w:tcPr>
                <w:p w14:paraId="1995CE02">
                  <w:pPr>
                    <w:pStyle w:val="22"/>
                    <w:bidi w:val="0"/>
                    <w:rPr>
                      <w:rFonts w:hint="eastAsia"/>
                      <w:color w:val="0000FF"/>
                    </w:rPr>
                  </w:pPr>
                </w:p>
              </w:tc>
              <w:tc>
                <w:tcPr>
                  <w:tcW w:w="2003" w:type="pct"/>
                  <w:noWrap w:val="0"/>
                  <w:vAlign w:val="center"/>
                </w:tcPr>
                <w:p w14:paraId="4B29E608">
                  <w:pPr>
                    <w:pStyle w:val="22"/>
                    <w:bidi w:val="0"/>
                    <w:rPr>
                      <w:rFonts w:hint="eastAsia"/>
                      <w:color w:val="auto"/>
                    </w:rPr>
                  </w:pPr>
                  <w:r>
                    <w:rPr>
                      <w:color w:val="auto"/>
                    </w:rPr>
                    <w:t>建筑工程施工现场扬尘污染防治应做到工地周边围挡、物料堆放覆盖、路面硬化、土方开挖湿法作业、出入车辆清洗、渣土车辆密闭运输“六个百分之百”。具体要求执行《建筑工程施工和预拌混凝土生产扬尘污染防治标准》（试行）。</w:t>
                  </w:r>
                </w:p>
              </w:tc>
              <w:tc>
                <w:tcPr>
                  <w:tcW w:w="1407" w:type="pct"/>
                  <w:noWrap w:val="0"/>
                  <w:vAlign w:val="center"/>
                </w:tcPr>
                <w:p w14:paraId="2D80D40A">
                  <w:pPr>
                    <w:pStyle w:val="22"/>
                    <w:bidi w:val="0"/>
                    <w:rPr>
                      <w:rFonts w:hint="default"/>
                      <w:color w:val="auto"/>
                      <w:lang w:val="en-US" w:eastAsia="zh-CN"/>
                    </w:rPr>
                  </w:pPr>
                  <w:r>
                    <w:rPr>
                      <w:rFonts w:hint="eastAsia"/>
                      <w:color w:val="auto"/>
                      <w:lang w:val="en-US" w:eastAsia="zh-CN"/>
                    </w:rPr>
                    <w:t>本项目不涉及土建工程，不涉及施工期。</w:t>
                  </w:r>
                </w:p>
              </w:tc>
              <w:tc>
                <w:tcPr>
                  <w:tcW w:w="451" w:type="pct"/>
                  <w:noWrap w:val="0"/>
                  <w:vAlign w:val="center"/>
                </w:tcPr>
                <w:p w14:paraId="66B09B6A">
                  <w:pPr>
                    <w:pStyle w:val="22"/>
                    <w:bidi w:val="0"/>
                    <w:rPr>
                      <w:rFonts w:hint="eastAsia"/>
                      <w:color w:val="auto"/>
                      <w:lang w:val="en-US" w:eastAsia="zh-CN"/>
                    </w:rPr>
                  </w:pPr>
                  <w:r>
                    <w:rPr>
                      <w:rFonts w:hint="eastAsia"/>
                      <w:color w:val="auto"/>
                      <w:lang w:val="en-US" w:eastAsia="zh-CN"/>
                    </w:rPr>
                    <w:t>符合</w:t>
                  </w:r>
                </w:p>
              </w:tc>
            </w:tr>
            <w:tr w14:paraId="735F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61" w:hRule="atLeast"/>
                <w:jc w:val="center"/>
              </w:trPr>
              <w:tc>
                <w:tcPr>
                  <w:tcW w:w="593" w:type="pct"/>
                  <w:vMerge w:val="continue"/>
                  <w:noWrap w:val="0"/>
                  <w:vAlign w:val="center"/>
                </w:tcPr>
                <w:p w14:paraId="40466D34">
                  <w:pPr>
                    <w:pStyle w:val="22"/>
                    <w:bidi w:val="0"/>
                    <w:rPr>
                      <w:color w:val="0000FF"/>
                    </w:rPr>
                  </w:pPr>
                </w:p>
              </w:tc>
              <w:tc>
                <w:tcPr>
                  <w:tcW w:w="544" w:type="pct"/>
                  <w:vMerge w:val="continue"/>
                  <w:noWrap w:val="0"/>
                  <w:vAlign w:val="center"/>
                </w:tcPr>
                <w:p w14:paraId="54ECBEDB">
                  <w:pPr>
                    <w:pStyle w:val="22"/>
                    <w:bidi w:val="0"/>
                    <w:rPr>
                      <w:rFonts w:hint="eastAsia"/>
                      <w:color w:val="0000FF"/>
                    </w:rPr>
                  </w:pPr>
                </w:p>
              </w:tc>
              <w:tc>
                <w:tcPr>
                  <w:tcW w:w="2003" w:type="pct"/>
                  <w:noWrap w:val="0"/>
                  <w:vAlign w:val="center"/>
                </w:tcPr>
                <w:p w14:paraId="3AAE907C">
                  <w:pPr>
                    <w:pStyle w:val="22"/>
                    <w:bidi w:val="0"/>
                    <w:rPr>
                      <w:rFonts w:hint="eastAsia"/>
                      <w:color w:val="auto"/>
                    </w:rPr>
                  </w:pPr>
                  <w:r>
                    <w:rPr>
                      <w:color w:val="auto"/>
                    </w:rPr>
                    <w:t>现有各类开发区、工业集聚区应全面实现污水集中处理</w:t>
                  </w:r>
                </w:p>
              </w:tc>
              <w:tc>
                <w:tcPr>
                  <w:tcW w:w="1407" w:type="pct"/>
                  <w:noWrap w:val="0"/>
                  <w:vAlign w:val="center"/>
                </w:tcPr>
                <w:p w14:paraId="6A048E8B">
                  <w:pPr>
                    <w:pStyle w:val="22"/>
                    <w:bidi w:val="0"/>
                    <w:rPr>
                      <w:rFonts w:hint="default"/>
                      <w:color w:val="auto"/>
                      <w:lang w:val="en-US" w:eastAsia="zh-CN"/>
                    </w:rPr>
                  </w:pPr>
                  <w:r>
                    <w:rPr>
                      <w:rFonts w:hint="eastAsia"/>
                      <w:color w:val="auto"/>
                      <w:lang w:val="en-US" w:eastAsia="zh-CN"/>
                    </w:rPr>
                    <w:t>根据核实，园区已建设有污水处理厂</w:t>
                  </w:r>
                </w:p>
              </w:tc>
              <w:tc>
                <w:tcPr>
                  <w:tcW w:w="451" w:type="pct"/>
                  <w:noWrap w:val="0"/>
                  <w:vAlign w:val="center"/>
                </w:tcPr>
                <w:p w14:paraId="3C003122">
                  <w:pPr>
                    <w:pStyle w:val="22"/>
                    <w:bidi w:val="0"/>
                    <w:rPr>
                      <w:rFonts w:hint="eastAsia"/>
                      <w:color w:val="auto"/>
                      <w:lang w:val="en-US" w:eastAsia="zh-CN"/>
                    </w:rPr>
                  </w:pPr>
                  <w:r>
                    <w:rPr>
                      <w:rFonts w:hint="eastAsia"/>
                      <w:color w:val="auto"/>
                      <w:lang w:val="en-US" w:eastAsia="zh-CN"/>
                    </w:rPr>
                    <w:t>符合</w:t>
                  </w:r>
                </w:p>
              </w:tc>
            </w:tr>
            <w:tr w14:paraId="420CD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151" w:hRule="atLeast"/>
                <w:jc w:val="center"/>
              </w:trPr>
              <w:tc>
                <w:tcPr>
                  <w:tcW w:w="593" w:type="pct"/>
                  <w:vMerge w:val="continue"/>
                  <w:noWrap w:val="0"/>
                  <w:vAlign w:val="center"/>
                </w:tcPr>
                <w:p w14:paraId="049787D2">
                  <w:pPr>
                    <w:pStyle w:val="22"/>
                    <w:bidi w:val="0"/>
                    <w:rPr>
                      <w:color w:val="0000FF"/>
                    </w:rPr>
                  </w:pPr>
                </w:p>
              </w:tc>
              <w:tc>
                <w:tcPr>
                  <w:tcW w:w="544" w:type="pct"/>
                  <w:noWrap w:val="0"/>
                  <w:vAlign w:val="center"/>
                </w:tcPr>
                <w:p w14:paraId="0786293E">
                  <w:pPr>
                    <w:pStyle w:val="22"/>
                    <w:bidi w:val="0"/>
                    <w:rPr>
                      <w:rFonts w:hint="eastAsia"/>
                      <w:color w:val="auto"/>
                    </w:rPr>
                  </w:pPr>
                  <w:r>
                    <w:rPr>
                      <w:rFonts w:hint="eastAsia"/>
                      <w:color w:val="auto"/>
                    </w:rPr>
                    <w:t>资源开发效率要求</w:t>
                  </w:r>
                </w:p>
              </w:tc>
              <w:tc>
                <w:tcPr>
                  <w:tcW w:w="2003" w:type="pct"/>
                  <w:noWrap w:val="0"/>
                  <w:vAlign w:val="center"/>
                </w:tcPr>
                <w:p w14:paraId="0E0B4B75">
                  <w:pPr>
                    <w:pStyle w:val="22"/>
                    <w:bidi w:val="0"/>
                    <w:rPr>
                      <w:color w:val="auto"/>
                    </w:rPr>
                  </w:pPr>
                  <w:r>
                    <w:rPr>
                      <w:color w:val="auto"/>
                    </w:rPr>
                    <w:t>实施“煤改气”和“以电代煤”。在陶瓷、玻璃、铸造等行业积极推进天然气替代煤气化工程，有序实施燃煤设施煤改气。结合区域和行业用能特点，积极推进工业生产、建筑供暖供冷、交通运输、农业生产、居民生活五大领域实施“以电代煤”，着力提高电能占终端能源消费比重。</w:t>
                  </w:r>
                </w:p>
              </w:tc>
              <w:tc>
                <w:tcPr>
                  <w:tcW w:w="1407" w:type="pct"/>
                  <w:noWrap w:val="0"/>
                  <w:vAlign w:val="center"/>
                </w:tcPr>
                <w:p w14:paraId="0E539314">
                  <w:pPr>
                    <w:pStyle w:val="22"/>
                    <w:bidi w:val="0"/>
                    <w:rPr>
                      <w:rFonts w:hint="default"/>
                      <w:color w:val="auto"/>
                      <w:lang w:val="en-US" w:eastAsia="zh-CN"/>
                    </w:rPr>
                  </w:pPr>
                  <w:r>
                    <w:rPr>
                      <w:rFonts w:hint="eastAsia"/>
                      <w:color w:val="auto"/>
                      <w:lang w:val="en-US" w:eastAsia="zh-CN"/>
                    </w:rPr>
                    <w:t>本项目能源使用电能，不涉及天然气、煤</w:t>
                  </w:r>
                </w:p>
              </w:tc>
              <w:tc>
                <w:tcPr>
                  <w:tcW w:w="451" w:type="pct"/>
                  <w:noWrap w:val="0"/>
                  <w:vAlign w:val="center"/>
                </w:tcPr>
                <w:p w14:paraId="4B0C0D56">
                  <w:pPr>
                    <w:pStyle w:val="22"/>
                    <w:bidi w:val="0"/>
                    <w:rPr>
                      <w:rFonts w:hint="eastAsia"/>
                      <w:color w:val="auto"/>
                      <w:lang w:val="en-US" w:eastAsia="zh-CN"/>
                    </w:rPr>
                  </w:pPr>
                  <w:r>
                    <w:rPr>
                      <w:rFonts w:hint="eastAsia"/>
                      <w:color w:val="auto"/>
                      <w:lang w:val="en-US" w:eastAsia="zh-CN"/>
                    </w:rPr>
                    <w:t>符合</w:t>
                  </w:r>
                </w:p>
              </w:tc>
            </w:tr>
          </w:tbl>
          <w:p w14:paraId="213C1BEE">
            <w:pPr>
              <w:bidi w:val="0"/>
              <w:rPr>
                <w:rFonts w:hint="eastAsia"/>
                <w:color w:val="auto"/>
              </w:rPr>
            </w:pPr>
            <w:r>
              <w:rPr>
                <w:rFonts w:hint="eastAsia"/>
                <w:color w:val="auto"/>
              </w:rPr>
              <w:t>该项目运营过程中会产生一定的污染物，采取相应的污染防治措施后，各类污染物的排放对周围环境造成的影响较小，不会降低当地环境质量，不会触碰区域环境质量底线，</w:t>
            </w:r>
            <w:r>
              <w:rPr>
                <w:rFonts w:hint="eastAsia"/>
                <w:color w:val="auto"/>
                <w:lang w:val="en-US" w:eastAsia="zh-CN"/>
              </w:rPr>
              <w:t>因此本项目建设满足“三线一单”管控要求，</w:t>
            </w:r>
            <w:r>
              <w:rPr>
                <w:rFonts w:hint="eastAsia"/>
                <w:color w:val="auto"/>
              </w:rPr>
              <w:t>生态保护红线图见附图</w:t>
            </w:r>
            <w:r>
              <w:rPr>
                <w:rFonts w:hint="eastAsia"/>
                <w:color w:val="auto"/>
                <w:lang w:val="en-US" w:eastAsia="zh-CN"/>
              </w:rPr>
              <w:t>6</w:t>
            </w:r>
            <w:r>
              <w:rPr>
                <w:rFonts w:hint="eastAsia"/>
                <w:color w:val="auto"/>
              </w:rPr>
              <w:t>。</w:t>
            </w:r>
          </w:p>
          <w:p w14:paraId="5CE6DF25">
            <w:pPr>
              <w:bidi w:val="0"/>
              <w:rPr>
                <w:rFonts w:hint="eastAsia"/>
                <w:color w:val="auto"/>
              </w:rPr>
            </w:pPr>
          </w:p>
          <w:p w14:paraId="7AA22C93">
            <w:pPr>
              <w:bidi w:val="0"/>
              <w:rPr>
                <w:rFonts w:hint="eastAsia"/>
                <w:color w:val="0000FF"/>
              </w:rPr>
            </w:pPr>
          </w:p>
          <w:p w14:paraId="6FE47BF6">
            <w:pPr>
              <w:bidi w:val="0"/>
              <w:rPr>
                <w:rFonts w:hint="eastAsia"/>
                <w:color w:val="0000FF"/>
              </w:rPr>
            </w:pPr>
          </w:p>
          <w:p w14:paraId="2FB957BD">
            <w:pPr>
              <w:bidi w:val="0"/>
              <w:rPr>
                <w:rFonts w:hint="eastAsia"/>
                <w:color w:val="0000FF"/>
              </w:rPr>
            </w:pPr>
          </w:p>
          <w:p w14:paraId="1FCB20BD">
            <w:pPr>
              <w:bidi w:val="0"/>
              <w:rPr>
                <w:rFonts w:hint="eastAsia"/>
                <w:color w:val="0000FF"/>
              </w:rPr>
            </w:pPr>
          </w:p>
          <w:p w14:paraId="51F2124D">
            <w:pPr>
              <w:bidi w:val="0"/>
              <w:rPr>
                <w:rFonts w:hint="eastAsia"/>
                <w:color w:val="0000FF"/>
              </w:rPr>
            </w:pPr>
          </w:p>
          <w:p w14:paraId="2A5F3F2C">
            <w:pPr>
              <w:bidi w:val="0"/>
              <w:rPr>
                <w:rFonts w:hint="eastAsia"/>
                <w:color w:val="0000FF"/>
              </w:rPr>
            </w:pPr>
          </w:p>
          <w:p w14:paraId="279F81DE">
            <w:pPr>
              <w:bidi w:val="0"/>
              <w:rPr>
                <w:rFonts w:hint="eastAsia"/>
                <w:color w:val="0000FF"/>
                <w:lang w:eastAsia="zh-CN"/>
              </w:rPr>
            </w:pPr>
          </w:p>
        </w:tc>
      </w:tr>
    </w:tbl>
    <w:p w14:paraId="3675909C">
      <w:pPr>
        <w:bidi w:val="0"/>
        <w:ind w:left="0" w:leftChars="0" w:firstLine="0" w:firstLineChars="0"/>
        <w:rPr>
          <w:color w:val="0000FF"/>
        </w:rPr>
        <w:sectPr>
          <w:footerReference r:id="rId6" w:type="default"/>
          <w:pgSz w:w="11906" w:h="16838"/>
          <w:pgMar w:top="1440" w:right="1800" w:bottom="1440" w:left="1800" w:header="851" w:footer="1077" w:gutter="0"/>
          <w:pgBorders>
            <w:top w:val="none" w:sz="0" w:space="0"/>
            <w:left w:val="none" w:sz="0" w:space="0"/>
            <w:bottom w:val="none" w:sz="0" w:space="0"/>
            <w:right w:val="none" w:sz="0" w:space="0"/>
          </w:pgBorders>
          <w:pgNumType w:start="1"/>
          <w:cols w:space="720" w:num="1"/>
          <w:docGrid w:linePitch="312" w:charSpace="0"/>
        </w:sectPr>
      </w:pPr>
    </w:p>
    <w:p w14:paraId="69B9A507">
      <w:pPr>
        <w:pStyle w:val="3"/>
        <w:bidi w:val="0"/>
        <w:rPr>
          <w:color w:val="auto"/>
        </w:rPr>
      </w:pPr>
      <w:r>
        <w:rPr>
          <w:color w:val="auto"/>
        </w:rPr>
        <w:t>二、建设项目工程分析</w:t>
      </w:r>
    </w:p>
    <w:tbl>
      <w:tblPr>
        <w:tblStyle w:val="12"/>
        <w:tblW w:w="90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3" w:type="dxa"/>
          <w:bottom w:w="0" w:type="dxa"/>
          <w:right w:w="23" w:type="dxa"/>
        </w:tblCellMar>
      </w:tblPr>
      <w:tblGrid>
        <w:gridCol w:w="682"/>
        <w:gridCol w:w="8406"/>
      </w:tblGrid>
      <w:tr w14:paraId="7876CA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682" w:type="dxa"/>
            <w:noWrap w:val="0"/>
            <w:vAlign w:val="center"/>
          </w:tcPr>
          <w:p w14:paraId="489C5C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FF"/>
                <w:lang w:val="en-US" w:eastAsia="zh-CN"/>
              </w:rPr>
            </w:pPr>
            <w:r>
              <w:rPr>
                <w:color w:val="auto"/>
                <w:lang w:val="en-US" w:eastAsia="zh-CN"/>
              </w:rPr>
              <w:t>建设内容</w:t>
            </w:r>
          </w:p>
        </w:tc>
        <w:tc>
          <w:tcPr>
            <w:tcW w:w="8406" w:type="dxa"/>
            <w:noWrap w:val="0"/>
            <w:vAlign w:val="top"/>
          </w:tcPr>
          <w:p w14:paraId="30828E44">
            <w:pPr>
              <w:bidi w:val="0"/>
              <w:rPr>
                <w:rFonts w:hint="eastAsia"/>
                <w:b/>
                <w:bCs/>
                <w:color w:val="auto"/>
              </w:rPr>
            </w:pPr>
            <w:r>
              <w:rPr>
                <w:rFonts w:hint="eastAsia"/>
                <w:b/>
                <w:bCs/>
                <w:color w:val="auto"/>
                <w:lang w:val="en-US" w:eastAsia="zh-CN"/>
              </w:rPr>
              <w:t>2.</w:t>
            </w:r>
            <w:r>
              <w:rPr>
                <w:b/>
                <w:bCs/>
                <w:color w:val="auto"/>
              </w:rPr>
              <w:t>1</w:t>
            </w:r>
            <w:r>
              <w:rPr>
                <w:rFonts w:hint="eastAsia"/>
                <w:b/>
                <w:bCs/>
                <w:color w:val="auto"/>
              </w:rPr>
              <w:t>、项目由来</w:t>
            </w:r>
          </w:p>
          <w:p w14:paraId="6A162AFF">
            <w:pPr>
              <w:bidi w:val="0"/>
              <w:rPr>
                <w:rFonts w:hint="eastAsia"/>
                <w:color w:val="0000FF"/>
                <w:lang w:eastAsia="zh-CN"/>
              </w:rPr>
            </w:pPr>
            <w:r>
              <w:rPr>
                <w:rFonts w:hint="eastAsia"/>
                <w:color w:val="auto"/>
              </w:rPr>
              <w:t>淮南圣大管业有限公司成立于2025年12月25日，是一家以生产</w:t>
            </w:r>
            <w:r>
              <w:rPr>
                <w:rFonts w:hint="eastAsia"/>
                <w:color w:val="auto"/>
                <w:lang w:val="en-US" w:eastAsia="zh-CN"/>
              </w:rPr>
              <w:t>塑料制品、五金材料</w:t>
            </w:r>
            <w:r>
              <w:rPr>
                <w:rFonts w:hint="eastAsia"/>
                <w:color w:val="auto"/>
              </w:rPr>
              <w:t>及其应用推广服务为主的企业。</w:t>
            </w:r>
            <w:r>
              <w:rPr>
                <w:color w:val="auto"/>
              </w:rPr>
              <w:t>由于企业发展需求，</w:t>
            </w:r>
            <w:r>
              <w:rPr>
                <w:rFonts w:hint="eastAsia"/>
                <w:color w:val="auto"/>
                <w:lang w:val="en-US" w:eastAsia="zh-CN"/>
              </w:rPr>
              <w:t>拟</w:t>
            </w:r>
            <w:r>
              <w:rPr>
                <w:rFonts w:hint="eastAsia"/>
                <w:color w:val="auto"/>
              </w:rPr>
              <w:t>投资</w:t>
            </w:r>
            <w:r>
              <w:rPr>
                <w:rFonts w:hint="eastAsia"/>
                <w:color w:val="auto"/>
                <w:lang w:val="en-US" w:eastAsia="zh-CN"/>
              </w:rPr>
              <w:t>3400</w:t>
            </w:r>
            <w:r>
              <w:rPr>
                <w:rFonts w:hint="eastAsia"/>
                <w:color w:val="auto"/>
              </w:rPr>
              <w:t>万元，</w:t>
            </w:r>
            <w:r>
              <w:rPr>
                <w:rFonts w:hint="eastAsia"/>
                <w:color w:val="auto"/>
                <w:lang w:val="en-US" w:eastAsia="zh-CN"/>
              </w:rPr>
              <w:t>租赁潘集区经济开发区（北区）2号厂房5000</w:t>
            </w:r>
            <w:r>
              <w:rPr>
                <w:rFonts w:hint="default"/>
                <w:color w:val="auto"/>
                <w:lang w:val="en-US" w:eastAsia="zh-CN"/>
              </w:rPr>
              <w:t>m</w:t>
            </w:r>
            <w:r>
              <w:rPr>
                <w:rFonts w:hint="default"/>
                <w:color w:val="auto"/>
                <w:vertAlign w:val="superscript"/>
                <w:lang w:val="en-US" w:eastAsia="zh-CN"/>
              </w:rPr>
              <w:t>2</w:t>
            </w:r>
            <w:r>
              <w:rPr>
                <w:rFonts w:hint="eastAsia"/>
                <w:color w:val="auto"/>
                <w:lang w:val="en-US" w:eastAsia="zh-CN"/>
              </w:rPr>
              <w:t>，建设圣大管业年产一万吨管材管件生产项目，项目建成后年产一万吨PPR、PE、PVC管材管件。项目分三期建设，一期建设生产车间、仓库、办公用房等基础设施；并购置生产2000吨管材管件基础加工设备：二期购置生产3000吨管材管件的智能化系统设备及其他辅助设备：三期增加生产5000吨智能化系统管材管件生产设备，并建设研发中心。</w:t>
            </w:r>
          </w:p>
          <w:p w14:paraId="7BDF1E96">
            <w:pPr>
              <w:bidi w:val="0"/>
              <w:rPr>
                <w:color w:val="auto"/>
              </w:rPr>
            </w:pPr>
            <w:r>
              <w:rPr>
                <w:color w:val="auto"/>
              </w:rPr>
              <w:t>202</w:t>
            </w:r>
            <w:r>
              <w:rPr>
                <w:rFonts w:hint="eastAsia"/>
                <w:color w:val="auto"/>
                <w:lang w:val="en-US" w:eastAsia="zh-CN"/>
              </w:rPr>
              <w:t>6</w:t>
            </w:r>
            <w:r>
              <w:rPr>
                <w:color w:val="auto"/>
              </w:rPr>
              <w:t>年</w:t>
            </w:r>
            <w:r>
              <w:rPr>
                <w:rFonts w:hint="eastAsia"/>
                <w:color w:val="auto"/>
                <w:lang w:val="en-US" w:eastAsia="zh-CN"/>
              </w:rPr>
              <w:t>1</w:t>
            </w:r>
            <w:r>
              <w:rPr>
                <w:color w:val="auto"/>
              </w:rPr>
              <w:t>月</w:t>
            </w:r>
            <w:r>
              <w:rPr>
                <w:rFonts w:hint="eastAsia"/>
                <w:color w:val="auto"/>
                <w:lang w:val="en-US" w:eastAsia="zh-CN"/>
              </w:rPr>
              <w:t>21</w:t>
            </w:r>
            <w:r>
              <w:rPr>
                <w:color w:val="auto"/>
              </w:rPr>
              <w:t>日，</w:t>
            </w:r>
            <w:r>
              <w:rPr>
                <w:rFonts w:hint="eastAsia"/>
                <w:color w:val="auto"/>
              </w:rPr>
              <w:t>淮南圣大管业有限公司</w:t>
            </w:r>
            <w:r>
              <w:rPr>
                <w:color w:val="auto"/>
              </w:rPr>
              <w:t>取得</w:t>
            </w:r>
            <w:r>
              <w:rPr>
                <w:rFonts w:hint="eastAsia"/>
                <w:color w:val="auto"/>
                <w:lang w:val="en-US" w:eastAsia="zh-CN"/>
              </w:rPr>
              <w:t>潘集发展改革委</w:t>
            </w:r>
            <w:r>
              <w:rPr>
                <w:color w:val="auto"/>
              </w:rPr>
              <w:t>关于</w:t>
            </w:r>
            <w:r>
              <w:rPr>
                <w:rFonts w:hint="eastAsia"/>
                <w:color w:val="auto"/>
                <w:lang w:eastAsia="zh-CN"/>
              </w:rPr>
              <w:t>“</w:t>
            </w:r>
            <w:r>
              <w:rPr>
                <w:rFonts w:hint="eastAsia"/>
                <w:color w:val="auto"/>
                <w:lang w:val="en-US" w:eastAsia="zh-CN"/>
              </w:rPr>
              <w:t>圣大管业年产一万吨管材管件生产项目</w:t>
            </w:r>
            <w:r>
              <w:rPr>
                <w:rFonts w:hint="eastAsia"/>
                <w:color w:val="auto"/>
                <w:lang w:eastAsia="zh-CN"/>
              </w:rPr>
              <w:t>”</w:t>
            </w:r>
            <w:r>
              <w:rPr>
                <w:color w:val="auto"/>
              </w:rPr>
              <w:t>的备案表（项目代码：</w:t>
            </w:r>
            <w:r>
              <w:rPr>
                <w:rFonts w:hint="eastAsia"/>
                <w:color w:val="auto"/>
              </w:rPr>
              <w:t>2601-340406-04-01-965787</w:t>
            </w:r>
            <w:r>
              <w:rPr>
                <w:color w:val="auto"/>
              </w:rPr>
              <w:t>），同时在实施过程中，将有</w:t>
            </w:r>
            <w:r>
              <w:rPr>
                <w:rFonts w:hint="eastAsia"/>
                <w:color w:val="auto"/>
                <w:lang w:val="en-US" w:eastAsia="zh-CN"/>
              </w:rPr>
              <w:t>废水、</w:t>
            </w:r>
            <w:r>
              <w:rPr>
                <w:color w:val="auto"/>
              </w:rPr>
              <w:t>噪声、废气和固废等污染物的产生。根据《中华人民共和国环境保护法》《中华人民共和国环境影响评价法》和《建设项目环境保护管理条例》等文件规定，项目须进行环境影响评价。</w:t>
            </w:r>
            <w:r>
              <w:rPr>
                <w:rFonts w:hint="eastAsia"/>
                <w:color w:val="auto"/>
              </w:rPr>
              <w:t>项目</w:t>
            </w:r>
            <w:r>
              <w:rPr>
                <w:rFonts w:hint="eastAsia"/>
                <w:color w:val="auto"/>
                <w:lang w:val="en-US" w:eastAsia="zh-CN"/>
              </w:rPr>
              <w:t>外购新塑料粒子PP、PE添加少量色母经过加热熔融挤出生产管材管件，不涉及表面涂装及溶剂型涂料的使用，不使用再生塑料，</w:t>
            </w:r>
            <w:r>
              <w:rPr>
                <w:color w:val="auto"/>
              </w:rPr>
              <w:t>对照《建设项目环境影响评价分类管理名录》（2021年版），本项目属于</w:t>
            </w:r>
            <w:r>
              <w:rPr>
                <w:rFonts w:hint="eastAsia"/>
                <w:color w:val="auto"/>
                <w:lang w:eastAsia="zh-CN"/>
              </w:rPr>
              <w:t>“二十六、橡胶和塑料制品业29—</w:t>
            </w:r>
            <w:r>
              <w:rPr>
                <w:rFonts w:hint="eastAsia"/>
                <w:color w:val="auto"/>
              </w:rPr>
              <w:t>其他（年用非溶剂型低VOCs含量涂料10吨以下的除外）</w:t>
            </w:r>
            <w:r>
              <w:rPr>
                <w:rFonts w:hint="eastAsia"/>
                <w:color w:val="auto"/>
                <w:lang w:eastAsia="zh-CN"/>
              </w:rPr>
              <w:t>”</w:t>
            </w:r>
            <w:r>
              <w:rPr>
                <w:color w:val="auto"/>
              </w:rPr>
              <w:t>，因此应编制环境影响报告表。</w:t>
            </w:r>
          </w:p>
          <w:p w14:paraId="77C2C209">
            <w:pPr>
              <w:pStyle w:val="21"/>
              <w:bidi w:val="0"/>
              <w:rPr>
                <w:color w:val="auto"/>
              </w:rPr>
            </w:pPr>
            <w:r>
              <w:rPr>
                <w:rFonts w:hint="eastAsia"/>
                <w:color w:val="auto"/>
              </w:rPr>
              <w:t xml:space="preserve">表2-1 </w:t>
            </w:r>
            <w:r>
              <w:rPr>
                <w:rFonts w:hint="eastAsia"/>
                <w:color w:val="auto"/>
                <w:lang w:val="en-US" w:eastAsia="zh-CN"/>
              </w:rPr>
              <w:t xml:space="preserve"> </w:t>
            </w:r>
            <w:r>
              <w:rPr>
                <w:rFonts w:hint="eastAsia"/>
                <w:color w:val="auto"/>
              </w:rPr>
              <w:t>项目环评分类管理类别判定</w:t>
            </w:r>
          </w:p>
          <w:tbl>
            <w:tblPr>
              <w:tblStyle w:val="12"/>
              <w:tblW w:w="48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
              <w:gridCol w:w="1979"/>
              <w:gridCol w:w="3172"/>
              <w:gridCol w:w="1691"/>
              <w:gridCol w:w="860"/>
            </w:tblGrid>
            <w:tr w14:paraId="73E3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42" w:type="dxa"/>
                  <w:gridSpan w:val="2"/>
                  <w:tcBorders>
                    <w:tl2br w:val="single" w:color="auto" w:sz="4" w:space="0"/>
                  </w:tcBorders>
                  <w:noWrap w:val="0"/>
                  <w:vAlign w:val="center"/>
                </w:tcPr>
                <w:p w14:paraId="4EB455A4">
                  <w:pPr>
                    <w:pStyle w:val="22"/>
                    <w:bidi w:val="0"/>
                    <w:jc w:val="right"/>
                    <w:rPr>
                      <w:b/>
                      <w:bCs/>
                      <w:color w:val="auto"/>
                    </w:rPr>
                  </w:pPr>
                  <w:r>
                    <w:rPr>
                      <w:rFonts w:hint="eastAsia"/>
                      <w:b/>
                      <w:bCs/>
                      <w:color w:val="auto"/>
                    </w:rPr>
                    <w:t>环评类别</w:t>
                  </w:r>
                </w:p>
                <w:p w14:paraId="5A7E67B2">
                  <w:pPr>
                    <w:pStyle w:val="22"/>
                    <w:bidi w:val="0"/>
                    <w:jc w:val="left"/>
                    <w:rPr>
                      <w:b/>
                      <w:bCs/>
                      <w:color w:val="auto"/>
                    </w:rPr>
                  </w:pPr>
                  <w:r>
                    <w:rPr>
                      <w:rFonts w:hint="eastAsia"/>
                      <w:b/>
                      <w:bCs/>
                      <w:color w:val="auto"/>
                    </w:rPr>
                    <w:t>项目类别</w:t>
                  </w:r>
                </w:p>
              </w:tc>
              <w:tc>
                <w:tcPr>
                  <w:tcW w:w="3172" w:type="dxa"/>
                  <w:noWrap w:val="0"/>
                  <w:vAlign w:val="center"/>
                </w:tcPr>
                <w:p w14:paraId="58E410BE">
                  <w:pPr>
                    <w:pStyle w:val="22"/>
                    <w:bidi w:val="0"/>
                    <w:rPr>
                      <w:b/>
                      <w:bCs/>
                      <w:color w:val="auto"/>
                    </w:rPr>
                  </w:pPr>
                  <w:r>
                    <w:rPr>
                      <w:rFonts w:hint="eastAsia"/>
                      <w:b/>
                      <w:bCs/>
                      <w:color w:val="auto"/>
                    </w:rPr>
                    <w:t>报告书</w:t>
                  </w:r>
                </w:p>
              </w:tc>
              <w:tc>
                <w:tcPr>
                  <w:tcW w:w="1691" w:type="dxa"/>
                  <w:noWrap w:val="0"/>
                  <w:vAlign w:val="center"/>
                </w:tcPr>
                <w:p w14:paraId="7AF9B364">
                  <w:pPr>
                    <w:pStyle w:val="22"/>
                    <w:bidi w:val="0"/>
                    <w:rPr>
                      <w:b/>
                      <w:bCs/>
                      <w:color w:val="auto"/>
                    </w:rPr>
                  </w:pPr>
                  <w:r>
                    <w:rPr>
                      <w:rFonts w:hint="eastAsia"/>
                      <w:b/>
                      <w:bCs/>
                      <w:color w:val="auto"/>
                    </w:rPr>
                    <w:t>报告表</w:t>
                  </w:r>
                </w:p>
              </w:tc>
              <w:tc>
                <w:tcPr>
                  <w:tcW w:w="860" w:type="dxa"/>
                  <w:noWrap w:val="0"/>
                  <w:vAlign w:val="center"/>
                </w:tcPr>
                <w:p w14:paraId="70A15034">
                  <w:pPr>
                    <w:pStyle w:val="22"/>
                    <w:bidi w:val="0"/>
                    <w:rPr>
                      <w:b/>
                      <w:bCs/>
                      <w:color w:val="auto"/>
                    </w:rPr>
                  </w:pPr>
                  <w:r>
                    <w:rPr>
                      <w:rFonts w:hint="eastAsia"/>
                      <w:b/>
                      <w:bCs/>
                      <w:color w:val="auto"/>
                    </w:rPr>
                    <w:t>登记表</w:t>
                  </w:r>
                </w:p>
              </w:tc>
            </w:tr>
            <w:tr w14:paraId="32C5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5" w:type="dxa"/>
                  <w:gridSpan w:val="5"/>
                  <w:noWrap w:val="0"/>
                  <w:vAlign w:val="center"/>
                </w:tcPr>
                <w:p w14:paraId="07A53BDC">
                  <w:pPr>
                    <w:pStyle w:val="22"/>
                    <w:bidi w:val="0"/>
                    <w:jc w:val="left"/>
                    <w:rPr>
                      <w:rFonts w:hint="eastAsia"/>
                      <w:color w:val="auto"/>
                      <w:lang w:eastAsia="zh-CN"/>
                    </w:rPr>
                  </w:pPr>
                  <w:r>
                    <w:rPr>
                      <w:rFonts w:hint="eastAsia"/>
                      <w:color w:val="auto"/>
                    </w:rPr>
                    <w:t>二十六、橡胶和塑料制品业 29</w:t>
                  </w:r>
                </w:p>
              </w:tc>
            </w:tr>
            <w:tr w14:paraId="2BD4C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3" w:type="dxa"/>
                  <w:noWrap w:val="0"/>
                  <w:vAlign w:val="center"/>
                </w:tcPr>
                <w:p w14:paraId="5330C218">
                  <w:pPr>
                    <w:pStyle w:val="22"/>
                    <w:bidi w:val="0"/>
                    <w:rPr>
                      <w:rFonts w:hint="default"/>
                      <w:color w:val="auto"/>
                      <w:lang w:val="en-US" w:eastAsia="zh-CN"/>
                    </w:rPr>
                  </w:pPr>
                  <w:r>
                    <w:rPr>
                      <w:rFonts w:hint="eastAsia"/>
                      <w:color w:val="auto"/>
                      <w:lang w:val="en-US" w:eastAsia="zh-CN"/>
                    </w:rPr>
                    <w:t>53</w:t>
                  </w:r>
                </w:p>
              </w:tc>
              <w:tc>
                <w:tcPr>
                  <w:tcW w:w="1979" w:type="dxa"/>
                  <w:noWrap w:val="0"/>
                  <w:vAlign w:val="center"/>
                </w:tcPr>
                <w:p w14:paraId="64FE47B0">
                  <w:pPr>
                    <w:pStyle w:val="22"/>
                    <w:bidi w:val="0"/>
                    <w:rPr>
                      <w:color w:val="auto"/>
                    </w:rPr>
                  </w:pPr>
                  <w:r>
                    <w:rPr>
                      <w:rFonts w:hint="eastAsia"/>
                      <w:color w:val="auto"/>
                    </w:rPr>
                    <w:t>塑料制品业292</w:t>
                  </w:r>
                </w:p>
              </w:tc>
              <w:tc>
                <w:tcPr>
                  <w:tcW w:w="3172" w:type="dxa"/>
                  <w:noWrap w:val="0"/>
                  <w:vAlign w:val="center"/>
                </w:tcPr>
                <w:p w14:paraId="2B052C6B">
                  <w:pPr>
                    <w:pStyle w:val="22"/>
                    <w:bidi w:val="0"/>
                    <w:rPr>
                      <w:color w:val="auto"/>
                    </w:rPr>
                  </w:pPr>
                  <w:r>
                    <w:rPr>
                      <w:rFonts w:hint="eastAsia"/>
                      <w:color w:val="auto"/>
                    </w:rPr>
                    <w:t>以再生塑料为原料生产的；有电镀工艺的；年用溶剂型胶粘剂10吨及以上的；年用溶剂型涂料（含稀释剂）10吨及以上的</w:t>
                  </w:r>
                </w:p>
              </w:tc>
              <w:tc>
                <w:tcPr>
                  <w:tcW w:w="1691" w:type="dxa"/>
                  <w:shd w:val="clear" w:color="auto" w:fill="D7D7D7" w:themeFill="background1" w:themeFillShade="D8"/>
                  <w:noWrap w:val="0"/>
                  <w:vAlign w:val="center"/>
                </w:tcPr>
                <w:p w14:paraId="11C0129B">
                  <w:pPr>
                    <w:pStyle w:val="22"/>
                    <w:bidi w:val="0"/>
                    <w:rPr>
                      <w:color w:val="auto"/>
                    </w:rPr>
                  </w:pPr>
                  <w:r>
                    <w:rPr>
                      <w:rFonts w:hint="eastAsia"/>
                      <w:b/>
                      <w:bCs/>
                      <w:color w:val="auto"/>
                    </w:rPr>
                    <w:t>其他</w:t>
                  </w:r>
                  <w:r>
                    <w:rPr>
                      <w:rFonts w:hint="eastAsia"/>
                      <w:color w:val="auto"/>
                    </w:rPr>
                    <w:t>（年用非溶剂型低VOCs含量涂料10吨以下的除外）</w:t>
                  </w:r>
                </w:p>
              </w:tc>
              <w:tc>
                <w:tcPr>
                  <w:tcW w:w="860" w:type="dxa"/>
                  <w:noWrap w:val="0"/>
                  <w:vAlign w:val="center"/>
                </w:tcPr>
                <w:p w14:paraId="7923AD1F">
                  <w:pPr>
                    <w:pStyle w:val="22"/>
                    <w:bidi w:val="0"/>
                    <w:rPr>
                      <w:color w:val="auto"/>
                    </w:rPr>
                  </w:pPr>
                  <w:r>
                    <w:rPr>
                      <w:rFonts w:hint="eastAsia"/>
                      <w:color w:val="auto"/>
                    </w:rPr>
                    <w:t>/</w:t>
                  </w:r>
                </w:p>
              </w:tc>
            </w:tr>
          </w:tbl>
          <w:p w14:paraId="76E2CE95">
            <w:pPr>
              <w:bidi w:val="0"/>
              <w:rPr>
                <w:rFonts w:hint="eastAsia"/>
                <w:color w:val="auto"/>
              </w:rPr>
            </w:pPr>
            <w:r>
              <w:rPr>
                <w:color w:val="auto"/>
              </w:rPr>
              <w:t>对照《固定污染源排污许可分类管理名录》（2019年版），本项目属于《名录》中</w:t>
            </w:r>
            <w:r>
              <w:rPr>
                <w:rFonts w:hint="eastAsia"/>
                <w:color w:val="auto"/>
                <w:lang w:eastAsia="zh-CN"/>
              </w:rPr>
              <w:t>“</w:t>
            </w:r>
            <w:r>
              <w:rPr>
                <w:rFonts w:hint="eastAsia"/>
                <w:color w:val="auto"/>
              </w:rPr>
              <w:t>二十四、橡胶和塑料制品业29</w:t>
            </w:r>
            <w:r>
              <w:rPr>
                <w:rFonts w:hint="eastAsia"/>
                <w:color w:val="auto"/>
                <w:lang w:eastAsia="zh-CN"/>
              </w:rPr>
              <w:t>，</w:t>
            </w:r>
            <w:r>
              <w:rPr>
                <w:rFonts w:hint="eastAsia"/>
                <w:color w:val="auto"/>
                <w:lang w:val="en-US" w:eastAsia="zh-CN"/>
              </w:rPr>
              <w:t>其他”</w:t>
            </w:r>
            <w:r>
              <w:rPr>
                <w:color w:val="auto"/>
              </w:rPr>
              <w:t>，属于排污许可中</w:t>
            </w:r>
            <w:r>
              <w:rPr>
                <w:rFonts w:hint="eastAsia"/>
                <w:color w:val="auto"/>
                <w:lang w:eastAsia="zh-CN"/>
              </w:rPr>
              <w:t>“</w:t>
            </w:r>
            <w:r>
              <w:rPr>
                <w:rFonts w:hint="eastAsia"/>
                <w:color w:val="auto"/>
              </w:rPr>
              <w:t>登记</w:t>
            </w:r>
            <w:r>
              <w:rPr>
                <w:color w:val="auto"/>
              </w:rPr>
              <w:t>管理</w:t>
            </w:r>
            <w:r>
              <w:rPr>
                <w:rFonts w:hint="eastAsia"/>
                <w:color w:val="auto"/>
                <w:lang w:eastAsia="zh-CN"/>
              </w:rPr>
              <w:t>”</w:t>
            </w:r>
            <w:r>
              <w:rPr>
                <w:rFonts w:hint="eastAsia"/>
                <w:color w:val="auto"/>
              </w:rPr>
              <w:t>，</w:t>
            </w:r>
            <w:r>
              <w:rPr>
                <w:color w:val="auto"/>
              </w:rPr>
              <w:t>因此本项目</w:t>
            </w:r>
            <w:r>
              <w:rPr>
                <w:rFonts w:hint="eastAsia"/>
                <w:color w:val="auto"/>
              </w:rPr>
              <w:t>在实际排污前需在</w:t>
            </w:r>
            <w:r>
              <w:rPr>
                <w:color w:val="auto"/>
              </w:rPr>
              <w:t>全国排污许可证管理信息平台填报</w:t>
            </w:r>
            <w:r>
              <w:rPr>
                <w:rFonts w:hint="eastAsia"/>
                <w:color w:val="auto"/>
              </w:rPr>
              <w:t>排污登记表，完善排污信息。</w:t>
            </w:r>
          </w:p>
          <w:p w14:paraId="2B66B842">
            <w:pPr>
              <w:pStyle w:val="21"/>
              <w:bidi w:val="0"/>
              <w:rPr>
                <w:color w:val="auto"/>
              </w:rPr>
            </w:pPr>
            <w:r>
              <w:rPr>
                <w:rFonts w:hint="eastAsia"/>
                <w:color w:val="auto"/>
              </w:rPr>
              <w:t xml:space="preserve">表2-2 </w:t>
            </w:r>
            <w:r>
              <w:rPr>
                <w:rFonts w:hint="eastAsia"/>
                <w:color w:val="auto"/>
                <w:lang w:val="en-US" w:eastAsia="zh-CN"/>
              </w:rPr>
              <w:t xml:space="preserve"> </w:t>
            </w:r>
            <w:r>
              <w:rPr>
                <w:rFonts w:hint="eastAsia"/>
                <w:color w:val="auto"/>
              </w:rPr>
              <w:t>项目排污许可管理类别判定</w:t>
            </w:r>
          </w:p>
          <w:tbl>
            <w:tblPr>
              <w:tblStyle w:val="12"/>
              <w:tblW w:w="49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
              <w:gridCol w:w="1877"/>
              <w:gridCol w:w="1234"/>
              <w:gridCol w:w="3830"/>
              <w:gridCol w:w="805"/>
            </w:tblGrid>
            <w:tr w14:paraId="216F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9" w:type="dxa"/>
                  <w:noWrap w:val="0"/>
                  <w:vAlign w:val="center"/>
                </w:tcPr>
                <w:p w14:paraId="5BEA2778">
                  <w:pPr>
                    <w:pStyle w:val="22"/>
                    <w:bidi w:val="0"/>
                    <w:rPr>
                      <w:b/>
                      <w:bCs/>
                      <w:color w:val="auto"/>
                    </w:rPr>
                  </w:pPr>
                  <w:r>
                    <w:rPr>
                      <w:rFonts w:hint="eastAsia"/>
                      <w:b/>
                      <w:bCs/>
                      <w:color w:val="auto"/>
                    </w:rPr>
                    <w:t>序号</w:t>
                  </w:r>
                </w:p>
              </w:tc>
              <w:tc>
                <w:tcPr>
                  <w:tcW w:w="1877" w:type="dxa"/>
                  <w:noWrap w:val="0"/>
                  <w:vAlign w:val="center"/>
                </w:tcPr>
                <w:p w14:paraId="6F08911A">
                  <w:pPr>
                    <w:pStyle w:val="22"/>
                    <w:bidi w:val="0"/>
                    <w:rPr>
                      <w:b/>
                      <w:bCs/>
                      <w:color w:val="auto"/>
                    </w:rPr>
                  </w:pPr>
                  <w:r>
                    <w:rPr>
                      <w:rFonts w:hint="eastAsia"/>
                      <w:b/>
                      <w:bCs/>
                      <w:color w:val="auto"/>
                    </w:rPr>
                    <w:t>行业类别</w:t>
                  </w:r>
                </w:p>
              </w:tc>
              <w:tc>
                <w:tcPr>
                  <w:tcW w:w="1234" w:type="dxa"/>
                  <w:noWrap w:val="0"/>
                  <w:vAlign w:val="center"/>
                </w:tcPr>
                <w:p w14:paraId="0B6A85B7">
                  <w:pPr>
                    <w:pStyle w:val="22"/>
                    <w:bidi w:val="0"/>
                    <w:rPr>
                      <w:b/>
                      <w:bCs/>
                      <w:color w:val="auto"/>
                    </w:rPr>
                  </w:pPr>
                  <w:r>
                    <w:rPr>
                      <w:rFonts w:hint="eastAsia"/>
                      <w:b/>
                      <w:bCs/>
                      <w:color w:val="auto"/>
                    </w:rPr>
                    <w:t>重点管理</w:t>
                  </w:r>
                </w:p>
              </w:tc>
              <w:tc>
                <w:tcPr>
                  <w:tcW w:w="3830" w:type="dxa"/>
                  <w:noWrap w:val="0"/>
                  <w:vAlign w:val="center"/>
                </w:tcPr>
                <w:p w14:paraId="49AB0F9A">
                  <w:pPr>
                    <w:pStyle w:val="22"/>
                    <w:bidi w:val="0"/>
                    <w:rPr>
                      <w:b/>
                      <w:bCs/>
                      <w:color w:val="auto"/>
                    </w:rPr>
                  </w:pPr>
                  <w:r>
                    <w:rPr>
                      <w:rFonts w:hint="eastAsia"/>
                      <w:b/>
                      <w:bCs/>
                      <w:color w:val="auto"/>
                    </w:rPr>
                    <w:t>简化管理</w:t>
                  </w:r>
                </w:p>
              </w:tc>
              <w:tc>
                <w:tcPr>
                  <w:tcW w:w="805" w:type="dxa"/>
                  <w:noWrap w:val="0"/>
                  <w:vAlign w:val="center"/>
                </w:tcPr>
                <w:p w14:paraId="02EBE4DD">
                  <w:pPr>
                    <w:pStyle w:val="22"/>
                    <w:bidi w:val="0"/>
                    <w:rPr>
                      <w:b/>
                      <w:bCs/>
                      <w:color w:val="auto"/>
                    </w:rPr>
                  </w:pPr>
                  <w:r>
                    <w:rPr>
                      <w:rFonts w:hint="eastAsia"/>
                      <w:b/>
                      <w:bCs/>
                      <w:color w:val="auto"/>
                    </w:rPr>
                    <w:t>登记管理</w:t>
                  </w:r>
                </w:p>
              </w:tc>
            </w:tr>
            <w:tr w14:paraId="10DB5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05" w:type="dxa"/>
                  <w:gridSpan w:val="5"/>
                  <w:noWrap w:val="0"/>
                  <w:vAlign w:val="center"/>
                </w:tcPr>
                <w:p w14:paraId="4FDF0D2D">
                  <w:pPr>
                    <w:pStyle w:val="22"/>
                    <w:bidi w:val="0"/>
                    <w:jc w:val="left"/>
                    <w:rPr>
                      <w:rFonts w:hint="eastAsia"/>
                      <w:color w:val="auto"/>
                      <w:lang w:eastAsia="zh-CN"/>
                    </w:rPr>
                  </w:pPr>
                  <w:r>
                    <w:rPr>
                      <w:rFonts w:hint="eastAsia"/>
                      <w:color w:val="auto"/>
                    </w:rPr>
                    <w:t>二十四、橡胶和塑料制品业 29</w:t>
                  </w:r>
                </w:p>
              </w:tc>
            </w:tr>
            <w:tr w14:paraId="412FF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9" w:type="dxa"/>
                  <w:noWrap w:val="0"/>
                  <w:vAlign w:val="center"/>
                </w:tcPr>
                <w:p w14:paraId="7078193D">
                  <w:pPr>
                    <w:pStyle w:val="22"/>
                    <w:bidi w:val="0"/>
                    <w:rPr>
                      <w:rFonts w:hint="default"/>
                      <w:color w:val="auto"/>
                      <w:lang w:val="en-US" w:eastAsia="zh-CN"/>
                    </w:rPr>
                  </w:pPr>
                  <w:r>
                    <w:rPr>
                      <w:rFonts w:hint="eastAsia"/>
                      <w:color w:val="auto"/>
                      <w:lang w:val="en-US" w:eastAsia="zh-CN"/>
                    </w:rPr>
                    <w:t>62</w:t>
                  </w:r>
                </w:p>
              </w:tc>
              <w:tc>
                <w:tcPr>
                  <w:tcW w:w="1877" w:type="dxa"/>
                  <w:noWrap w:val="0"/>
                  <w:vAlign w:val="center"/>
                </w:tcPr>
                <w:p w14:paraId="31217D34">
                  <w:pPr>
                    <w:pStyle w:val="22"/>
                    <w:bidi w:val="0"/>
                    <w:rPr>
                      <w:color w:val="auto"/>
                    </w:rPr>
                  </w:pPr>
                  <w:r>
                    <w:rPr>
                      <w:rFonts w:hint="eastAsia"/>
                      <w:color w:val="auto"/>
                    </w:rPr>
                    <w:t>塑料制品业292</w:t>
                  </w:r>
                </w:p>
              </w:tc>
              <w:tc>
                <w:tcPr>
                  <w:tcW w:w="1234" w:type="dxa"/>
                  <w:noWrap w:val="0"/>
                  <w:vAlign w:val="center"/>
                </w:tcPr>
                <w:p w14:paraId="016E6329">
                  <w:pPr>
                    <w:pStyle w:val="22"/>
                    <w:bidi w:val="0"/>
                    <w:rPr>
                      <w:rFonts w:hint="eastAsia"/>
                      <w:color w:val="auto"/>
                    </w:rPr>
                  </w:pPr>
                  <w:r>
                    <w:rPr>
                      <w:rFonts w:hint="eastAsia"/>
                      <w:color w:val="auto"/>
                    </w:rPr>
                    <w:t>塑料人造革、合成革制造2925</w:t>
                  </w:r>
                </w:p>
              </w:tc>
              <w:tc>
                <w:tcPr>
                  <w:tcW w:w="3830" w:type="dxa"/>
                  <w:noWrap w:val="0"/>
                  <w:vAlign w:val="center"/>
                </w:tcPr>
                <w:p w14:paraId="258FCC2B">
                  <w:pPr>
                    <w:pStyle w:val="22"/>
                    <w:bidi w:val="0"/>
                    <w:rPr>
                      <w:rFonts w:hint="eastAsia"/>
                      <w:color w:val="auto"/>
                    </w:rPr>
                  </w:pPr>
                  <w:r>
                    <w:rPr>
                      <w:rFonts w:hint="eastAsia"/>
                      <w:color w:val="auto"/>
                    </w:rPr>
                    <w:t>年产1万吨及以上的泡沫塑料制造2924，年产1万吨及以上涉及改性的塑料薄膜制造2921、塑料板、管、型材制造2922、塑料丝、绳和编织品制造2923、塑料包装箱及容器制造2926、日用塑料品制造2927、人造草坪制造2928、塑料零件及其他塑料制品制造2929</w:t>
                  </w:r>
                </w:p>
              </w:tc>
              <w:tc>
                <w:tcPr>
                  <w:tcW w:w="805" w:type="dxa"/>
                  <w:shd w:val="clear" w:color="auto" w:fill="D7D7D7" w:themeFill="background1" w:themeFillShade="D8"/>
                  <w:noWrap w:val="0"/>
                  <w:vAlign w:val="center"/>
                </w:tcPr>
                <w:p w14:paraId="225A9877">
                  <w:pPr>
                    <w:pStyle w:val="22"/>
                    <w:bidi w:val="0"/>
                    <w:rPr>
                      <w:color w:val="auto"/>
                    </w:rPr>
                  </w:pPr>
                  <w:r>
                    <w:rPr>
                      <w:rFonts w:hint="eastAsia"/>
                      <w:b/>
                      <w:bCs/>
                      <w:color w:val="auto"/>
                    </w:rPr>
                    <w:t>其他</w:t>
                  </w:r>
                </w:p>
              </w:tc>
            </w:tr>
          </w:tbl>
          <w:p w14:paraId="653DAAE5">
            <w:pPr>
              <w:bidi w:val="0"/>
              <w:rPr>
                <w:color w:val="auto"/>
              </w:rPr>
            </w:pPr>
            <w:r>
              <w:rPr>
                <w:color w:val="auto"/>
              </w:rPr>
              <w:t>为此，</w:t>
            </w:r>
            <w:r>
              <w:rPr>
                <w:rFonts w:hint="eastAsia"/>
                <w:color w:val="auto"/>
              </w:rPr>
              <w:t>淮南圣大管业有限公司</w:t>
            </w:r>
            <w:r>
              <w:rPr>
                <w:color w:val="auto"/>
              </w:rPr>
              <w:t>委托我公司承担了</w:t>
            </w:r>
            <w:r>
              <w:rPr>
                <w:rFonts w:hint="eastAsia"/>
                <w:color w:val="auto"/>
                <w:lang w:val="en-US" w:eastAsia="zh-CN"/>
              </w:rPr>
              <w:t>圣大管业年产一万吨管材管件生产项目一期</w:t>
            </w:r>
            <w:r>
              <w:rPr>
                <w:color w:val="auto"/>
              </w:rPr>
              <w:t>环境影响评价工作</w:t>
            </w:r>
            <w:r>
              <w:rPr>
                <w:rFonts w:hint="eastAsia"/>
                <w:color w:val="auto"/>
                <w:lang w:eastAsia="zh-CN"/>
              </w:rPr>
              <w:t>，</w:t>
            </w:r>
            <w:r>
              <w:rPr>
                <w:rFonts w:hint="eastAsia"/>
                <w:color w:val="auto"/>
                <w:lang w:val="en-US" w:eastAsia="zh-CN"/>
              </w:rPr>
              <w:t>二期、三期建设内容另行履行环评手续</w:t>
            </w:r>
            <w:r>
              <w:rPr>
                <w:color w:val="auto"/>
              </w:rPr>
              <w:t>。接受委托后，我公司对项目建设场地周围环境进行了现场踏勘、调查，在收集项目相关资料的基础上进行了分析，根据国家和地方有关环保法律法规，并依据</w:t>
            </w:r>
            <w:r>
              <w:rPr>
                <w:rFonts w:hint="eastAsia"/>
                <w:color w:val="auto"/>
                <w:lang w:val="en-US" w:eastAsia="zh-CN"/>
              </w:rPr>
              <w:t>编制技术指南</w:t>
            </w:r>
            <w:r>
              <w:rPr>
                <w:color w:val="auto"/>
              </w:rPr>
              <w:t>和规范要求，编制了本项目环境影响报告表。</w:t>
            </w:r>
          </w:p>
          <w:p w14:paraId="042D102F">
            <w:pPr>
              <w:bidi w:val="0"/>
              <w:rPr>
                <w:b/>
                <w:bCs/>
                <w:color w:val="auto"/>
              </w:rPr>
            </w:pPr>
            <w:r>
              <w:rPr>
                <w:rFonts w:hint="eastAsia"/>
                <w:b/>
                <w:bCs/>
                <w:color w:val="auto"/>
                <w:lang w:val="en-US" w:eastAsia="zh-CN"/>
              </w:rPr>
              <w:t>2.</w:t>
            </w:r>
            <w:r>
              <w:rPr>
                <w:b/>
                <w:bCs/>
                <w:color w:val="auto"/>
              </w:rPr>
              <w:t>2</w:t>
            </w:r>
            <w:r>
              <w:rPr>
                <w:rFonts w:hint="eastAsia"/>
                <w:b/>
                <w:bCs/>
                <w:color w:val="auto"/>
              </w:rPr>
              <w:t>、</w:t>
            </w:r>
            <w:r>
              <w:rPr>
                <w:b/>
                <w:bCs/>
                <w:color w:val="auto"/>
              </w:rPr>
              <w:t>工程建设内容</w:t>
            </w:r>
          </w:p>
          <w:p w14:paraId="1390FC02">
            <w:pPr>
              <w:bidi w:val="0"/>
              <w:rPr>
                <w:color w:val="auto"/>
              </w:rPr>
            </w:pPr>
            <w:r>
              <w:rPr>
                <w:color w:val="auto"/>
              </w:rPr>
              <w:t>本项目</w:t>
            </w:r>
            <w:r>
              <w:rPr>
                <w:rFonts w:hint="eastAsia"/>
                <w:color w:val="auto"/>
                <w:lang w:val="en-US" w:eastAsia="zh-CN"/>
              </w:rPr>
              <w:t>租赁潘集经济开发区现有厂房（实际租赁面积5000</w:t>
            </w:r>
            <w:r>
              <w:rPr>
                <w:rFonts w:hint="default"/>
                <w:color w:val="auto"/>
                <w:lang w:val="en-US" w:eastAsia="zh-CN"/>
              </w:rPr>
              <w:t>m</w:t>
            </w:r>
            <w:r>
              <w:rPr>
                <w:rFonts w:hint="default"/>
                <w:color w:val="auto"/>
                <w:vertAlign w:val="superscript"/>
                <w:lang w:val="en-US" w:eastAsia="zh-CN"/>
              </w:rPr>
              <w:t>2</w:t>
            </w:r>
            <w:r>
              <w:rPr>
                <w:rFonts w:hint="eastAsia"/>
                <w:color w:val="auto"/>
                <w:lang w:val="en-US" w:eastAsia="zh-CN"/>
              </w:rPr>
              <w:t>），配套相应的生产线设备，进行塑料管材管件生产加工</w:t>
            </w:r>
            <w:r>
              <w:rPr>
                <w:rFonts w:hint="eastAsia"/>
                <w:color w:val="auto"/>
              </w:rPr>
              <w:t>，</w:t>
            </w:r>
            <w:r>
              <w:rPr>
                <w:rFonts w:hint="eastAsia"/>
                <w:color w:val="auto"/>
                <w:lang w:val="en-US" w:eastAsia="zh-CN"/>
              </w:rPr>
              <w:t>拟建</w:t>
            </w:r>
            <w:r>
              <w:rPr>
                <w:rFonts w:hint="eastAsia"/>
                <w:color w:val="auto"/>
              </w:rPr>
              <w:t>工程建设内容见下表。</w:t>
            </w:r>
          </w:p>
          <w:p w14:paraId="494B9962">
            <w:pPr>
              <w:pStyle w:val="21"/>
              <w:bidi w:val="0"/>
              <w:rPr>
                <w:rFonts w:hint="eastAsia"/>
                <w:color w:val="auto"/>
              </w:rPr>
            </w:pPr>
            <w:r>
              <w:rPr>
                <w:color w:val="auto"/>
              </w:rPr>
              <w:t>表</w:t>
            </w:r>
            <w:r>
              <w:rPr>
                <w:rFonts w:hint="eastAsia"/>
                <w:color w:val="auto"/>
              </w:rPr>
              <w:t xml:space="preserve">2-3 </w:t>
            </w:r>
            <w:r>
              <w:rPr>
                <w:rFonts w:hint="eastAsia"/>
                <w:color w:val="auto"/>
                <w:lang w:val="en-US" w:eastAsia="zh-CN"/>
              </w:rPr>
              <w:t xml:space="preserve"> 拟</w:t>
            </w:r>
            <w:r>
              <w:rPr>
                <w:rFonts w:hint="eastAsia"/>
                <w:color w:val="auto"/>
              </w:rPr>
              <w:t>建项目</w:t>
            </w:r>
            <w:r>
              <w:rPr>
                <w:color w:val="auto"/>
              </w:rPr>
              <w:t>工程建设内容一览表</w:t>
            </w:r>
          </w:p>
          <w:tbl>
            <w:tblPr>
              <w:tblStyle w:val="12"/>
              <w:tblW w:w="48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134"/>
              <w:gridCol w:w="513"/>
              <w:gridCol w:w="480"/>
              <w:gridCol w:w="5065"/>
              <w:gridCol w:w="983"/>
            </w:tblGrid>
            <w:tr w14:paraId="62FF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blHeader/>
                <w:jc w:val="center"/>
              </w:trPr>
              <w:tc>
                <w:tcPr>
                  <w:tcW w:w="693" w:type="pct"/>
                  <w:noWrap w:val="0"/>
                  <w:vAlign w:val="center"/>
                </w:tcPr>
                <w:p w14:paraId="36CF7150">
                  <w:pPr>
                    <w:pStyle w:val="22"/>
                    <w:bidi w:val="0"/>
                    <w:rPr>
                      <w:b/>
                      <w:bCs/>
                      <w:color w:val="auto"/>
                    </w:rPr>
                  </w:pPr>
                  <w:r>
                    <w:rPr>
                      <w:b/>
                      <w:bCs/>
                      <w:color w:val="auto"/>
                    </w:rPr>
                    <w:t>工程类别</w:t>
                  </w:r>
                </w:p>
              </w:tc>
              <w:tc>
                <w:tcPr>
                  <w:tcW w:w="607" w:type="pct"/>
                  <w:gridSpan w:val="2"/>
                  <w:noWrap w:val="0"/>
                  <w:vAlign w:val="center"/>
                </w:tcPr>
                <w:p w14:paraId="0F50D4DE">
                  <w:pPr>
                    <w:pStyle w:val="22"/>
                    <w:bidi w:val="0"/>
                    <w:rPr>
                      <w:b/>
                      <w:bCs/>
                      <w:color w:val="auto"/>
                    </w:rPr>
                  </w:pPr>
                  <w:r>
                    <w:rPr>
                      <w:b/>
                      <w:bCs/>
                      <w:color w:val="auto"/>
                    </w:rPr>
                    <w:t>单项工程名称</w:t>
                  </w:r>
                </w:p>
              </w:tc>
              <w:tc>
                <w:tcPr>
                  <w:tcW w:w="3097" w:type="pct"/>
                  <w:noWrap w:val="0"/>
                  <w:vAlign w:val="center"/>
                </w:tcPr>
                <w:p w14:paraId="157624AA">
                  <w:pPr>
                    <w:pStyle w:val="22"/>
                    <w:bidi w:val="0"/>
                    <w:rPr>
                      <w:b/>
                      <w:bCs/>
                      <w:color w:val="auto"/>
                    </w:rPr>
                  </w:pPr>
                  <w:r>
                    <w:rPr>
                      <w:rFonts w:hint="eastAsia"/>
                      <w:b/>
                      <w:bCs/>
                      <w:color w:val="auto"/>
                      <w:lang w:val="en-US" w:eastAsia="zh-CN"/>
                    </w:rPr>
                    <w:t>拟建</w:t>
                  </w:r>
                  <w:r>
                    <w:rPr>
                      <w:rFonts w:hint="eastAsia"/>
                      <w:b/>
                      <w:bCs/>
                      <w:color w:val="auto"/>
                    </w:rPr>
                    <w:t>工程建设内容及规模</w:t>
                  </w:r>
                </w:p>
              </w:tc>
              <w:tc>
                <w:tcPr>
                  <w:tcW w:w="601" w:type="pct"/>
                  <w:noWrap w:val="0"/>
                  <w:vAlign w:val="center"/>
                </w:tcPr>
                <w:p w14:paraId="7AAF516F">
                  <w:pPr>
                    <w:pStyle w:val="22"/>
                    <w:bidi w:val="0"/>
                    <w:rPr>
                      <w:rFonts w:hint="eastAsia"/>
                      <w:b/>
                      <w:bCs/>
                      <w:color w:val="auto"/>
                    </w:rPr>
                  </w:pPr>
                  <w:r>
                    <w:rPr>
                      <w:rFonts w:hint="eastAsia"/>
                      <w:b/>
                      <w:bCs/>
                      <w:color w:val="auto"/>
                    </w:rPr>
                    <w:t>备注</w:t>
                  </w:r>
                </w:p>
              </w:tc>
            </w:tr>
            <w:tr w14:paraId="30E08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noWrap w:val="0"/>
                  <w:vAlign w:val="center"/>
                </w:tcPr>
                <w:p w14:paraId="540E7B2C">
                  <w:pPr>
                    <w:pStyle w:val="22"/>
                    <w:bidi w:val="0"/>
                    <w:rPr>
                      <w:color w:val="auto"/>
                    </w:rPr>
                  </w:pPr>
                  <w:r>
                    <w:rPr>
                      <w:color w:val="auto"/>
                    </w:rPr>
                    <w:t>主体工程</w:t>
                  </w:r>
                </w:p>
              </w:tc>
              <w:tc>
                <w:tcPr>
                  <w:tcW w:w="607" w:type="pct"/>
                  <w:gridSpan w:val="2"/>
                  <w:noWrap w:val="0"/>
                  <w:vAlign w:val="center"/>
                </w:tcPr>
                <w:p w14:paraId="20E9A357">
                  <w:pPr>
                    <w:pStyle w:val="22"/>
                    <w:bidi w:val="0"/>
                    <w:rPr>
                      <w:color w:val="auto"/>
                    </w:rPr>
                  </w:pPr>
                  <w:r>
                    <w:rPr>
                      <w:rFonts w:hint="eastAsia"/>
                      <w:color w:val="auto"/>
                      <w:lang w:val="en-US" w:eastAsia="zh-CN"/>
                    </w:rPr>
                    <w:t>生产</w:t>
                  </w:r>
                  <w:r>
                    <w:rPr>
                      <w:rFonts w:hint="eastAsia"/>
                      <w:color w:val="auto"/>
                    </w:rPr>
                    <w:t>车间</w:t>
                  </w:r>
                </w:p>
              </w:tc>
              <w:tc>
                <w:tcPr>
                  <w:tcW w:w="3097" w:type="pct"/>
                  <w:noWrap w:val="0"/>
                  <w:vAlign w:val="center"/>
                </w:tcPr>
                <w:p w14:paraId="437434C3">
                  <w:pPr>
                    <w:pStyle w:val="22"/>
                    <w:bidi w:val="0"/>
                    <w:rPr>
                      <w:rFonts w:hint="default"/>
                      <w:color w:val="auto"/>
                      <w:lang w:val="en-US" w:eastAsia="zh-CN"/>
                    </w:rPr>
                  </w:pPr>
                  <w:r>
                    <w:rPr>
                      <w:rFonts w:hint="eastAsia"/>
                      <w:color w:val="auto"/>
                      <w:lang w:val="en-US" w:eastAsia="zh-CN"/>
                    </w:rPr>
                    <w:t>1</w:t>
                  </w:r>
                  <w:r>
                    <w:rPr>
                      <w:rFonts w:hint="eastAsia"/>
                      <w:color w:val="auto"/>
                      <w:lang w:val="en-US"/>
                    </w:rPr>
                    <w:t>F，H</w:t>
                  </w:r>
                  <w:r>
                    <w:rPr>
                      <w:rFonts w:hint="eastAsia"/>
                      <w:color w:val="auto"/>
                      <w:lang w:val="en-US" w:eastAsia="zh-CN"/>
                    </w:rPr>
                    <w:t>8</w:t>
                  </w:r>
                  <w:r>
                    <w:rPr>
                      <w:rFonts w:hint="eastAsia"/>
                      <w:color w:val="auto"/>
                      <w:lang w:val="en-US"/>
                    </w:rPr>
                    <w:t>m，厂房建筑面积</w:t>
                  </w:r>
                  <w:r>
                    <w:rPr>
                      <w:rFonts w:hint="eastAsia"/>
                      <w:color w:val="auto"/>
                      <w:lang w:val="en-US" w:eastAsia="zh-CN"/>
                    </w:rPr>
                    <w:t>5000</w:t>
                  </w:r>
                  <w:r>
                    <w:rPr>
                      <w:rFonts w:hint="eastAsia"/>
                      <w:color w:val="auto"/>
                      <w:lang w:val="en-US"/>
                    </w:rPr>
                    <w:t>m</w:t>
                  </w:r>
                  <w:r>
                    <w:rPr>
                      <w:rFonts w:hint="eastAsia"/>
                      <w:color w:val="auto"/>
                      <w:vertAlign w:val="superscript"/>
                      <w:lang w:val="en-US"/>
                    </w:rPr>
                    <w:t>2</w:t>
                  </w:r>
                  <w:r>
                    <w:rPr>
                      <w:rFonts w:hint="eastAsia"/>
                      <w:color w:val="auto"/>
                      <w:vertAlign w:val="baseline"/>
                      <w:lang w:val="en-US" w:eastAsia="zh-CN"/>
                    </w:rPr>
                    <w:t>（长×宽：91.6m×54.6m）</w:t>
                  </w:r>
                  <w:r>
                    <w:rPr>
                      <w:rFonts w:hint="eastAsia"/>
                      <w:color w:val="auto"/>
                      <w:lang w:val="en-US"/>
                    </w:rPr>
                    <w:t>，生产区主要为厂房内</w:t>
                  </w:r>
                  <w:r>
                    <w:rPr>
                      <w:rFonts w:hint="eastAsia"/>
                      <w:color w:val="auto"/>
                      <w:lang w:val="en-US" w:eastAsia="zh-CN"/>
                    </w:rPr>
                    <w:t>西</w:t>
                  </w:r>
                  <w:r>
                    <w:rPr>
                      <w:rFonts w:hint="eastAsia"/>
                      <w:color w:val="auto"/>
                      <w:lang w:val="en-US"/>
                    </w:rPr>
                    <w:t>侧，生产区</w:t>
                  </w:r>
                  <w:r>
                    <w:rPr>
                      <w:rFonts w:hint="eastAsia"/>
                      <w:color w:val="auto"/>
                      <w:lang w:val="en-US" w:eastAsia="zh-CN"/>
                    </w:rPr>
                    <w:t>1944</w:t>
                  </w:r>
                  <w:r>
                    <w:rPr>
                      <w:rFonts w:hint="eastAsia"/>
                      <w:color w:val="auto"/>
                      <w:lang w:val="en-US"/>
                    </w:rPr>
                    <w:t>m</w:t>
                  </w:r>
                  <w:r>
                    <w:rPr>
                      <w:rFonts w:hint="eastAsia"/>
                      <w:color w:val="auto"/>
                      <w:vertAlign w:val="superscript"/>
                      <w:lang w:val="en-US"/>
                    </w:rPr>
                    <w:t>2</w:t>
                  </w:r>
                  <w:r>
                    <w:rPr>
                      <w:rFonts w:hint="eastAsia"/>
                      <w:color w:val="auto"/>
                      <w:lang w:val="en-US"/>
                    </w:rPr>
                    <w:t>，布设</w:t>
                  </w:r>
                  <w:r>
                    <w:rPr>
                      <w:rFonts w:hint="eastAsia"/>
                      <w:color w:val="auto"/>
                      <w:lang w:val="en-US" w:eastAsia="zh-CN"/>
                    </w:rPr>
                    <w:t>1台双螺杆挤出机和3台单螺杆挤出机，</w:t>
                  </w:r>
                  <w:r>
                    <w:rPr>
                      <w:rFonts w:hint="eastAsia"/>
                      <w:color w:val="auto"/>
                      <w:lang w:val="en-US"/>
                    </w:rPr>
                    <w:t>形成年加工</w:t>
                  </w:r>
                  <w:r>
                    <w:rPr>
                      <w:rFonts w:hint="eastAsia"/>
                      <w:color w:val="auto"/>
                      <w:lang w:val="en-US" w:eastAsia="zh-CN"/>
                    </w:rPr>
                    <w:t>2</w:t>
                  </w:r>
                  <w:r>
                    <w:rPr>
                      <w:rFonts w:hint="eastAsia"/>
                      <w:color w:val="auto"/>
                      <w:lang w:val="en-US"/>
                    </w:rPr>
                    <w:t>000吨</w:t>
                  </w:r>
                  <w:r>
                    <w:rPr>
                      <w:rFonts w:hint="eastAsia"/>
                      <w:color w:val="auto"/>
                      <w:lang w:val="en-US" w:eastAsia="zh-CN"/>
                    </w:rPr>
                    <w:t>塑料管材管件</w:t>
                  </w:r>
                  <w:r>
                    <w:rPr>
                      <w:rFonts w:hint="eastAsia"/>
                      <w:color w:val="auto"/>
                      <w:lang w:val="en-US"/>
                    </w:rPr>
                    <w:t>生产能力。</w:t>
                  </w:r>
                </w:p>
              </w:tc>
              <w:tc>
                <w:tcPr>
                  <w:tcW w:w="601" w:type="pct"/>
                  <w:noWrap w:val="0"/>
                  <w:vAlign w:val="center"/>
                </w:tcPr>
                <w:p w14:paraId="50D155D0">
                  <w:pPr>
                    <w:pStyle w:val="22"/>
                    <w:bidi w:val="0"/>
                    <w:rPr>
                      <w:rFonts w:hint="default"/>
                      <w:color w:val="auto"/>
                      <w:lang w:val="en-US" w:eastAsia="zh-CN"/>
                    </w:rPr>
                  </w:pPr>
                  <w:r>
                    <w:rPr>
                      <w:rFonts w:hint="eastAsia"/>
                      <w:color w:val="auto"/>
                      <w:lang w:val="en-US" w:eastAsia="zh-CN"/>
                    </w:rPr>
                    <w:t>租赁厂房内新增设备</w:t>
                  </w:r>
                </w:p>
              </w:tc>
            </w:tr>
            <w:tr w14:paraId="7B5B4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restart"/>
                  <w:noWrap w:val="0"/>
                  <w:vAlign w:val="center"/>
                </w:tcPr>
                <w:p w14:paraId="5AAED360">
                  <w:pPr>
                    <w:pStyle w:val="22"/>
                    <w:bidi w:val="0"/>
                    <w:rPr>
                      <w:color w:val="0000FF"/>
                    </w:rPr>
                  </w:pPr>
                  <w:r>
                    <w:rPr>
                      <w:color w:val="auto"/>
                    </w:rPr>
                    <w:t>辅助工程</w:t>
                  </w:r>
                </w:p>
              </w:tc>
              <w:tc>
                <w:tcPr>
                  <w:tcW w:w="607" w:type="pct"/>
                  <w:gridSpan w:val="2"/>
                  <w:noWrap w:val="0"/>
                  <w:vAlign w:val="center"/>
                </w:tcPr>
                <w:p w14:paraId="29449970">
                  <w:pPr>
                    <w:pStyle w:val="22"/>
                    <w:bidi w:val="0"/>
                    <w:rPr>
                      <w:rFonts w:hint="eastAsia"/>
                      <w:color w:val="auto"/>
                      <w:lang w:eastAsia="zh-CN"/>
                    </w:rPr>
                  </w:pPr>
                  <w:r>
                    <w:rPr>
                      <w:rFonts w:hint="eastAsia"/>
                      <w:color w:val="auto"/>
                    </w:rPr>
                    <w:t>办公</w:t>
                  </w:r>
                  <w:r>
                    <w:rPr>
                      <w:rFonts w:hint="eastAsia"/>
                      <w:color w:val="auto"/>
                      <w:lang w:val="en-US" w:eastAsia="zh-CN"/>
                    </w:rPr>
                    <w:t>室</w:t>
                  </w:r>
                </w:p>
              </w:tc>
              <w:tc>
                <w:tcPr>
                  <w:tcW w:w="3097" w:type="pct"/>
                  <w:noWrap w:val="0"/>
                  <w:vAlign w:val="center"/>
                </w:tcPr>
                <w:p w14:paraId="475B02E0">
                  <w:pPr>
                    <w:pStyle w:val="22"/>
                    <w:bidi w:val="0"/>
                    <w:rPr>
                      <w:rFonts w:hint="default"/>
                      <w:color w:val="auto"/>
                      <w:lang w:val="en-US"/>
                    </w:rPr>
                  </w:pPr>
                  <w:r>
                    <w:rPr>
                      <w:rFonts w:hint="eastAsia"/>
                      <w:color w:val="auto"/>
                      <w:lang w:val="en-US" w:eastAsia="zh-CN"/>
                    </w:rPr>
                    <w:t>租赁园区现有办公楼三楼</w:t>
                  </w:r>
                  <w:r>
                    <w:rPr>
                      <w:rFonts w:hint="default"/>
                      <w:color w:val="auto"/>
                      <w:lang w:val="en-US"/>
                    </w:rPr>
                    <w:t>，占地面积</w:t>
                  </w:r>
                  <w:r>
                    <w:rPr>
                      <w:rFonts w:hint="eastAsia"/>
                      <w:color w:val="auto"/>
                      <w:lang w:val="en-US" w:eastAsia="zh-CN"/>
                    </w:rPr>
                    <w:t>2</w:t>
                  </w:r>
                  <w:r>
                    <w:rPr>
                      <w:rFonts w:hint="default"/>
                      <w:color w:val="auto"/>
                      <w:lang w:val="en-US"/>
                    </w:rPr>
                    <w:t>00</w:t>
                  </w:r>
                  <w:r>
                    <w:rPr>
                      <w:rFonts w:hint="eastAsia"/>
                      <w:color w:val="auto"/>
                      <w:lang w:val="en-US"/>
                    </w:rPr>
                    <w:t>m</w:t>
                  </w:r>
                  <w:r>
                    <w:rPr>
                      <w:rFonts w:hint="eastAsia"/>
                      <w:color w:val="auto"/>
                      <w:vertAlign w:val="superscript"/>
                      <w:lang w:val="en-US"/>
                    </w:rPr>
                    <w:t>2</w:t>
                  </w:r>
                  <w:r>
                    <w:rPr>
                      <w:rFonts w:hint="default"/>
                      <w:color w:val="auto"/>
                      <w:lang w:val="en-US"/>
                    </w:rPr>
                    <w:t>。用于工作人员办公。</w:t>
                  </w:r>
                </w:p>
              </w:tc>
              <w:tc>
                <w:tcPr>
                  <w:tcW w:w="601" w:type="pct"/>
                  <w:noWrap w:val="0"/>
                  <w:vAlign w:val="center"/>
                </w:tcPr>
                <w:p w14:paraId="3681A31A">
                  <w:pPr>
                    <w:pStyle w:val="22"/>
                    <w:bidi w:val="0"/>
                    <w:rPr>
                      <w:rFonts w:hint="default"/>
                      <w:color w:val="auto"/>
                      <w:lang w:val="en-US"/>
                    </w:rPr>
                  </w:pPr>
                  <w:r>
                    <w:rPr>
                      <w:rFonts w:hint="eastAsia"/>
                      <w:color w:val="auto"/>
                      <w:lang w:val="en-US" w:eastAsia="zh-CN"/>
                    </w:rPr>
                    <w:t>租赁园区现有</w:t>
                  </w:r>
                </w:p>
              </w:tc>
            </w:tr>
            <w:tr w14:paraId="44F5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5679E3AB">
                  <w:pPr>
                    <w:pStyle w:val="22"/>
                    <w:bidi w:val="0"/>
                    <w:rPr>
                      <w:color w:val="0000FF"/>
                    </w:rPr>
                  </w:pPr>
                </w:p>
              </w:tc>
              <w:tc>
                <w:tcPr>
                  <w:tcW w:w="607" w:type="pct"/>
                  <w:gridSpan w:val="2"/>
                  <w:noWrap w:val="0"/>
                  <w:vAlign w:val="center"/>
                </w:tcPr>
                <w:p w14:paraId="24057E8A">
                  <w:pPr>
                    <w:pStyle w:val="22"/>
                    <w:bidi w:val="0"/>
                    <w:rPr>
                      <w:rFonts w:hint="default"/>
                      <w:color w:val="auto"/>
                      <w:lang w:val="en-US" w:eastAsia="zh-CN"/>
                    </w:rPr>
                  </w:pPr>
                  <w:r>
                    <w:rPr>
                      <w:rFonts w:hint="eastAsia"/>
                      <w:color w:val="auto"/>
                      <w:lang w:val="en-US" w:eastAsia="zh-CN"/>
                    </w:rPr>
                    <w:t>实验室</w:t>
                  </w:r>
                </w:p>
              </w:tc>
              <w:tc>
                <w:tcPr>
                  <w:tcW w:w="3097" w:type="pct"/>
                  <w:noWrap w:val="0"/>
                  <w:vAlign w:val="center"/>
                </w:tcPr>
                <w:p w14:paraId="1BD8A90B">
                  <w:pPr>
                    <w:pStyle w:val="22"/>
                    <w:bidi w:val="0"/>
                    <w:rPr>
                      <w:rFonts w:hint="eastAsia"/>
                      <w:color w:val="auto"/>
                      <w:lang w:val="en-US" w:eastAsia="zh-CN"/>
                    </w:rPr>
                  </w:pPr>
                  <w:r>
                    <w:rPr>
                      <w:rFonts w:hint="eastAsia"/>
                      <w:color w:val="auto"/>
                      <w:lang w:val="en-US" w:eastAsia="zh-CN"/>
                    </w:rPr>
                    <w:t>位于生产车间东北角，面积约30</w:t>
                  </w:r>
                  <w:r>
                    <w:rPr>
                      <w:rFonts w:hint="eastAsia"/>
                      <w:color w:val="auto"/>
                      <w:lang w:val="en-US"/>
                    </w:rPr>
                    <w:t>m</w:t>
                  </w:r>
                  <w:r>
                    <w:rPr>
                      <w:rFonts w:hint="eastAsia"/>
                      <w:color w:val="auto"/>
                      <w:vertAlign w:val="superscript"/>
                      <w:lang w:val="en-US"/>
                    </w:rPr>
                    <w:t>2</w:t>
                  </w:r>
                  <w:r>
                    <w:rPr>
                      <w:rFonts w:hint="eastAsia"/>
                      <w:color w:val="auto"/>
                      <w:lang w:val="en-US" w:eastAsia="zh-CN"/>
                    </w:rPr>
                    <w:t>，布设采用游标卡尺、π尺（直径尺）、钢卷尺、壁厚规、光学显微镜、直角尺等对管材外径、壁厚、长度、不圆度、断面垂直度、弯曲度等指标测量。</w:t>
                  </w:r>
                </w:p>
              </w:tc>
              <w:tc>
                <w:tcPr>
                  <w:tcW w:w="601" w:type="pct"/>
                  <w:noWrap w:val="0"/>
                  <w:vAlign w:val="center"/>
                </w:tcPr>
                <w:p w14:paraId="126BADAD">
                  <w:pPr>
                    <w:pStyle w:val="22"/>
                    <w:bidi w:val="0"/>
                    <w:rPr>
                      <w:rFonts w:hint="eastAsia"/>
                      <w:color w:val="auto"/>
                    </w:rPr>
                  </w:pPr>
                  <w:r>
                    <w:rPr>
                      <w:rFonts w:hint="eastAsia"/>
                      <w:color w:val="auto"/>
                      <w:lang w:val="en-US" w:eastAsia="zh-CN"/>
                    </w:rPr>
                    <w:t>租赁厂房内划分</w:t>
                  </w:r>
                </w:p>
              </w:tc>
            </w:tr>
            <w:tr w14:paraId="02118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2586088F">
                  <w:pPr>
                    <w:pStyle w:val="22"/>
                    <w:bidi w:val="0"/>
                    <w:rPr>
                      <w:color w:val="auto"/>
                    </w:rPr>
                  </w:pPr>
                </w:p>
              </w:tc>
              <w:tc>
                <w:tcPr>
                  <w:tcW w:w="607" w:type="pct"/>
                  <w:gridSpan w:val="2"/>
                  <w:noWrap w:val="0"/>
                  <w:vAlign w:val="center"/>
                </w:tcPr>
                <w:p w14:paraId="74BEC0ED">
                  <w:pPr>
                    <w:pStyle w:val="22"/>
                    <w:bidi w:val="0"/>
                    <w:rPr>
                      <w:rFonts w:hint="default"/>
                      <w:color w:val="auto"/>
                      <w:lang w:val="en-US" w:eastAsia="zh-CN"/>
                    </w:rPr>
                  </w:pPr>
                  <w:r>
                    <w:rPr>
                      <w:rFonts w:hint="eastAsia"/>
                      <w:color w:val="auto"/>
                      <w:lang w:val="en-US" w:eastAsia="zh-CN"/>
                    </w:rPr>
                    <w:t>设备间</w:t>
                  </w:r>
                </w:p>
              </w:tc>
              <w:tc>
                <w:tcPr>
                  <w:tcW w:w="3097" w:type="pct"/>
                  <w:noWrap w:val="0"/>
                  <w:vAlign w:val="center"/>
                </w:tcPr>
                <w:p w14:paraId="30FBA1D5">
                  <w:pPr>
                    <w:pStyle w:val="22"/>
                    <w:bidi w:val="0"/>
                    <w:rPr>
                      <w:rFonts w:hint="default"/>
                      <w:color w:val="auto"/>
                      <w:lang w:val="en-US" w:eastAsia="zh-CN"/>
                    </w:rPr>
                  </w:pPr>
                  <w:r>
                    <w:rPr>
                      <w:rFonts w:hint="eastAsia"/>
                      <w:color w:val="auto"/>
                      <w:lang w:val="en-US" w:eastAsia="zh-CN"/>
                    </w:rPr>
                    <w:t>位于生产车间东北角，面积约60</w:t>
                  </w:r>
                  <w:r>
                    <w:rPr>
                      <w:rFonts w:hint="eastAsia"/>
                      <w:color w:val="auto"/>
                      <w:lang w:val="en-US"/>
                    </w:rPr>
                    <w:t>m</w:t>
                  </w:r>
                  <w:r>
                    <w:rPr>
                      <w:rFonts w:hint="eastAsia"/>
                      <w:color w:val="auto"/>
                      <w:vertAlign w:val="superscript"/>
                      <w:lang w:val="en-US"/>
                    </w:rPr>
                    <w:t>2</w:t>
                  </w:r>
                  <w:r>
                    <w:rPr>
                      <w:rFonts w:hint="eastAsia"/>
                      <w:color w:val="auto"/>
                      <w:lang w:val="en-US" w:eastAsia="zh-CN"/>
                    </w:rPr>
                    <w:t>，主要布置维修设备</w:t>
                  </w:r>
                </w:p>
              </w:tc>
              <w:tc>
                <w:tcPr>
                  <w:tcW w:w="601" w:type="pct"/>
                  <w:noWrap w:val="0"/>
                  <w:vAlign w:val="center"/>
                </w:tcPr>
                <w:p w14:paraId="25A51686">
                  <w:pPr>
                    <w:pStyle w:val="22"/>
                    <w:bidi w:val="0"/>
                    <w:rPr>
                      <w:rFonts w:hint="eastAsia"/>
                      <w:color w:val="auto"/>
                      <w:lang w:val="en-US" w:eastAsia="zh-CN"/>
                    </w:rPr>
                  </w:pPr>
                  <w:r>
                    <w:rPr>
                      <w:rFonts w:hint="eastAsia"/>
                      <w:color w:val="auto"/>
                      <w:lang w:val="en-US" w:eastAsia="zh-CN"/>
                    </w:rPr>
                    <w:t>租赁厂房内划分</w:t>
                  </w:r>
                </w:p>
              </w:tc>
            </w:tr>
            <w:tr w14:paraId="4598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23" w:hRule="atLeast"/>
                <w:jc w:val="center"/>
              </w:trPr>
              <w:tc>
                <w:tcPr>
                  <w:tcW w:w="693" w:type="pct"/>
                  <w:vMerge w:val="restart"/>
                  <w:noWrap w:val="0"/>
                  <w:vAlign w:val="center"/>
                </w:tcPr>
                <w:p w14:paraId="3A79C39D">
                  <w:pPr>
                    <w:pStyle w:val="22"/>
                    <w:bidi w:val="0"/>
                    <w:rPr>
                      <w:color w:val="0000FF"/>
                    </w:rPr>
                  </w:pPr>
                  <w:r>
                    <w:rPr>
                      <w:color w:val="auto"/>
                    </w:rPr>
                    <w:t>储运工程</w:t>
                  </w:r>
                </w:p>
              </w:tc>
              <w:tc>
                <w:tcPr>
                  <w:tcW w:w="607" w:type="pct"/>
                  <w:gridSpan w:val="2"/>
                  <w:noWrap w:val="0"/>
                  <w:vAlign w:val="center"/>
                </w:tcPr>
                <w:p w14:paraId="7679F6C7">
                  <w:pPr>
                    <w:pStyle w:val="22"/>
                    <w:bidi w:val="0"/>
                    <w:rPr>
                      <w:rFonts w:hint="default"/>
                      <w:color w:val="auto"/>
                      <w:lang w:val="en-US" w:eastAsia="zh-CN"/>
                    </w:rPr>
                  </w:pPr>
                  <w:r>
                    <w:rPr>
                      <w:rFonts w:hint="eastAsia"/>
                      <w:color w:val="auto"/>
                      <w:lang w:val="en-US" w:eastAsia="zh-CN"/>
                    </w:rPr>
                    <w:t>原料仓库</w:t>
                  </w:r>
                </w:p>
              </w:tc>
              <w:tc>
                <w:tcPr>
                  <w:tcW w:w="3097" w:type="pct"/>
                  <w:noWrap w:val="0"/>
                  <w:vAlign w:val="center"/>
                </w:tcPr>
                <w:p w14:paraId="4ED7808C">
                  <w:pPr>
                    <w:pStyle w:val="22"/>
                    <w:bidi w:val="0"/>
                    <w:rPr>
                      <w:rFonts w:hint="default"/>
                      <w:color w:val="auto"/>
                      <w:lang w:val="en-US" w:eastAsia="zh-CN"/>
                    </w:rPr>
                  </w:pPr>
                  <w:r>
                    <w:rPr>
                      <w:rFonts w:hint="eastAsia"/>
                      <w:color w:val="auto"/>
                      <w:lang w:val="en-US" w:eastAsia="zh-CN"/>
                    </w:rPr>
                    <w:t>位于车间内西南侧，</w:t>
                  </w:r>
                  <w:r>
                    <w:rPr>
                      <w:rFonts w:hint="default"/>
                      <w:color w:val="auto"/>
                      <w:lang w:val="en-US" w:eastAsia="zh-CN"/>
                    </w:rPr>
                    <w:t>占地面积</w:t>
                  </w:r>
                  <w:r>
                    <w:rPr>
                      <w:rFonts w:hint="eastAsia"/>
                      <w:color w:val="auto"/>
                      <w:lang w:val="en-US" w:eastAsia="zh-CN"/>
                    </w:rPr>
                    <w:t>24</w:t>
                  </w:r>
                  <w:r>
                    <w:rPr>
                      <w:rFonts w:hint="default"/>
                      <w:color w:val="auto"/>
                      <w:lang w:val="en-US" w:eastAsia="zh-CN"/>
                    </w:rPr>
                    <w:t>0</w:t>
                  </w:r>
                  <w:r>
                    <w:rPr>
                      <w:rFonts w:hint="eastAsia"/>
                      <w:color w:val="auto"/>
                      <w:lang w:val="en-US"/>
                    </w:rPr>
                    <w:t>m</w:t>
                  </w:r>
                  <w:r>
                    <w:rPr>
                      <w:rFonts w:hint="eastAsia"/>
                      <w:color w:val="auto"/>
                      <w:vertAlign w:val="superscript"/>
                      <w:lang w:val="en-US"/>
                    </w:rPr>
                    <w:t>2</w:t>
                  </w:r>
                  <w:r>
                    <w:rPr>
                      <w:rFonts w:hint="default"/>
                      <w:color w:val="auto"/>
                      <w:lang w:val="en-US" w:eastAsia="zh-CN"/>
                    </w:rPr>
                    <w:t>，主要用于存放PP</w:t>
                  </w:r>
                  <w:r>
                    <w:rPr>
                      <w:rFonts w:hint="eastAsia"/>
                      <w:color w:val="auto"/>
                      <w:lang w:val="en-US" w:eastAsia="zh-CN"/>
                    </w:rPr>
                    <w:t>、PE、色母</w:t>
                  </w:r>
                  <w:r>
                    <w:rPr>
                      <w:rFonts w:hint="default"/>
                      <w:color w:val="auto"/>
                      <w:lang w:val="en-US" w:eastAsia="zh-CN"/>
                    </w:rPr>
                    <w:t>塑料粒子，塑料粒子最大存放量</w:t>
                  </w:r>
                  <w:r>
                    <w:rPr>
                      <w:rFonts w:hint="eastAsia"/>
                      <w:color w:val="auto"/>
                      <w:lang w:val="en-US" w:eastAsia="zh-CN"/>
                    </w:rPr>
                    <w:t>10</w:t>
                  </w:r>
                  <w:r>
                    <w:rPr>
                      <w:rFonts w:hint="default"/>
                      <w:color w:val="auto"/>
                      <w:lang w:val="en-US" w:eastAsia="zh-CN"/>
                    </w:rPr>
                    <w:t>0t。</w:t>
                  </w:r>
                  <w:r>
                    <w:rPr>
                      <w:rFonts w:hint="eastAsia"/>
                      <w:color w:val="auto"/>
                      <w:lang w:val="en-US" w:eastAsia="zh-CN"/>
                    </w:rPr>
                    <w:t>集中上料系统位于原料仓内布设。</w:t>
                  </w:r>
                </w:p>
              </w:tc>
              <w:tc>
                <w:tcPr>
                  <w:tcW w:w="601" w:type="pct"/>
                  <w:noWrap w:val="0"/>
                  <w:vAlign w:val="center"/>
                </w:tcPr>
                <w:p w14:paraId="174750D3">
                  <w:pPr>
                    <w:pStyle w:val="22"/>
                    <w:bidi w:val="0"/>
                    <w:rPr>
                      <w:rFonts w:hint="eastAsia"/>
                      <w:color w:val="auto"/>
                      <w:lang w:val="en-US" w:eastAsia="zh-CN"/>
                    </w:rPr>
                  </w:pPr>
                  <w:r>
                    <w:rPr>
                      <w:rFonts w:hint="eastAsia"/>
                      <w:color w:val="auto"/>
                      <w:lang w:val="en-US" w:eastAsia="zh-CN"/>
                    </w:rPr>
                    <w:t>租赁厂房内划分</w:t>
                  </w:r>
                </w:p>
              </w:tc>
            </w:tr>
            <w:tr w14:paraId="7C05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0C3178B6">
                  <w:pPr>
                    <w:pStyle w:val="22"/>
                    <w:bidi w:val="0"/>
                    <w:rPr>
                      <w:color w:val="0000FF"/>
                    </w:rPr>
                  </w:pPr>
                </w:p>
              </w:tc>
              <w:tc>
                <w:tcPr>
                  <w:tcW w:w="607" w:type="pct"/>
                  <w:gridSpan w:val="2"/>
                  <w:noWrap w:val="0"/>
                  <w:vAlign w:val="center"/>
                </w:tcPr>
                <w:p w14:paraId="73C40B67">
                  <w:pPr>
                    <w:pStyle w:val="22"/>
                    <w:bidi w:val="0"/>
                    <w:rPr>
                      <w:color w:val="auto"/>
                    </w:rPr>
                  </w:pPr>
                  <w:r>
                    <w:rPr>
                      <w:color w:val="auto"/>
                    </w:rPr>
                    <w:t>成品仓库</w:t>
                  </w:r>
                </w:p>
              </w:tc>
              <w:tc>
                <w:tcPr>
                  <w:tcW w:w="3097" w:type="pct"/>
                  <w:noWrap w:val="0"/>
                  <w:vAlign w:val="center"/>
                </w:tcPr>
                <w:p w14:paraId="7869F394">
                  <w:pPr>
                    <w:pStyle w:val="22"/>
                    <w:bidi w:val="0"/>
                    <w:rPr>
                      <w:rFonts w:hint="eastAsia"/>
                      <w:color w:val="auto"/>
                    </w:rPr>
                  </w:pPr>
                  <w:r>
                    <w:rPr>
                      <w:rFonts w:hint="eastAsia"/>
                      <w:color w:val="auto"/>
                    </w:rPr>
                    <w:t>1F，位于</w:t>
                  </w:r>
                  <w:r>
                    <w:rPr>
                      <w:rFonts w:hint="eastAsia"/>
                      <w:color w:val="auto"/>
                      <w:lang w:val="en-US" w:eastAsia="zh-CN"/>
                    </w:rPr>
                    <w:t>厂房东侧，</w:t>
                  </w:r>
                  <w:r>
                    <w:rPr>
                      <w:rFonts w:hint="eastAsia"/>
                      <w:color w:val="auto"/>
                    </w:rPr>
                    <w:t>占地面积</w:t>
                  </w:r>
                  <w:r>
                    <w:rPr>
                      <w:rFonts w:hint="eastAsia"/>
                      <w:color w:val="auto"/>
                      <w:lang w:val="en-US" w:eastAsia="zh-CN"/>
                    </w:rPr>
                    <w:t>160</w:t>
                  </w:r>
                  <w:r>
                    <w:rPr>
                      <w:rFonts w:hint="eastAsia"/>
                      <w:color w:val="auto"/>
                    </w:rPr>
                    <w:t>0</w:t>
                  </w:r>
                  <w:r>
                    <w:rPr>
                      <w:rFonts w:hint="eastAsia"/>
                      <w:color w:val="auto"/>
                      <w:lang w:val="en-US"/>
                    </w:rPr>
                    <w:t>m</w:t>
                  </w:r>
                  <w:r>
                    <w:rPr>
                      <w:rFonts w:hint="eastAsia"/>
                      <w:color w:val="auto"/>
                      <w:vertAlign w:val="superscript"/>
                      <w:lang w:val="en-US"/>
                    </w:rPr>
                    <w:t>2</w:t>
                  </w:r>
                  <w:r>
                    <w:rPr>
                      <w:color w:val="auto"/>
                    </w:rPr>
                    <w:t>，用于</w:t>
                  </w:r>
                  <w:r>
                    <w:rPr>
                      <w:rFonts w:hint="eastAsia"/>
                      <w:color w:val="auto"/>
                      <w:lang w:val="en-US" w:eastAsia="zh-CN"/>
                    </w:rPr>
                    <w:t>成品暂存，成品</w:t>
                  </w:r>
                  <w:r>
                    <w:rPr>
                      <w:rFonts w:hint="eastAsia"/>
                      <w:color w:val="auto"/>
                    </w:rPr>
                    <w:t>最大存放量</w:t>
                  </w:r>
                  <w:r>
                    <w:rPr>
                      <w:rFonts w:hint="eastAsia"/>
                      <w:color w:val="auto"/>
                      <w:lang w:val="en-US" w:eastAsia="zh-CN"/>
                    </w:rPr>
                    <w:t>150t</w:t>
                  </w:r>
                  <w:r>
                    <w:rPr>
                      <w:rFonts w:hint="eastAsia"/>
                      <w:color w:val="auto"/>
                    </w:rPr>
                    <w:t>。</w:t>
                  </w:r>
                </w:p>
              </w:tc>
              <w:tc>
                <w:tcPr>
                  <w:tcW w:w="601" w:type="pct"/>
                  <w:noWrap w:val="0"/>
                  <w:vAlign w:val="center"/>
                </w:tcPr>
                <w:p w14:paraId="0FDE5ECD">
                  <w:pPr>
                    <w:pStyle w:val="22"/>
                    <w:bidi w:val="0"/>
                    <w:rPr>
                      <w:rFonts w:hint="default"/>
                      <w:color w:val="auto"/>
                      <w:lang w:val="en-US" w:eastAsia="zh-CN"/>
                    </w:rPr>
                  </w:pPr>
                  <w:r>
                    <w:rPr>
                      <w:rFonts w:hint="eastAsia"/>
                      <w:color w:val="auto"/>
                      <w:lang w:val="en-US" w:eastAsia="zh-CN"/>
                    </w:rPr>
                    <w:t>租赁厂房内划分</w:t>
                  </w:r>
                </w:p>
              </w:tc>
            </w:tr>
            <w:tr w14:paraId="6CB0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5EA1EB77">
                  <w:pPr>
                    <w:pStyle w:val="22"/>
                    <w:bidi w:val="0"/>
                    <w:rPr>
                      <w:color w:val="0000FF"/>
                    </w:rPr>
                  </w:pPr>
                </w:p>
              </w:tc>
              <w:tc>
                <w:tcPr>
                  <w:tcW w:w="607" w:type="pct"/>
                  <w:gridSpan w:val="2"/>
                  <w:noWrap w:val="0"/>
                  <w:vAlign w:val="center"/>
                </w:tcPr>
                <w:p w14:paraId="5EA3948F">
                  <w:pPr>
                    <w:pStyle w:val="22"/>
                    <w:bidi w:val="0"/>
                    <w:rPr>
                      <w:color w:val="auto"/>
                    </w:rPr>
                  </w:pPr>
                  <w:r>
                    <w:rPr>
                      <w:rFonts w:hint="eastAsia"/>
                      <w:color w:val="auto"/>
                    </w:rPr>
                    <w:t>运输</w:t>
                  </w:r>
                </w:p>
              </w:tc>
              <w:tc>
                <w:tcPr>
                  <w:tcW w:w="3097" w:type="pct"/>
                  <w:noWrap w:val="0"/>
                  <w:vAlign w:val="center"/>
                </w:tcPr>
                <w:p w14:paraId="0C8E363C">
                  <w:pPr>
                    <w:pStyle w:val="22"/>
                    <w:bidi w:val="0"/>
                    <w:rPr>
                      <w:rFonts w:hint="default"/>
                      <w:color w:val="auto"/>
                      <w:lang w:val="en-US" w:eastAsia="zh-CN"/>
                    </w:rPr>
                  </w:pPr>
                  <w:r>
                    <w:rPr>
                      <w:rFonts w:hint="eastAsia"/>
                      <w:color w:val="auto"/>
                    </w:rPr>
                    <w:t>原辅料</w:t>
                  </w:r>
                  <w:r>
                    <w:rPr>
                      <w:rFonts w:hint="eastAsia"/>
                      <w:color w:val="auto"/>
                      <w:lang w:val="en-US" w:eastAsia="zh-CN"/>
                    </w:rPr>
                    <w:t>车间运输采用叉车（用电）</w:t>
                  </w:r>
                  <w:r>
                    <w:rPr>
                      <w:rFonts w:hint="eastAsia"/>
                      <w:color w:val="auto"/>
                    </w:rPr>
                    <w:t>、成品采用汽车运输</w:t>
                  </w:r>
                </w:p>
              </w:tc>
              <w:tc>
                <w:tcPr>
                  <w:tcW w:w="601" w:type="pct"/>
                  <w:noWrap w:val="0"/>
                  <w:vAlign w:val="center"/>
                </w:tcPr>
                <w:p w14:paraId="1B5A5A33">
                  <w:pPr>
                    <w:pStyle w:val="22"/>
                    <w:bidi w:val="0"/>
                    <w:rPr>
                      <w:rFonts w:hint="eastAsia"/>
                      <w:color w:val="auto"/>
                      <w:lang w:val="en-US" w:eastAsia="zh-CN"/>
                    </w:rPr>
                  </w:pPr>
                  <w:r>
                    <w:rPr>
                      <w:rFonts w:hint="eastAsia"/>
                      <w:color w:val="auto"/>
                      <w:lang w:val="en-US" w:eastAsia="zh-CN"/>
                    </w:rPr>
                    <w:t>/</w:t>
                  </w:r>
                </w:p>
              </w:tc>
            </w:tr>
            <w:tr w14:paraId="513EF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restart"/>
                  <w:noWrap w:val="0"/>
                  <w:vAlign w:val="center"/>
                </w:tcPr>
                <w:p w14:paraId="523BE3A6">
                  <w:pPr>
                    <w:pStyle w:val="22"/>
                    <w:bidi w:val="0"/>
                    <w:rPr>
                      <w:color w:val="auto"/>
                    </w:rPr>
                  </w:pPr>
                  <w:r>
                    <w:rPr>
                      <w:color w:val="auto"/>
                    </w:rPr>
                    <w:t>公用工程</w:t>
                  </w:r>
                </w:p>
              </w:tc>
              <w:tc>
                <w:tcPr>
                  <w:tcW w:w="607" w:type="pct"/>
                  <w:gridSpan w:val="2"/>
                  <w:noWrap w:val="0"/>
                  <w:vAlign w:val="center"/>
                </w:tcPr>
                <w:p w14:paraId="0BD3B049">
                  <w:pPr>
                    <w:pStyle w:val="22"/>
                    <w:bidi w:val="0"/>
                    <w:rPr>
                      <w:color w:val="auto"/>
                    </w:rPr>
                  </w:pPr>
                  <w:r>
                    <w:rPr>
                      <w:color w:val="auto"/>
                    </w:rPr>
                    <w:t>供水</w:t>
                  </w:r>
                </w:p>
              </w:tc>
              <w:tc>
                <w:tcPr>
                  <w:tcW w:w="3097" w:type="pct"/>
                  <w:noWrap w:val="0"/>
                  <w:vAlign w:val="center"/>
                </w:tcPr>
                <w:p w14:paraId="3DE100D3">
                  <w:pPr>
                    <w:pStyle w:val="22"/>
                    <w:bidi w:val="0"/>
                    <w:rPr>
                      <w:color w:val="auto"/>
                    </w:rPr>
                  </w:pPr>
                  <w:r>
                    <w:rPr>
                      <w:color w:val="auto"/>
                    </w:rPr>
                    <w:t>由</w:t>
                  </w:r>
                  <w:r>
                    <w:rPr>
                      <w:rFonts w:hint="eastAsia"/>
                      <w:color w:val="auto"/>
                      <w:lang w:val="en-US" w:eastAsia="zh-CN"/>
                    </w:rPr>
                    <w:t>潘集经济开发区</w:t>
                  </w:r>
                  <w:r>
                    <w:rPr>
                      <w:color w:val="auto"/>
                    </w:rPr>
                    <w:t>市政自来水管网提供，供水量约</w:t>
                  </w:r>
                  <w:r>
                    <w:rPr>
                      <w:rFonts w:hint="eastAsia"/>
                      <w:color w:val="auto"/>
                      <w:highlight w:val="none"/>
                      <w:lang w:val="en-US" w:eastAsia="zh-CN"/>
                    </w:rPr>
                    <w:t>2176</w:t>
                  </w:r>
                  <w:r>
                    <w:rPr>
                      <w:color w:val="auto"/>
                      <w:highlight w:val="none"/>
                    </w:rPr>
                    <w:t>t/a</w:t>
                  </w:r>
                </w:p>
              </w:tc>
              <w:tc>
                <w:tcPr>
                  <w:tcW w:w="601" w:type="pct"/>
                  <w:noWrap w:val="0"/>
                  <w:vAlign w:val="center"/>
                </w:tcPr>
                <w:p w14:paraId="65A4102D">
                  <w:pPr>
                    <w:pStyle w:val="22"/>
                    <w:bidi w:val="0"/>
                    <w:rPr>
                      <w:rFonts w:hint="default"/>
                      <w:color w:val="auto"/>
                      <w:lang w:val="en-US" w:eastAsia="zh-CN"/>
                    </w:rPr>
                  </w:pPr>
                  <w:r>
                    <w:rPr>
                      <w:rFonts w:hint="eastAsia"/>
                      <w:color w:val="auto"/>
                      <w:lang w:val="en-US" w:eastAsia="zh-CN"/>
                    </w:rPr>
                    <w:t>利用现有</w:t>
                  </w:r>
                </w:p>
              </w:tc>
            </w:tr>
            <w:tr w14:paraId="01ABF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308" w:hRule="atLeast"/>
                <w:jc w:val="center"/>
              </w:trPr>
              <w:tc>
                <w:tcPr>
                  <w:tcW w:w="693" w:type="pct"/>
                  <w:vMerge w:val="continue"/>
                  <w:noWrap w:val="0"/>
                  <w:vAlign w:val="center"/>
                </w:tcPr>
                <w:p w14:paraId="78EA1804">
                  <w:pPr>
                    <w:pStyle w:val="22"/>
                    <w:bidi w:val="0"/>
                    <w:rPr>
                      <w:color w:val="0000FF"/>
                    </w:rPr>
                  </w:pPr>
                </w:p>
              </w:tc>
              <w:tc>
                <w:tcPr>
                  <w:tcW w:w="607" w:type="pct"/>
                  <w:gridSpan w:val="2"/>
                  <w:noWrap w:val="0"/>
                  <w:vAlign w:val="center"/>
                </w:tcPr>
                <w:p w14:paraId="075F2E0D">
                  <w:pPr>
                    <w:pStyle w:val="22"/>
                    <w:bidi w:val="0"/>
                    <w:rPr>
                      <w:color w:val="auto"/>
                    </w:rPr>
                  </w:pPr>
                  <w:r>
                    <w:rPr>
                      <w:color w:val="auto"/>
                    </w:rPr>
                    <w:t>排水</w:t>
                  </w:r>
                </w:p>
              </w:tc>
              <w:tc>
                <w:tcPr>
                  <w:tcW w:w="3097" w:type="pct"/>
                  <w:noWrap w:val="0"/>
                  <w:vAlign w:val="center"/>
                </w:tcPr>
                <w:p w14:paraId="235623E9">
                  <w:pPr>
                    <w:pStyle w:val="22"/>
                    <w:bidi w:val="0"/>
                    <w:rPr>
                      <w:rFonts w:hint="default" w:eastAsia="宋体"/>
                      <w:color w:val="auto"/>
                      <w:lang w:val="en-US" w:eastAsia="zh-CN"/>
                    </w:rPr>
                  </w:pPr>
                  <w:r>
                    <w:rPr>
                      <w:color w:val="auto"/>
                    </w:rPr>
                    <w:t>采用雨污分流的排水体制</w:t>
                  </w:r>
                  <w:r>
                    <w:rPr>
                      <w:rFonts w:hint="eastAsia"/>
                      <w:color w:val="auto"/>
                    </w:rPr>
                    <w:t>；</w:t>
                  </w:r>
                  <w:r>
                    <w:rPr>
                      <w:rFonts w:hint="eastAsia"/>
                      <w:color w:val="auto"/>
                      <w:lang w:val="en-GB"/>
                    </w:rPr>
                    <w:t>项目排放生活污水，经化粪池收集预处理后接管</w:t>
                  </w:r>
                  <w:r>
                    <w:rPr>
                      <w:rFonts w:hint="eastAsia"/>
                      <w:color w:val="auto"/>
                      <w:lang w:val="en-US" w:eastAsia="zh-CN"/>
                    </w:rPr>
                    <w:t>园区污水管网；新建设置一套循环冷却水系统</w:t>
                  </w:r>
                  <w:r>
                    <w:rPr>
                      <w:rFonts w:hint="eastAsia"/>
                      <w:color w:val="auto"/>
                      <w:highlight w:val="none"/>
                      <w:lang w:val="en-US" w:eastAsia="zh-CN"/>
                    </w:rPr>
                    <w:t>，循环水量为63m</w:t>
                  </w:r>
                  <w:r>
                    <w:rPr>
                      <w:rFonts w:hint="eastAsia"/>
                      <w:color w:val="auto"/>
                      <w:highlight w:val="none"/>
                      <w:vertAlign w:val="superscript"/>
                      <w:lang w:val="en-US" w:eastAsia="zh-CN"/>
                    </w:rPr>
                    <w:t>3</w:t>
                  </w:r>
                  <w:r>
                    <w:rPr>
                      <w:rFonts w:hint="eastAsia"/>
                      <w:color w:val="auto"/>
                      <w:highlight w:val="none"/>
                      <w:lang w:val="en-US" w:eastAsia="zh-CN"/>
                    </w:rPr>
                    <w:t>/h，</w:t>
                  </w:r>
                  <w:r>
                    <w:rPr>
                      <w:rFonts w:hint="eastAsia"/>
                      <w:color w:val="auto"/>
                      <w:lang w:val="en-US" w:eastAsia="zh-CN"/>
                    </w:rPr>
                    <w:t>冷却水循环使用，定期补充新鲜水。</w:t>
                  </w:r>
                </w:p>
              </w:tc>
              <w:tc>
                <w:tcPr>
                  <w:tcW w:w="601" w:type="pct"/>
                  <w:noWrap w:val="0"/>
                  <w:vAlign w:val="center"/>
                </w:tcPr>
                <w:p w14:paraId="74F3E1F0">
                  <w:pPr>
                    <w:pStyle w:val="22"/>
                    <w:bidi w:val="0"/>
                    <w:rPr>
                      <w:rFonts w:hint="default"/>
                      <w:color w:val="auto"/>
                      <w:lang w:val="en-US"/>
                    </w:rPr>
                  </w:pPr>
                  <w:r>
                    <w:rPr>
                      <w:rFonts w:hint="eastAsia"/>
                      <w:color w:val="auto"/>
                      <w:lang w:val="en-US" w:eastAsia="zh-CN"/>
                    </w:rPr>
                    <w:t>利用现有污水管网</w:t>
                  </w:r>
                </w:p>
              </w:tc>
            </w:tr>
            <w:tr w14:paraId="360E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2659001F">
                  <w:pPr>
                    <w:pStyle w:val="22"/>
                    <w:bidi w:val="0"/>
                    <w:rPr>
                      <w:color w:val="0000FF"/>
                    </w:rPr>
                  </w:pPr>
                </w:p>
              </w:tc>
              <w:tc>
                <w:tcPr>
                  <w:tcW w:w="607" w:type="pct"/>
                  <w:gridSpan w:val="2"/>
                  <w:noWrap w:val="0"/>
                  <w:vAlign w:val="center"/>
                </w:tcPr>
                <w:p w14:paraId="7A105480">
                  <w:pPr>
                    <w:pStyle w:val="22"/>
                    <w:bidi w:val="0"/>
                    <w:rPr>
                      <w:color w:val="auto"/>
                    </w:rPr>
                  </w:pPr>
                  <w:r>
                    <w:rPr>
                      <w:rFonts w:hint="eastAsia"/>
                      <w:color w:val="auto"/>
                    </w:rPr>
                    <w:t>供电</w:t>
                  </w:r>
                </w:p>
              </w:tc>
              <w:tc>
                <w:tcPr>
                  <w:tcW w:w="3097" w:type="pct"/>
                  <w:noWrap w:val="0"/>
                  <w:vAlign w:val="center"/>
                </w:tcPr>
                <w:p w14:paraId="05706526">
                  <w:pPr>
                    <w:pStyle w:val="22"/>
                    <w:bidi w:val="0"/>
                    <w:rPr>
                      <w:rFonts w:hint="eastAsia"/>
                      <w:color w:val="auto"/>
                    </w:rPr>
                  </w:pPr>
                  <w:r>
                    <w:rPr>
                      <w:rFonts w:hint="eastAsia"/>
                      <w:color w:val="auto"/>
                    </w:rPr>
                    <w:t>由市政供电管网提供，年用电量约</w:t>
                  </w:r>
                  <w:r>
                    <w:rPr>
                      <w:rFonts w:hint="eastAsia"/>
                      <w:color w:val="auto"/>
                      <w:lang w:val="en-US" w:eastAsia="zh-CN"/>
                    </w:rPr>
                    <w:t>200</w:t>
                  </w:r>
                  <w:r>
                    <w:rPr>
                      <w:color w:val="auto"/>
                    </w:rPr>
                    <w:t>万k</w:t>
                  </w:r>
                  <w:r>
                    <w:rPr>
                      <w:rFonts w:hint="eastAsia"/>
                      <w:color w:val="auto"/>
                      <w:lang w:val="en-US" w:eastAsia="zh-CN"/>
                    </w:rPr>
                    <w:t>W</w:t>
                  </w:r>
                  <w:r>
                    <w:rPr>
                      <w:color w:val="auto"/>
                    </w:rPr>
                    <w:t>·h</w:t>
                  </w:r>
                  <w:r>
                    <w:rPr>
                      <w:rFonts w:hint="eastAsia"/>
                      <w:color w:val="auto"/>
                    </w:rPr>
                    <w:t>。</w:t>
                  </w:r>
                </w:p>
              </w:tc>
              <w:tc>
                <w:tcPr>
                  <w:tcW w:w="601" w:type="pct"/>
                  <w:noWrap w:val="0"/>
                  <w:vAlign w:val="center"/>
                </w:tcPr>
                <w:p w14:paraId="3DABEF76">
                  <w:pPr>
                    <w:pStyle w:val="22"/>
                    <w:bidi w:val="0"/>
                    <w:rPr>
                      <w:rFonts w:hint="default"/>
                      <w:color w:val="auto"/>
                      <w:lang w:val="en-US"/>
                    </w:rPr>
                  </w:pPr>
                  <w:r>
                    <w:rPr>
                      <w:rFonts w:hint="eastAsia"/>
                      <w:color w:val="auto"/>
                      <w:lang w:val="en-US" w:eastAsia="zh-CN"/>
                    </w:rPr>
                    <w:t>利用现有供电管网</w:t>
                  </w:r>
                </w:p>
              </w:tc>
            </w:tr>
            <w:tr w14:paraId="63474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restart"/>
                  <w:noWrap w:val="0"/>
                  <w:vAlign w:val="center"/>
                </w:tcPr>
                <w:p w14:paraId="5FB7572D">
                  <w:pPr>
                    <w:pStyle w:val="22"/>
                    <w:bidi w:val="0"/>
                    <w:rPr>
                      <w:color w:val="0000FF"/>
                    </w:rPr>
                  </w:pPr>
                  <w:r>
                    <w:rPr>
                      <w:color w:val="auto"/>
                    </w:rPr>
                    <w:t>环保工程</w:t>
                  </w:r>
                </w:p>
              </w:tc>
              <w:tc>
                <w:tcPr>
                  <w:tcW w:w="313" w:type="pct"/>
                  <w:vMerge w:val="restart"/>
                  <w:noWrap w:val="0"/>
                  <w:vAlign w:val="center"/>
                </w:tcPr>
                <w:p w14:paraId="7100D2D4">
                  <w:pPr>
                    <w:pStyle w:val="22"/>
                    <w:bidi w:val="0"/>
                    <w:rPr>
                      <w:color w:val="0000FF"/>
                    </w:rPr>
                  </w:pPr>
                  <w:r>
                    <w:rPr>
                      <w:color w:val="auto"/>
                    </w:rPr>
                    <w:t>废气</w:t>
                  </w:r>
                </w:p>
              </w:tc>
              <w:tc>
                <w:tcPr>
                  <w:tcW w:w="293" w:type="pct"/>
                  <w:noWrap w:val="0"/>
                  <w:vAlign w:val="center"/>
                </w:tcPr>
                <w:p w14:paraId="51130D46">
                  <w:pPr>
                    <w:pStyle w:val="22"/>
                    <w:bidi w:val="0"/>
                    <w:rPr>
                      <w:color w:val="auto"/>
                    </w:rPr>
                  </w:pPr>
                  <w:r>
                    <w:rPr>
                      <w:color w:val="auto"/>
                    </w:rPr>
                    <w:t>有机废气</w:t>
                  </w:r>
                </w:p>
              </w:tc>
              <w:tc>
                <w:tcPr>
                  <w:tcW w:w="3097" w:type="pct"/>
                  <w:noWrap w:val="0"/>
                  <w:vAlign w:val="center"/>
                </w:tcPr>
                <w:p w14:paraId="19F04AF2">
                  <w:pPr>
                    <w:pStyle w:val="22"/>
                    <w:bidi w:val="0"/>
                    <w:rPr>
                      <w:rFonts w:hint="default"/>
                      <w:color w:val="auto"/>
                      <w:lang w:val="en-US" w:eastAsia="zh-CN"/>
                    </w:rPr>
                  </w:pPr>
                  <w:r>
                    <w:rPr>
                      <w:rFonts w:hint="eastAsia"/>
                      <w:color w:val="auto"/>
                      <w:lang w:val="en-US" w:eastAsia="zh-CN"/>
                    </w:rPr>
                    <w:t>塑料粒子加热熔融挤出废气经过出口安装集气罩收集后经二级活性炭吸附装置处理后经15m排气筒DA001排放。双螺杆挤出机排气孔废气经管道密闭收集并入废气收集处理装置。</w:t>
                  </w:r>
                </w:p>
              </w:tc>
              <w:tc>
                <w:tcPr>
                  <w:tcW w:w="601" w:type="pct"/>
                  <w:noWrap w:val="0"/>
                  <w:vAlign w:val="center"/>
                </w:tcPr>
                <w:p w14:paraId="66F1D28B">
                  <w:pPr>
                    <w:pStyle w:val="22"/>
                    <w:bidi w:val="0"/>
                    <w:rPr>
                      <w:rFonts w:hint="eastAsia"/>
                      <w:color w:val="auto"/>
                    </w:rPr>
                  </w:pPr>
                  <w:r>
                    <w:rPr>
                      <w:rFonts w:hint="eastAsia"/>
                      <w:color w:val="auto"/>
                    </w:rPr>
                    <w:t>/</w:t>
                  </w:r>
                </w:p>
              </w:tc>
            </w:tr>
            <w:tr w14:paraId="21293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6A04D9DE">
                  <w:pPr>
                    <w:pStyle w:val="22"/>
                    <w:bidi w:val="0"/>
                    <w:rPr>
                      <w:color w:val="0000FF"/>
                    </w:rPr>
                  </w:pPr>
                </w:p>
              </w:tc>
              <w:tc>
                <w:tcPr>
                  <w:tcW w:w="313" w:type="pct"/>
                  <w:vMerge w:val="continue"/>
                  <w:noWrap w:val="0"/>
                  <w:vAlign w:val="center"/>
                </w:tcPr>
                <w:p w14:paraId="132CDD28">
                  <w:pPr>
                    <w:pStyle w:val="22"/>
                    <w:bidi w:val="0"/>
                    <w:rPr>
                      <w:color w:val="0000FF"/>
                    </w:rPr>
                  </w:pPr>
                </w:p>
              </w:tc>
              <w:tc>
                <w:tcPr>
                  <w:tcW w:w="293" w:type="pct"/>
                  <w:noWrap w:val="0"/>
                  <w:vAlign w:val="center"/>
                </w:tcPr>
                <w:p w14:paraId="62D282BC">
                  <w:pPr>
                    <w:pStyle w:val="22"/>
                    <w:bidi w:val="0"/>
                    <w:rPr>
                      <w:rFonts w:hint="eastAsia"/>
                      <w:color w:val="auto"/>
                    </w:rPr>
                  </w:pPr>
                  <w:r>
                    <w:rPr>
                      <w:rFonts w:hint="eastAsia"/>
                      <w:color w:val="auto"/>
                    </w:rPr>
                    <w:t>颗粒物</w:t>
                  </w:r>
                </w:p>
              </w:tc>
              <w:tc>
                <w:tcPr>
                  <w:tcW w:w="3097" w:type="pct"/>
                  <w:noWrap w:val="0"/>
                  <w:vAlign w:val="center"/>
                </w:tcPr>
                <w:p w14:paraId="4373FD15">
                  <w:pPr>
                    <w:pStyle w:val="22"/>
                    <w:bidi w:val="0"/>
                    <w:rPr>
                      <w:rFonts w:hint="default"/>
                      <w:color w:val="auto"/>
                      <w:lang w:val="en-US" w:eastAsia="zh-CN"/>
                    </w:rPr>
                  </w:pPr>
                  <w:r>
                    <w:rPr>
                      <w:rFonts w:hint="eastAsia"/>
                      <w:color w:val="auto"/>
                      <w:lang w:val="en-US" w:eastAsia="zh-CN"/>
                    </w:rPr>
                    <w:t>塑料颗粒人工上料至集中供料系统料斗，上料粉尘经集气罩收集采用袋式除尘器处理后经15m排气筒DA002排放</w:t>
                  </w:r>
                  <w:r>
                    <w:rPr>
                      <w:rFonts w:hint="eastAsia"/>
                      <w:color w:val="auto"/>
                      <w:lang w:eastAsia="zh-CN"/>
                    </w:rPr>
                    <w:t>；</w:t>
                  </w:r>
                  <w:r>
                    <w:rPr>
                      <w:rFonts w:hint="eastAsia"/>
                      <w:color w:val="auto"/>
                      <w:lang w:val="en-US" w:eastAsia="zh-CN"/>
                    </w:rPr>
                    <w:t>边角料收集经破碎机破碎，产生破碎粉尘经密闭收集后并入袋式除尘器处理后经15m排气筒DA002排放。</w:t>
                  </w:r>
                </w:p>
              </w:tc>
              <w:tc>
                <w:tcPr>
                  <w:tcW w:w="601" w:type="pct"/>
                  <w:noWrap w:val="0"/>
                  <w:vAlign w:val="center"/>
                </w:tcPr>
                <w:p w14:paraId="14231DDF">
                  <w:pPr>
                    <w:pStyle w:val="22"/>
                    <w:bidi w:val="0"/>
                    <w:rPr>
                      <w:rFonts w:hint="eastAsia"/>
                      <w:color w:val="auto"/>
                    </w:rPr>
                  </w:pPr>
                  <w:r>
                    <w:rPr>
                      <w:rFonts w:hint="eastAsia"/>
                      <w:color w:val="auto"/>
                    </w:rPr>
                    <w:t>/</w:t>
                  </w:r>
                </w:p>
              </w:tc>
            </w:tr>
            <w:tr w14:paraId="0B250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5CD6C35D">
                  <w:pPr>
                    <w:pStyle w:val="22"/>
                    <w:bidi w:val="0"/>
                    <w:rPr>
                      <w:color w:val="0000FF"/>
                    </w:rPr>
                  </w:pPr>
                </w:p>
              </w:tc>
              <w:tc>
                <w:tcPr>
                  <w:tcW w:w="607" w:type="pct"/>
                  <w:gridSpan w:val="2"/>
                  <w:noWrap w:val="0"/>
                  <w:vAlign w:val="center"/>
                </w:tcPr>
                <w:p w14:paraId="26D699E8">
                  <w:pPr>
                    <w:pStyle w:val="22"/>
                    <w:bidi w:val="0"/>
                    <w:rPr>
                      <w:color w:val="auto"/>
                    </w:rPr>
                  </w:pPr>
                  <w:r>
                    <w:rPr>
                      <w:color w:val="auto"/>
                    </w:rPr>
                    <w:t>废水</w:t>
                  </w:r>
                </w:p>
              </w:tc>
              <w:tc>
                <w:tcPr>
                  <w:tcW w:w="3097" w:type="pct"/>
                  <w:noWrap w:val="0"/>
                  <w:vAlign w:val="center"/>
                </w:tcPr>
                <w:p w14:paraId="1014F537">
                  <w:pPr>
                    <w:pStyle w:val="22"/>
                    <w:bidi w:val="0"/>
                    <w:rPr>
                      <w:rFonts w:hint="default"/>
                      <w:color w:val="auto"/>
                      <w:lang w:val="en-US"/>
                    </w:rPr>
                  </w:pPr>
                  <w:r>
                    <w:rPr>
                      <w:color w:val="auto"/>
                      <w:lang w:val="en-GB"/>
                    </w:rPr>
                    <w:t>本项目采用雨污分流，雨水进入雨水管网，污水主要为生活污水，</w:t>
                  </w:r>
                  <w:r>
                    <w:rPr>
                      <w:rFonts w:hint="eastAsia"/>
                      <w:color w:val="auto"/>
                      <w:lang w:val="en-US" w:eastAsia="zh-CN"/>
                    </w:rPr>
                    <w:t>生活污水</w:t>
                  </w:r>
                  <w:r>
                    <w:rPr>
                      <w:color w:val="auto"/>
                      <w:lang w:val="en-GB"/>
                    </w:rPr>
                    <w:t>经</w:t>
                  </w:r>
                  <w:r>
                    <w:rPr>
                      <w:rFonts w:hint="eastAsia"/>
                      <w:color w:val="auto"/>
                      <w:lang w:val="en-GB"/>
                    </w:rPr>
                    <w:t>化粪池预处理接管污水管网</w:t>
                  </w:r>
                  <w:r>
                    <w:rPr>
                      <w:color w:val="auto"/>
                      <w:lang w:val="en-GB"/>
                    </w:rPr>
                    <w:t>进入</w:t>
                  </w:r>
                  <w:r>
                    <w:rPr>
                      <w:rFonts w:hint="eastAsia"/>
                      <w:color w:val="auto"/>
                      <w:lang w:val="en-US" w:eastAsia="zh-CN"/>
                    </w:rPr>
                    <w:t>安徽（淮南）现代煤化工产业园园区污水处理厂，尾水达到《工业循环冷却水处理设计规范》（GB/T50050-2017）中“再生水用于间冷开式循环冷却水系统补充水的水质指标”（其中COD≤50mg/L），尾水回用，不外排。循环冷却水系统每日补充新鲜水。</w:t>
                  </w:r>
                </w:p>
              </w:tc>
              <w:tc>
                <w:tcPr>
                  <w:tcW w:w="601" w:type="pct"/>
                  <w:noWrap w:val="0"/>
                  <w:vAlign w:val="center"/>
                </w:tcPr>
                <w:p w14:paraId="7D010C35">
                  <w:pPr>
                    <w:pStyle w:val="22"/>
                    <w:bidi w:val="0"/>
                    <w:rPr>
                      <w:rFonts w:hint="eastAsia"/>
                      <w:color w:val="auto"/>
                    </w:rPr>
                  </w:pPr>
                  <w:r>
                    <w:rPr>
                      <w:rFonts w:hint="eastAsia"/>
                      <w:color w:val="auto"/>
                    </w:rPr>
                    <w:t>/</w:t>
                  </w:r>
                </w:p>
              </w:tc>
            </w:tr>
            <w:tr w14:paraId="1F04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18994D91">
                  <w:pPr>
                    <w:pStyle w:val="22"/>
                    <w:bidi w:val="0"/>
                    <w:rPr>
                      <w:color w:val="0000FF"/>
                    </w:rPr>
                  </w:pPr>
                </w:p>
              </w:tc>
              <w:tc>
                <w:tcPr>
                  <w:tcW w:w="607" w:type="pct"/>
                  <w:gridSpan w:val="2"/>
                  <w:noWrap w:val="0"/>
                  <w:vAlign w:val="center"/>
                </w:tcPr>
                <w:p w14:paraId="37A539F9">
                  <w:pPr>
                    <w:pStyle w:val="22"/>
                    <w:bidi w:val="0"/>
                    <w:rPr>
                      <w:color w:val="auto"/>
                    </w:rPr>
                  </w:pPr>
                  <w:r>
                    <w:rPr>
                      <w:color w:val="auto"/>
                    </w:rPr>
                    <w:t>噪声</w:t>
                  </w:r>
                </w:p>
              </w:tc>
              <w:tc>
                <w:tcPr>
                  <w:tcW w:w="3097" w:type="pct"/>
                  <w:noWrap w:val="0"/>
                  <w:vAlign w:val="center"/>
                </w:tcPr>
                <w:p w14:paraId="38BD79F6">
                  <w:pPr>
                    <w:pStyle w:val="22"/>
                    <w:bidi w:val="0"/>
                    <w:rPr>
                      <w:color w:val="auto"/>
                    </w:rPr>
                  </w:pPr>
                  <w:r>
                    <w:rPr>
                      <w:rFonts w:hint="eastAsia"/>
                      <w:color w:val="auto"/>
                    </w:rPr>
                    <w:t>合理布局，隔声、减振、消声等措施</w:t>
                  </w:r>
                </w:p>
              </w:tc>
              <w:tc>
                <w:tcPr>
                  <w:tcW w:w="601" w:type="pct"/>
                  <w:noWrap w:val="0"/>
                  <w:vAlign w:val="center"/>
                </w:tcPr>
                <w:p w14:paraId="27A2C3F9">
                  <w:pPr>
                    <w:pStyle w:val="22"/>
                    <w:bidi w:val="0"/>
                    <w:rPr>
                      <w:rFonts w:hint="eastAsia"/>
                      <w:color w:val="auto"/>
                    </w:rPr>
                  </w:pPr>
                  <w:r>
                    <w:rPr>
                      <w:rFonts w:hint="eastAsia"/>
                      <w:color w:val="auto"/>
                    </w:rPr>
                    <w:t>/</w:t>
                  </w:r>
                </w:p>
              </w:tc>
            </w:tr>
            <w:tr w14:paraId="5E34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2E417E5D">
                  <w:pPr>
                    <w:pStyle w:val="22"/>
                    <w:bidi w:val="0"/>
                    <w:rPr>
                      <w:color w:val="0000FF"/>
                    </w:rPr>
                  </w:pPr>
                </w:p>
              </w:tc>
              <w:tc>
                <w:tcPr>
                  <w:tcW w:w="607" w:type="pct"/>
                  <w:gridSpan w:val="2"/>
                  <w:noWrap w:val="0"/>
                  <w:vAlign w:val="center"/>
                </w:tcPr>
                <w:p w14:paraId="4FDEBC79">
                  <w:pPr>
                    <w:pStyle w:val="22"/>
                    <w:bidi w:val="0"/>
                    <w:rPr>
                      <w:color w:val="auto"/>
                    </w:rPr>
                  </w:pPr>
                  <w:r>
                    <w:rPr>
                      <w:rFonts w:hint="eastAsia"/>
                      <w:color w:val="auto"/>
                    </w:rPr>
                    <w:t>固废</w:t>
                  </w:r>
                </w:p>
              </w:tc>
              <w:tc>
                <w:tcPr>
                  <w:tcW w:w="3097" w:type="pct"/>
                  <w:noWrap w:val="0"/>
                  <w:vAlign w:val="center"/>
                </w:tcPr>
                <w:p w14:paraId="38690683">
                  <w:pPr>
                    <w:pStyle w:val="22"/>
                    <w:bidi w:val="0"/>
                    <w:rPr>
                      <w:color w:val="auto"/>
                    </w:rPr>
                  </w:pPr>
                  <w:r>
                    <w:rPr>
                      <w:rFonts w:hint="eastAsia"/>
                      <w:color w:val="auto"/>
                      <w:lang w:val="en-US" w:eastAsia="zh-CN"/>
                    </w:rPr>
                    <w:t>厂房内北侧设置</w:t>
                  </w:r>
                  <w:r>
                    <w:rPr>
                      <w:rFonts w:hint="eastAsia"/>
                      <w:color w:val="auto"/>
                    </w:rPr>
                    <w:t>一般固废</w:t>
                  </w:r>
                  <w:r>
                    <w:rPr>
                      <w:rFonts w:hint="eastAsia"/>
                      <w:color w:val="auto"/>
                      <w:lang w:val="en-US" w:eastAsia="zh-CN"/>
                    </w:rPr>
                    <w:t>暂存间10</w:t>
                  </w:r>
                  <w:r>
                    <w:rPr>
                      <w:rFonts w:hint="default"/>
                      <w:color w:val="auto"/>
                      <w:lang w:val="en-US" w:eastAsia="zh-CN"/>
                    </w:rPr>
                    <w:t>m</w:t>
                  </w:r>
                  <w:r>
                    <w:rPr>
                      <w:rFonts w:hint="default"/>
                      <w:color w:val="auto"/>
                      <w:vertAlign w:val="superscript"/>
                      <w:lang w:val="en-US" w:eastAsia="zh-CN"/>
                    </w:rPr>
                    <w:t>2</w:t>
                  </w:r>
                  <w:r>
                    <w:rPr>
                      <w:rFonts w:hint="eastAsia"/>
                      <w:color w:val="auto"/>
                      <w:lang w:eastAsia="zh-CN"/>
                    </w:rPr>
                    <w:t>，</w:t>
                  </w:r>
                  <w:r>
                    <w:rPr>
                      <w:rFonts w:hint="eastAsia"/>
                      <w:color w:val="auto"/>
                      <w:lang w:val="en-US" w:eastAsia="zh-CN"/>
                    </w:rPr>
                    <w:t>用于暂存包装袋等</w:t>
                  </w:r>
                  <w:r>
                    <w:rPr>
                      <w:rFonts w:hint="eastAsia"/>
                      <w:color w:val="auto"/>
                    </w:rPr>
                    <w:t>；废机油</w:t>
                  </w:r>
                  <w:r>
                    <w:rPr>
                      <w:rFonts w:hint="eastAsia"/>
                      <w:color w:val="auto"/>
                      <w:lang w:val="en-US" w:eastAsia="zh-CN"/>
                    </w:rPr>
                    <w:t>等</w:t>
                  </w:r>
                  <w:r>
                    <w:rPr>
                      <w:rFonts w:hint="eastAsia"/>
                      <w:color w:val="auto"/>
                    </w:rPr>
                    <w:t>危险废物</w:t>
                  </w:r>
                  <w:r>
                    <w:rPr>
                      <w:color w:val="auto"/>
                    </w:rPr>
                    <w:t>收集后</w:t>
                  </w:r>
                  <w:r>
                    <w:rPr>
                      <w:rFonts w:hint="eastAsia"/>
                      <w:color w:val="auto"/>
                      <w:lang w:val="en-US" w:eastAsia="zh-CN"/>
                    </w:rPr>
                    <w:t>分别暂存于生产厂房内南侧建设</w:t>
                  </w:r>
                  <w:r>
                    <w:rPr>
                      <w:rFonts w:hint="eastAsia"/>
                      <w:color w:val="auto"/>
                    </w:rPr>
                    <w:t>危废间</w:t>
                  </w:r>
                  <w:r>
                    <w:rPr>
                      <w:rFonts w:hint="eastAsia"/>
                      <w:color w:val="auto"/>
                      <w:lang w:val="en-US" w:eastAsia="zh-CN"/>
                    </w:rPr>
                    <w:t>10</w:t>
                  </w:r>
                  <w:r>
                    <w:rPr>
                      <w:rFonts w:hint="default"/>
                      <w:color w:val="auto"/>
                      <w:lang w:val="en-US" w:eastAsia="zh-CN"/>
                    </w:rPr>
                    <w:t>m</w:t>
                  </w:r>
                  <w:r>
                    <w:rPr>
                      <w:rFonts w:hint="default"/>
                      <w:color w:val="auto"/>
                      <w:vertAlign w:val="superscript"/>
                      <w:lang w:val="en-US" w:eastAsia="zh-CN"/>
                    </w:rPr>
                    <w:t>2</w:t>
                  </w:r>
                  <w:r>
                    <w:rPr>
                      <w:rFonts w:hint="eastAsia"/>
                      <w:color w:val="auto"/>
                    </w:rPr>
                    <w:t>暂存</w:t>
                  </w:r>
                  <w:r>
                    <w:rPr>
                      <w:color w:val="auto"/>
                    </w:rPr>
                    <w:t>，后交有资质单位处置</w:t>
                  </w:r>
                  <w:r>
                    <w:rPr>
                      <w:rFonts w:hint="eastAsia"/>
                      <w:color w:val="auto"/>
                    </w:rPr>
                    <w:t>；</w:t>
                  </w:r>
                  <w:r>
                    <w:rPr>
                      <w:color w:val="auto"/>
                    </w:rPr>
                    <w:t>职工生活垃圾交由环卫部门处理处置</w:t>
                  </w:r>
                </w:p>
              </w:tc>
              <w:tc>
                <w:tcPr>
                  <w:tcW w:w="601" w:type="pct"/>
                  <w:noWrap w:val="0"/>
                  <w:vAlign w:val="center"/>
                </w:tcPr>
                <w:p w14:paraId="39D64A8C">
                  <w:pPr>
                    <w:pStyle w:val="22"/>
                    <w:bidi w:val="0"/>
                    <w:rPr>
                      <w:rFonts w:hint="eastAsia"/>
                      <w:color w:val="auto"/>
                    </w:rPr>
                  </w:pPr>
                  <w:r>
                    <w:rPr>
                      <w:rFonts w:hint="eastAsia"/>
                      <w:color w:val="auto"/>
                    </w:rPr>
                    <w:t>/</w:t>
                  </w:r>
                </w:p>
              </w:tc>
            </w:tr>
            <w:tr w14:paraId="6DCB9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0CC02617">
                  <w:pPr>
                    <w:pStyle w:val="22"/>
                    <w:bidi w:val="0"/>
                    <w:rPr>
                      <w:color w:val="0000FF"/>
                    </w:rPr>
                  </w:pPr>
                </w:p>
              </w:tc>
              <w:tc>
                <w:tcPr>
                  <w:tcW w:w="607" w:type="pct"/>
                  <w:gridSpan w:val="2"/>
                  <w:noWrap w:val="0"/>
                  <w:vAlign w:val="center"/>
                </w:tcPr>
                <w:p w14:paraId="121E3A50">
                  <w:pPr>
                    <w:pStyle w:val="22"/>
                    <w:bidi w:val="0"/>
                    <w:rPr>
                      <w:color w:val="auto"/>
                    </w:rPr>
                  </w:pPr>
                  <w:r>
                    <w:rPr>
                      <w:rFonts w:hint="eastAsia"/>
                      <w:color w:val="auto"/>
                    </w:rPr>
                    <w:t>风险防范</w:t>
                  </w:r>
                </w:p>
              </w:tc>
              <w:tc>
                <w:tcPr>
                  <w:tcW w:w="3097" w:type="pct"/>
                  <w:noWrap w:val="0"/>
                  <w:vAlign w:val="center"/>
                </w:tcPr>
                <w:p w14:paraId="2AE137B3">
                  <w:pPr>
                    <w:pStyle w:val="22"/>
                    <w:bidi w:val="0"/>
                    <w:rPr>
                      <w:color w:val="auto"/>
                    </w:rPr>
                  </w:pPr>
                  <w:r>
                    <w:rPr>
                      <w:color w:val="auto"/>
                    </w:rPr>
                    <w:t>危废暂存库</w:t>
                  </w:r>
                  <w:r>
                    <w:rPr>
                      <w:rFonts w:hint="eastAsia"/>
                      <w:color w:val="auto"/>
                    </w:rPr>
                    <w:t>按照重点防渗区进行防渗，日常应注意设置充足的</w:t>
                  </w:r>
                  <w:r>
                    <w:rPr>
                      <w:rFonts w:hint="eastAsia"/>
                      <w:color w:val="auto"/>
                      <w:lang w:eastAsia="zh-CN"/>
                    </w:rPr>
                    <w:t>应急物资以</w:t>
                  </w:r>
                  <w:r>
                    <w:rPr>
                      <w:rFonts w:hint="eastAsia"/>
                      <w:color w:val="auto"/>
                    </w:rPr>
                    <w:t>及消防设备的维护保养。</w:t>
                  </w:r>
                </w:p>
              </w:tc>
              <w:tc>
                <w:tcPr>
                  <w:tcW w:w="601" w:type="pct"/>
                  <w:noWrap w:val="0"/>
                  <w:vAlign w:val="center"/>
                </w:tcPr>
                <w:p w14:paraId="0DB5546B">
                  <w:pPr>
                    <w:pStyle w:val="22"/>
                    <w:bidi w:val="0"/>
                    <w:rPr>
                      <w:rFonts w:hint="eastAsia"/>
                      <w:color w:val="auto"/>
                    </w:rPr>
                  </w:pPr>
                  <w:r>
                    <w:rPr>
                      <w:rFonts w:hint="eastAsia"/>
                      <w:color w:val="auto"/>
                    </w:rPr>
                    <w:t>/</w:t>
                  </w:r>
                </w:p>
              </w:tc>
            </w:tr>
          </w:tbl>
          <w:p w14:paraId="040F03B0">
            <w:pPr>
              <w:keepNext w:val="0"/>
              <w:keepLines w:val="0"/>
              <w:pageBreakBefore w:val="0"/>
              <w:widowControl w:val="0"/>
              <w:kinsoku/>
              <w:wordWrap/>
              <w:overflowPunct/>
              <w:topLinePunct w:val="0"/>
              <w:autoSpaceDE/>
              <w:autoSpaceDN/>
              <w:bidi w:val="0"/>
              <w:adjustRightInd w:val="0"/>
              <w:snapToGrid w:val="0"/>
              <w:textAlignment w:val="auto"/>
              <w:rPr>
                <w:b/>
                <w:bCs/>
                <w:color w:val="auto"/>
              </w:rPr>
            </w:pPr>
            <w:r>
              <w:rPr>
                <w:rFonts w:hint="eastAsia"/>
                <w:b/>
                <w:bCs/>
                <w:color w:val="auto"/>
                <w:lang w:val="en-US" w:eastAsia="zh-CN"/>
              </w:rPr>
              <w:t>2.</w:t>
            </w:r>
            <w:r>
              <w:rPr>
                <w:rFonts w:hint="eastAsia"/>
                <w:b/>
                <w:bCs/>
                <w:color w:val="auto"/>
              </w:rPr>
              <w:t>3</w:t>
            </w:r>
            <w:r>
              <w:rPr>
                <w:rFonts w:hint="eastAsia"/>
                <w:b/>
                <w:bCs/>
                <w:color w:val="auto"/>
                <w:lang w:eastAsia="zh-CN"/>
              </w:rPr>
              <w:t>、</w:t>
            </w:r>
            <w:r>
              <w:rPr>
                <w:b/>
                <w:bCs/>
                <w:color w:val="auto"/>
              </w:rPr>
              <w:t>产品方案</w:t>
            </w:r>
          </w:p>
          <w:p w14:paraId="5AD06A23">
            <w:pPr>
              <w:keepNext w:val="0"/>
              <w:keepLines w:val="0"/>
              <w:pageBreakBefore w:val="0"/>
              <w:widowControl w:val="0"/>
              <w:kinsoku/>
              <w:wordWrap/>
              <w:overflowPunct/>
              <w:topLinePunct w:val="0"/>
              <w:autoSpaceDE/>
              <w:autoSpaceDN/>
              <w:bidi w:val="0"/>
              <w:adjustRightInd w:val="0"/>
              <w:snapToGrid w:val="0"/>
              <w:textAlignment w:val="auto"/>
              <w:rPr>
                <w:rFonts w:hint="default"/>
                <w:color w:val="auto"/>
                <w:lang w:val="en-US" w:eastAsia="zh-CN"/>
              </w:rPr>
            </w:pPr>
            <w:r>
              <w:rPr>
                <w:rFonts w:hint="eastAsia"/>
                <w:color w:val="auto"/>
              </w:rPr>
              <w:t>本项目</w:t>
            </w:r>
            <w:r>
              <w:rPr>
                <w:rFonts w:hint="eastAsia"/>
                <w:color w:val="auto"/>
                <w:lang w:val="en-US" w:eastAsia="zh-CN"/>
              </w:rPr>
              <w:t>方案见下表。</w:t>
            </w:r>
          </w:p>
          <w:p w14:paraId="05634D03">
            <w:pPr>
              <w:pStyle w:val="21"/>
              <w:bidi w:val="0"/>
              <w:rPr>
                <w:rFonts w:hint="eastAsia"/>
                <w:color w:val="auto"/>
              </w:rPr>
            </w:pPr>
            <w:r>
              <w:rPr>
                <w:color w:val="auto"/>
              </w:rPr>
              <w:t>表</w:t>
            </w:r>
            <w:r>
              <w:rPr>
                <w:rFonts w:hint="eastAsia"/>
                <w:color w:val="auto"/>
              </w:rPr>
              <w:t>2-4</w:t>
            </w:r>
            <w:r>
              <w:rPr>
                <w:color w:val="auto"/>
              </w:rPr>
              <w:t xml:space="preserve"> </w:t>
            </w:r>
            <w:r>
              <w:rPr>
                <w:rFonts w:hint="eastAsia"/>
                <w:color w:val="auto"/>
                <w:lang w:val="en-US" w:eastAsia="zh-CN"/>
              </w:rPr>
              <w:t xml:space="preserve"> </w:t>
            </w:r>
            <w:r>
              <w:rPr>
                <w:color w:val="auto"/>
              </w:rPr>
              <w:t>本项目主要产品方案</w:t>
            </w:r>
          </w:p>
          <w:tbl>
            <w:tblPr>
              <w:tblStyle w:val="12"/>
              <w:tblW w:w="49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9"/>
              <w:gridCol w:w="1775"/>
              <w:gridCol w:w="1280"/>
              <w:gridCol w:w="2977"/>
            </w:tblGrid>
            <w:tr w14:paraId="61E49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17" w:type="pct"/>
                  <w:noWrap w:val="0"/>
                  <w:vAlign w:val="center"/>
                </w:tcPr>
                <w:p w14:paraId="7E7D6E0F">
                  <w:pPr>
                    <w:pStyle w:val="22"/>
                    <w:bidi w:val="0"/>
                    <w:rPr>
                      <w:b/>
                      <w:bCs/>
                      <w:color w:val="auto"/>
                    </w:rPr>
                  </w:pPr>
                  <w:r>
                    <w:rPr>
                      <w:b/>
                      <w:bCs/>
                      <w:color w:val="auto"/>
                    </w:rPr>
                    <w:t>产品名称</w:t>
                  </w:r>
                </w:p>
              </w:tc>
              <w:tc>
                <w:tcPr>
                  <w:tcW w:w="1083" w:type="pct"/>
                  <w:noWrap w:val="0"/>
                  <w:vAlign w:val="center"/>
                </w:tcPr>
                <w:p w14:paraId="1522E78D">
                  <w:pPr>
                    <w:pStyle w:val="22"/>
                    <w:bidi w:val="0"/>
                    <w:rPr>
                      <w:b/>
                      <w:bCs/>
                      <w:color w:val="auto"/>
                    </w:rPr>
                  </w:pPr>
                  <w:r>
                    <w:rPr>
                      <w:b/>
                      <w:bCs/>
                      <w:color w:val="auto"/>
                    </w:rPr>
                    <w:t>规格</w:t>
                  </w:r>
                </w:p>
              </w:tc>
              <w:tc>
                <w:tcPr>
                  <w:tcW w:w="781" w:type="pct"/>
                  <w:noWrap w:val="0"/>
                  <w:vAlign w:val="center"/>
                </w:tcPr>
                <w:p w14:paraId="687459F3">
                  <w:pPr>
                    <w:pStyle w:val="22"/>
                    <w:bidi w:val="0"/>
                    <w:rPr>
                      <w:rFonts w:hint="eastAsia"/>
                      <w:b/>
                      <w:bCs/>
                      <w:color w:val="auto"/>
                      <w:lang w:eastAsia="zh-CN"/>
                    </w:rPr>
                  </w:pPr>
                  <w:r>
                    <w:rPr>
                      <w:b/>
                      <w:bCs/>
                      <w:color w:val="auto"/>
                    </w:rPr>
                    <w:t>年产量</w:t>
                  </w:r>
                </w:p>
              </w:tc>
              <w:tc>
                <w:tcPr>
                  <w:tcW w:w="1817" w:type="pct"/>
                  <w:noWrap w:val="0"/>
                  <w:vAlign w:val="center"/>
                </w:tcPr>
                <w:p w14:paraId="3797541D">
                  <w:pPr>
                    <w:pStyle w:val="22"/>
                    <w:bidi w:val="0"/>
                    <w:rPr>
                      <w:rFonts w:hint="default" w:eastAsia="宋体"/>
                      <w:b/>
                      <w:bCs/>
                      <w:color w:val="auto"/>
                      <w:lang w:val="en-US" w:eastAsia="zh-CN"/>
                    </w:rPr>
                  </w:pPr>
                  <w:r>
                    <w:rPr>
                      <w:rFonts w:hint="eastAsia"/>
                      <w:b/>
                      <w:bCs/>
                      <w:color w:val="auto"/>
                      <w:lang w:val="en-US" w:eastAsia="zh-CN"/>
                    </w:rPr>
                    <w:t>质量标准</w:t>
                  </w:r>
                </w:p>
              </w:tc>
            </w:tr>
            <w:tr w14:paraId="2C47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17" w:type="pct"/>
                  <w:noWrap w:val="0"/>
                  <w:vAlign w:val="center"/>
                </w:tcPr>
                <w:p w14:paraId="4EED8E66">
                  <w:pPr>
                    <w:pStyle w:val="22"/>
                    <w:bidi w:val="0"/>
                    <w:rPr>
                      <w:rFonts w:hint="default" w:eastAsia="宋体"/>
                      <w:color w:val="auto"/>
                      <w:lang w:val="en-US" w:eastAsia="zh-CN"/>
                    </w:rPr>
                  </w:pPr>
                  <w:r>
                    <w:rPr>
                      <w:rFonts w:hint="eastAsia"/>
                      <w:color w:val="auto"/>
                      <w:lang w:val="en-US" w:eastAsia="zh-CN"/>
                    </w:rPr>
                    <w:t>PE塑料管材管件</w:t>
                  </w:r>
                </w:p>
              </w:tc>
              <w:tc>
                <w:tcPr>
                  <w:tcW w:w="1083" w:type="pct"/>
                  <w:noWrap w:val="0"/>
                  <w:vAlign w:val="center"/>
                </w:tcPr>
                <w:p w14:paraId="27A17247">
                  <w:pPr>
                    <w:pStyle w:val="22"/>
                    <w:bidi w:val="0"/>
                    <w:rPr>
                      <w:rFonts w:hint="default"/>
                      <w:color w:val="auto"/>
                    </w:rPr>
                  </w:pPr>
                  <w:r>
                    <w:rPr>
                      <w:rFonts w:hint="default"/>
                      <w:color w:val="auto"/>
                      <w:lang w:val="en-US" w:eastAsia="zh-CN"/>
                    </w:rPr>
                    <w:t>DN16~1000</w:t>
                  </w:r>
                </w:p>
              </w:tc>
              <w:tc>
                <w:tcPr>
                  <w:tcW w:w="781" w:type="pct"/>
                  <w:noWrap w:val="0"/>
                  <w:vAlign w:val="center"/>
                </w:tcPr>
                <w:p w14:paraId="3290B492">
                  <w:pPr>
                    <w:pStyle w:val="22"/>
                    <w:bidi w:val="0"/>
                    <w:rPr>
                      <w:rFonts w:hint="default"/>
                      <w:color w:val="auto"/>
                      <w:lang w:val="en-US" w:eastAsia="zh-CN"/>
                    </w:rPr>
                  </w:pPr>
                  <w:r>
                    <w:rPr>
                      <w:rFonts w:hint="eastAsia"/>
                      <w:color w:val="auto"/>
                      <w:lang w:val="en-US" w:eastAsia="zh-CN"/>
                    </w:rPr>
                    <w:t>1000t/a</w:t>
                  </w:r>
                </w:p>
              </w:tc>
              <w:tc>
                <w:tcPr>
                  <w:tcW w:w="1817" w:type="pct"/>
                  <w:noWrap w:val="0"/>
                  <w:vAlign w:val="center"/>
                </w:tcPr>
                <w:p w14:paraId="37B87B3F">
                  <w:pPr>
                    <w:pStyle w:val="22"/>
                    <w:bidi w:val="0"/>
                    <w:rPr>
                      <w:rFonts w:hint="default"/>
                      <w:color w:val="auto"/>
                      <w:lang w:val="en-US" w:eastAsia="zh-CN"/>
                    </w:rPr>
                  </w:pPr>
                  <w:r>
                    <w:rPr>
                      <w:rFonts w:hint="eastAsia"/>
                      <w:color w:val="auto"/>
                      <w:lang w:val="en-US" w:eastAsia="zh-CN"/>
                    </w:rPr>
                    <w:t>《给水用聚乙烯（PE）管道系统 第2部分：管件》GB/T 13663.2-2005</w:t>
                  </w:r>
                </w:p>
              </w:tc>
            </w:tr>
            <w:tr w14:paraId="52F8F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17" w:type="pct"/>
                  <w:noWrap w:val="0"/>
                  <w:vAlign w:val="center"/>
                </w:tcPr>
                <w:p w14:paraId="04BE86CF">
                  <w:pPr>
                    <w:pStyle w:val="22"/>
                    <w:bidi w:val="0"/>
                    <w:rPr>
                      <w:rFonts w:hint="default"/>
                      <w:color w:val="auto"/>
                      <w:lang w:val="en-US"/>
                    </w:rPr>
                  </w:pPr>
                  <w:r>
                    <w:rPr>
                      <w:rFonts w:hint="eastAsia"/>
                      <w:color w:val="auto"/>
                      <w:lang w:val="en-US" w:eastAsia="zh-CN"/>
                    </w:rPr>
                    <w:t>PP塑料管材管件</w:t>
                  </w:r>
                </w:p>
              </w:tc>
              <w:tc>
                <w:tcPr>
                  <w:tcW w:w="1083" w:type="pct"/>
                  <w:noWrap w:val="0"/>
                  <w:vAlign w:val="center"/>
                </w:tcPr>
                <w:p w14:paraId="5ED21390">
                  <w:pPr>
                    <w:pStyle w:val="22"/>
                    <w:bidi w:val="0"/>
                    <w:rPr>
                      <w:rFonts w:hint="default"/>
                      <w:color w:val="auto"/>
                    </w:rPr>
                  </w:pPr>
                  <w:r>
                    <w:rPr>
                      <w:rFonts w:hint="default"/>
                      <w:color w:val="auto"/>
                      <w:lang w:val="en-US" w:eastAsia="zh-CN"/>
                    </w:rPr>
                    <w:t>DN16~1000</w:t>
                  </w:r>
                </w:p>
              </w:tc>
              <w:tc>
                <w:tcPr>
                  <w:tcW w:w="781" w:type="pct"/>
                  <w:noWrap w:val="0"/>
                  <w:vAlign w:val="center"/>
                </w:tcPr>
                <w:p w14:paraId="374048AC">
                  <w:pPr>
                    <w:pStyle w:val="22"/>
                    <w:bidi w:val="0"/>
                    <w:rPr>
                      <w:color w:val="auto"/>
                    </w:rPr>
                  </w:pPr>
                  <w:r>
                    <w:rPr>
                      <w:rFonts w:hint="eastAsia"/>
                      <w:color w:val="auto"/>
                      <w:lang w:val="en-US" w:eastAsia="zh-CN"/>
                    </w:rPr>
                    <w:t>1000t/a</w:t>
                  </w:r>
                </w:p>
              </w:tc>
              <w:tc>
                <w:tcPr>
                  <w:tcW w:w="1817" w:type="pct"/>
                  <w:noWrap w:val="0"/>
                  <w:vAlign w:val="center"/>
                </w:tcPr>
                <w:p w14:paraId="65421439">
                  <w:pPr>
                    <w:pStyle w:val="22"/>
                    <w:bidi w:val="0"/>
                    <w:rPr>
                      <w:color w:val="auto"/>
                    </w:rPr>
                  </w:pPr>
                  <w:r>
                    <w:rPr>
                      <w:rFonts w:hint="eastAsia"/>
                      <w:color w:val="auto"/>
                    </w:rPr>
                    <w:t>《生活饮用水输配水设备、防护材料及水处理材料卫生安全评价》（GB/T17219-2025）</w:t>
                  </w:r>
                </w:p>
              </w:tc>
            </w:tr>
          </w:tbl>
          <w:p w14:paraId="0D64AD9D">
            <w:pPr>
              <w:bidi w:val="0"/>
              <w:rPr>
                <w:b/>
                <w:bCs/>
                <w:color w:val="auto"/>
              </w:rPr>
            </w:pPr>
            <w:r>
              <w:rPr>
                <w:rFonts w:hint="eastAsia"/>
                <w:b/>
                <w:bCs/>
                <w:color w:val="auto"/>
                <w:lang w:val="en-US" w:eastAsia="zh-CN"/>
              </w:rPr>
              <w:t>2.</w:t>
            </w:r>
            <w:r>
              <w:rPr>
                <w:rFonts w:hint="eastAsia"/>
                <w:b/>
                <w:bCs/>
                <w:color w:val="auto"/>
              </w:rPr>
              <w:t>4</w:t>
            </w:r>
            <w:r>
              <w:rPr>
                <w:rFonts w:hint="eastAsia"/>
                <w:b/>
                <w:bCs/>
                <w:color w:val="auto"/>
                <w:lang w:eastAsia="zh-CN"/>
              </w:rPr>
              <w:t>、</w:t>
            </w:r>
            <w:r>
              <w:rPr>
                <w:rFonts w:hint="eastAsia"/>
                <w:b/>
                <w:bCs/>
                <w:color w:val="auto"/>
              </w:rPr>
              <w:t>项目</w:t>
            </w:r>
            <w:r>
              <w:rPr>
                <w:b/>
                <w:bCs/>
                <w:color w:val="auto"/>
              </w:rPr>
              <w:t>原辅材料</w:t>
            </w:r>
          </w:p>
          <w:p w14:paraId="367BF612">
            <w:pPr>
              <w:bidi w:val="0"/>
              <w:rPr>
                <w:rFonts w:hint="eastAsia"/>
                <w:color w:val="auto"/>
              </w:rPr>
            </w:pPr>
            <w:r>
              <w:rPr>
                <w:rFonts w:hint="eastAsia"/>
                <w:color w:val="auto"/>
              </w:rPr>
              <w:t>本项目</w:t>
            </w:r>
            <w:r>
              <w:rPr>
                <w:rFonts w:hint="eastAsia"/>
                <w:color w:val="auto"/>
                <w:lang w:val="en-US" w:eastAsia="zh-CN"/>
              </w:rPr>
              <w:t>原辅料用量及用途说明情况如下：</w:t>
            </w:r>
          </w:p>
          <w:p w14:paraId="25C4D83B">
            <w:pPr>
              <w:pStyle w:val="21"/>
              <w:bidi w:val="0"/>
              <w:rPr>
                <w:rFonts w:hint="eastAsia"/>
                <w:color w:val="auto"/>
              </w:rPr>
            </w:pPr>
            <w:r>
              <w:rPr>
                <w:color w:val="auto"/>
              </w:rPr>
              <w:t>表</w:t>
            </w:r>
            <w:r>
              <w:rPr>
                <w:rFonts w:hint="eastAsia"/>
                <w:color w:val="auto"/>
              </w:rPr>
              <w:t>2-5</w:t>
            </w:r>
            <w:r>
              <w:rPr>
                <w:rFonts w:hint="eastAsia"/>
                <w:color w:val="auto"/>
                <w:lang w:val="en-US" w:eastAsia="zh-CN"/>
              </w:rPr>
              <w:t xml:space="preserve">  </w:t>
            </w:r>
            <w:r>
              <w:rPr>
                <w:color w:val="auto"/>
              </w:rPr>
              <w:t>主要原辅材料消耗情况一览表</w:t>
            </w:r>
          </w:p>
          <w:tbl>
            <w:tblPr>
              <w:tblStyle w:val="12"/>
              <w:tblW w:w="49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12"/>
              <w:gridCol w:w="1020"/>
              <w:gridCol w:w="830"/>
              <w:gridCol w:w="55"/>
              <w:gridCol w:w="1455"/>
              <w:gridCol w:w="570"/>
              <w:gridCol w:w="825"/>
              <w:gridCol w:w="930"/>
              <w:gridCol w:w="930"/>
              <w:gridCol w:w="960"/>
            </w:tblGrid>
            <w:tr w14:paraId="4C2F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73" w:type="pct"/>
                  <w:noWrap w:val="0"/>
                  <w:vAlign w:val="center"/>
                </w:tcPr>
                <w:p w14:paraId="002D5EA6">
                  <w:pPr>
                    <w:pStyle w:val="22"/>
                    <w:bidi w:val="0"/>
                    <w:rPr>
                      <w:b/>
                      <w:bCs/>
                      <w:color w:val="auto"/>
                      <w:sz w:val="21"/>
                      <w:szCs w:val="21"/>
                    </w:rPr>
                  </w:pPr>
                  <w:r>
                    <w:rPr>
                      <w:b/>
                      <w:bCs/>
                      <w:color w:val="auto"/>
                      <w:sz w:val="21"/>
                      <w:szCs w:val="21"/>
                    </w:rPr>
                    <w:t>序号</w:t>
                  </w:r>
                </w:p>
              </w:tc>
              <w:tc>
                <w:tcPr>
                  <w:tcW w:w="622" w:type="pct"/>
                  <w:noWrap w:val="0"/>
                  <w:vAlign w:val="center"/>
                </w:tcPr>
                <w:p w14:paraId="0AA1B1E0">
                  <w:pPr>
                    <w:pStyle w:val="22"/>
                    <w:bidi w:val="0"/>
                    <w:rPr>
                      <w:b/>
                      <w:bCs/>
                      <w:color w:val="auto"/>
                      <w:sz w:val="21"/>
                      <w:szCs w:val="21"/>
                    </w:rPr>
                  </w:pPr>
                  <w:r>
                    <w:rPr>
                      <w:b/>
                      <w:bCs/>
                      <w:color w:val="auto"/>
                      <w:sz w:val="21"/>
                      <w:szCs w:val="21"/>
                    </w:rPr>
                    <w:t>名称</w:t>
                  </w:r>
                </w:p>
              </w:tc>
              <w:tc>
                <w:tcPr>
                  <w:tcW w:w="1429" w:type="pct"/>
                  <w:gridSpan w:val="3"/>
                  <w:noWrap w:val="0"/>
                  <w:vAlign w:val="center"/>
                </w:tcPr>
                <w:p w14:paraId="725978B5">
                  <w:pPr>
                    <w:pStyle w:val="22"/>
                    <w:bidi w:val="0"/>
                    <w:rPr>
                      <w:b/>
                      <w:bCs/>
                      <w:color w:val="auto"/>
                      <w:sz w:val="21"/>
                      <w:szCs w:val="21"/>
                    </w:rPr>
                  </w:pPr>
                  <w:r>
                    <w:rPr>
                      <w:b/>
                      <w:bCs/>
                      <w:color w:val="auto"/>
                      <w:sz w:val="21"/>
                      <w:szCs w:val="21"/>
                    </w:rPr>
                    <w:t>性状</w:t>
                  </w:r>
                </w:p>
              </w:tc>
              <w:tc>
                <w:tcPr>
                  <w:tcW w:w="348" w:type="pct"/>
                  <w:noWrap w:val="0"/>
                  <w:vAlign w:val="center"/>
                </w:tcPr>
                <w:p w14:paraId="1D344F54">
                  <w:pPr>
                    <w:pStyle w:val="22"/>
                    <w:bidi w:val="0"/>
                    <w:rPr>
                      <w:b/>
                      <w:bCs/>
                      <w:color w:val="auto"/>
                      <w:sz w:val="21"/>
                      <w:szCs w:val="21"/>
                    </w:rPr>
                  </w:pPr>
                  <w:r>
                    <w:rPr>
                      <w:b/>
                      <w:bCs/>
                      <w:color w:val="auto"/>
                      <w:sz w:val="21"/>
                      <w:szCs w:val="21"/>
                    </w:rPr>
                    <w:t>单位</w:t>
                  </w:r>
                </w:p>
              </w:tc>
              <w:tc>
                <w:tcPr>
                  <w:tcW w:w="503" w:type="pct"/>
                  <w:noWrap w:val="0"/>
                  <w:vAlign w:val="center"/>
                </w:tcPr>
                <w:p w14:paraId="25024000">
                  <w:pPr>
                    <w:pStyle w:val="22"/>
                    <w:bidi w:val="0"/>
                    <w:rPr>
                      <w:b/>
                      <w:bCs/>
                      <w:color w:val="auto"/>
                      <w:sz w:val="21"/>
                      <w:szCs w:val="21"/>
                    </w:rPr>
                  </w:pPr>
                  <w:r>
                    <w:rPr>
                      <w:b/>
                      <w:bCs/>
                      <w:color w:val="auto"/>
                      <w:sz w:val="21"/>
                      <w:szCs w:val="21"/>
                    </w:rPr>
                    <w:t>消耗量</w:t>
                  </w:r>
                </w:p>
              </w:tc>
              <w:tc>
                <w:tcPr>
                  <w:tcW w:w="567" w:type="pct"/>
                  <w:noWrap w:val="0"/>
                  <w:vAlign w:val="center"/>
                </w:tcPr>
                <w:p w14:paraId="7FDF25E1">
                  <w:pPr>
                    <w:pStyle w:val="22"/>
                    <w:bidi w:val="0"/>
                    <w:rPr>
                      <w:b/>
                      <w:bCs/>
                      <w:color w:val="auto"/>
                      <w:sz w:val="21"/>
                      <w:szCs w:val="21"/>
                    </w:rPr>
                  </w:pPr>
                  <w:r>
                    <w:rPr>
                      <w:b/>
                      <w:bCs/>
                      <w:color w:val="auto"/>
                      <w:sz w:val="21"/>
                      <w:szCs w:val="21"/>
                    </w:rPr>
                    <w:t>储存方式</w:t>
                  </w:r>
                </w:p>
              </w:tc>
              <w:tc>
                <w:tcPr>
                  <w:tcW w:w="567" w:type="pct"/>
                  <w:noWrap w:val="0"/>
                  <w:vAlign w:val="center"/>
                </w:tcPr>
                <w:p w14:paraId="303D9C78">
                  <w:pPr>
                    <w:pStyle w:val="22"/>
                    <w:bidi w:val="0"/>
                    <w:rPr>
                      <w:b/>
                      <w:bCs/>
                      <w:color w:val="auto"/>
                      <w:sz w:val="21"/>
                      <w:szCs w:val="21"/>
                    </w:rPr>
                  </w:pPr>
                  <w:r>
                    <w:rPr>
                      <w:b/>
                      <w:bCs/>
                      <w:color w:val="auto"/>
                      <w:sz w:val="21"/>
                      <w:szCs w:val="21"/>
                    </w:rPr>
                    <w:t>最大</w:t>
                  </w:r>
                </w:p>
                <w:p w14:paraId="79D174B6">
                  <w:pPr>
                    <w:pStyle w:val="22"/>
                    <w:bidi w:val="0"/>
                    <w:rPr>
                      <w:b/>
                      <w:bCs/>
                      <w:color w:val="auto"/>
                      <w:sz w:val="21"/>
                      <w:szCs w:val="21"/>
                    </w:rPr>
                  </w:pPr>
                  <w:r>
                    <w:rPr>
                      <w:b/>
                      <w:bCs/>
                      <w:color w:val="auto"/>
                      <w:sz w:val="21"/>
                      <w:szCs w:val="21"/>
                    </w:rPr>
                    <w:t>储存量</w:t>
                  </w:r>
                </w:p>
              </w:tc>
              <w:tc>
                <w:tcPr>
                  <w:tcW w:w="586" w:type="pct"/>
                  <w:noWrap w:val="0"/>
                  <w:vAlign w:val="center"/>
                </w:tcPr>
                <w:p w14:paraId="3A49D39B">
                  <w:pPr>
                    <w:pStyle w:val="22"/>
                    <w:bidi w:val="0"/>
                    <w:rPr>
                      <w:b/>
                      <w:bCs/>
                      <w:color w:val="auto"/>
                      <w:sz w:val="21"/>
                      <w:szCs w:val="21"/>
                    </w:rPr>
                  </w:pPr>
                  <w:r>
                    <w:rPr>
                      <w:b/>
                      <w:bCs/>
                      <w:color w:val="auto"/>
                      <w:sz w:val="21"/>
                      <w:szCs w:val="21"/>
                    </w:rPr>
                    <w:t>用途</w:t>
                  </w:r>
                </w:p>
              </w:tc>
            </w:tr>
            <w:tr w14:paraId="58A54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73" w:type="pct"/>
                  <w:noWrap w:val="0"/>
                  <w:vAlign w:val="center"/>
                </w:tcPr>
                <w:p w14:paraId="56E22F6C">
                  <w:pPr>
                    <w:pStyle w:val="22"/>
                    <w:bidi w:val="0"/>
                    <w:rPr>
                      <w:color w:val="auto"/>
                      <w:sz w:val="21"/>
                      <w:szCs w:val="21"/>
                    </w:rPr>
                  </w:pPr>
                  <w:r>
                    <w:rPr>
                      <w:color w:val="auto"/>
                      <w:sz w:val="21"/>
                      <w:szCs w:val="21"/>
                    </w:rPr>
                    <w:t>1</w:t>
                  </w:r>
                </w:p>
              </w:tc>
              <w:tc>
                <w:tcPr>
                  <w:tcW w:w="622" w:type="pct"/>
                  <w:vMerge w:val="restart"/>
                  <w:noWrap w:val="0"/>
                  <w:vAlign w:val="center"/>
                </w:tcPr>
                <w:p w14:paraId="629B91BD">
                  <w:pPr>
                    <w:pStyle w:val="22"/>
                    <w:bidi w:val="0"/>
                    <w:rPr>
                      <w:rFonts w:hint="default"/>
                      <w:color w:val="auto"/>
                      <w:sz w:val="21"/>
                      <w:szCs w:val="21"/>
                      <w:lang w:val="en-US" w:eastAsia="zh-CN"/>
                    </w:rPr>
                  </w:pPr>
                  <w:r>
                    <w:rPr>
                      <w:rFonts w:hint="eastAsia"/>
                      <w:color w:val="auto"/>
                      <w:sz w:val="21"/>
                      <w:szCs w:val="21"/>
                      <w:lang w:val="en-US" w:eastAsia="zh-CN"/>
                    </w:rPr>
                    <w:t>PP塑料管材管件</w:t>
                  </w:r>
                </w:p>
              </w:tc>
              <w:tc>
                <w:tcPr>
                  <w:tcW w:w="540" w:type="pct"/>
                  <w:gridSpan w:val="2"/>
                  <w:noWrap w:val="0"/>
                  <w:vAlign w:val="center"/>
                </w:tcPr>
                <w:p w14:paraId="5833F69A">
                  <w:pPr>
                    <w:pStyle w:val="22"/>
                    <w:bidi w:val="0"/>
                    <w:rPr>
                      <w:rFonts w:hint="default"/>
                      <w:color w:val="auto"/>
                      <w:sz w:val="21"/>
                      <w:szCs w:val="21"/>
                      <w:lang w:val="en-US" w:eastAsia="zh-CN"/>
                    </w:rPr>
                  </w:pPr>
                  <w:r>
                    <w:rPr>
                      <w:rFonts w:hint="eastAsia"/>
                      <w:color w:val="auto"/>
                      <w:sz w:val="21"/>
                      <w:szCs w:val="21"/>
                      <w:lang w:val="en-US" w:eastAsia="zh-CN"/>
                    </w:rPr>
                    <w:t>PP粒子</w:t>
                  </w:r>
                </w:p>
              </w:tc>
              <w:tc>
                <w:tcPr>
                  <w:tcW w:w="888" w:type="pct"/>
                  <w:noWrap w:val="0"/>
                  <w:vAlign w:val="center"/>
                </w:tcPr>
                <w:p w14:paraId="29BFE104">
                  <w:pPr>
                    <w:pStyle w:val="22"/>
                    <w:bidi w:val="0"/>
                    <w:rPr>
                      <w:spacing w:val="3"/>
                      <w:kern w:val="0"/>
                      <w:sz w:val="21"/>
                      <w:szCs w:val="21"/>
                    </w:rPr>
                  </w:pPr>
                  <w:r>
                    <w:rPr>
                      <w:spacing w:val="3"/>
                      <w:kern w:val="0"/>
                      <w:sz w:val="21"/>
                      <w:szCs w:val="21"/>
                    </w:rPr>
                    <w:t>颗粒状</w:t>
                  </w:r>
                  <w:r>
                    <w:rPr>
                      <w:rFonts w:hint="eastAsia"/>
                      <w:color w:val="auto"/>
                      <w:sz w:val="21"/>
                      <w:szCs w:val="21"/>
                      <w:lang w:val="en-US" w:eastAsia="zh-CN"/>
                    </w:rPr>
                    <w:t>3~5mm</w:t>
                  </w:r>
                </w:p>
              </w:tc>
              <w:tc>
                <w:tcPr>
                  <w:tcW w:w="348" w:type="pct"/>
                  <w:noWrap w:val="0"/>
                  <w:vAlign w:val="center"/>
                </w:tcPr>
                <w:p w14:paraId="2DE7292A">
                  <w:pPr>
                    <w:pStyle w:val="22"/>
                    <w:bidi w:val="0"/>
                    <w:rPr>
                      <w:color w:val="auto"/>
                      <w:sz w:val="21"/>
                      <w:szCs w:val="21"/>
                    </w:rPr>
                  </w:pPr>
                  <w:r>
                    <w:rPr>
                      <w:color w:val="auto"/>
                      <w:sz w:val="21"/>
                      <w:szCs w:val="21"/>
                    </w:rPr>
                    <w:t>t/a</w:t>
                  </w:r>
                </w:p>
              </w:tc>
              <w:tc>
                <w:tcPr>
                  <w:tcW w:w="503" w:type="pct"/>
                  <w:noWrap w:val="0"/>
                  <w:vAlign w:val="center"/>
                </w:tcPr>
                <w:p w14:paraId="32C3BF1C">
                  <w:pPr>
                    <w:pStyle w:val="22"/>
                    <w:bidi w:val="0"/>
                    <w:rPr>
                      <w:rFonts w:hint="default"/>
                      <w:color w:val="auto"/>
                      <w:sz w:val="21"/>
                      <w:szCs w:val="21"/>
                      <w:lang w:val="en-US" w:eastAsia="zh-CN"/>
                    </w:rPr>
                  </w:pPr>
                  <w:r>
                    <w:rPr>
                      <w:rFonts w:hint="eastAsia"/>
                      <w:color w:val="auto"/>
                      <w:sz w:val="21"/>
                      <w:szCs w:val="21"/>
                      <w:lang w:val="en-US" w:eastAsia="zh-CN"/>
                    </w:rPr>
                    <w:t>980</w:t>
                  </w:r>
                </w:p>
              </w:tc>
              <w:tc>
                <w:tcPr>
                  <w:tcW w:w="567" w:type="pct"/>
                  <w:noWrap w:val="0"/>
                  <w:vAlign w:val="center"/>
                </w:tcPr>
                <w:p w14:paraId="08B35EFF">
                  <w:pPr>
                    <w:pStyle w:val="22"/>
                    <w:bidi w:val="0"/>
                    <w:rPr>
                      <w:rFonts w:hint="eastAsia" w:eastAsia="宋体"/>
                      <w:color w:val="auto"/>
                      <w:sz w:val="21"/>
                      <w:szCs w:val="21"/>
                      <w:lang w:eastAsia="zh-CN"/>
                    </w:rPr>
                  </w:pPr>
                  <w:r>
                    <w:rPr>
                      <w:rFonts w:hint="eastAsia"/>
                      <w:kern w:val="0"/>
                      <w:sz w:val="21"/>
                      <w:szCs w:val="21"/>
                    </w:rPr>
                    <w:t>50</w:t>
                  </w:r>
                  <w:r>
                    <w:rPr>
                      <w:kern w:val="0"/>
                      <w:sz w:val="21"/>
                      <w:szCs w:val="21"/>
                    </w:rPr>
                    <w:t>k</w:t>
                  </w:r>
                  <w:r>
                    <w:rPr>
                      <w:spacing w:val="-2"/>
                      <w:kern w:val="0"/>
                      <w:sz w:val="21"/>
                      <w:szCs w:val="21"/>
                    </w:rPr>
                    <w:t>g</w:t>
                  </w:r>
                  <w:r>
                    <w:rPr>
                      <w:spacing w:val="3"/>
                      <w:kern w:val="0"/>
                      <w:sz w:val="21"/>
                      <w:szCs w:val="21"/>
                    </w:rPr>
                    <w:t>/袋</w:t>
                  </w:r>
                </w:p>
              </w:tc>
              <w:tc>
                <w:tcPr>
                  <w:tcW w:w="567" w:type="pct"/>
                  <w:noWrap w:val="0"/>
                  <w:vAlign w:val="center"/>
                </w:tcPr>
                <w:p w14:paraId="553BFD29">
                  <w:pPr>
                    <w:pStyle w:val="22"/>
                    <w:bidi w:val="0"/>
                    <w:rPr>
                      <w:rFonts w:hint="default"/>
                      <w:color w:val="auto"/>
                      <w:sz w:val="21"/>
                      <w:szCs w:val="21"/>
                      <w:lang w:val="en-US" w:eastAsia="zh-CN"/>
                    </w:rPr>
                  </w:pPr>
                  <w:r>
                    <w:rPr>
                      <w:rFonts w:hint="eastAsia"/>
                      <w:color w:val="auto"/>
                      <w:sz w:val="21"/>
                      <w:szCs w:val="21"/>
                      <w:lang w:val="en-US" w:eastAsia="zh-CN"/>
                    </w:rPr>
                    <w:t>25</w:t>
                  </w:r>
                  <w:r>
                    <w:rPr>
                      <w:color w:val="auto"/>
                      <w:sz w:val="21"/>
                      <w:szCs w:val="21"/>
                    </w:rPr>
                    <w:t>t</w:t>
                  </w:r>
                </w:p>
              </w:tc>
              <w:tc>
                <w:tcPr>
                  <w:tcW w:w="586" w:type="pct"/>
                  <w:noWrap w:val="0"/>
                  <w:vAlign w:val="center"/>
                </w:tcPr>
                <w:p w14:paraId="29544B1C">
                  <w:pPr>
                    <w:pStyle w:val="22"/>
                    <w:bidi w:val="0"/>
                    <w:rPr>
                      <w:rFonts w:hint="default"/>
                      <w:color w:val="auto"/>
                      <w:sz w:val="21"/>
                      <w:szCs w:val="21"/>
                      <w:lang w:val="en-US" w:eastAsia="zh-CN"/>
                    </w:rPr>
                  </w:pPr>
                  <w:r>
                    <w:rPr>
                      <w:rFonts w:hint="eastAsia"/>
                      <w:color w:val="auto"/>
                      <w:sz w:val="21"/>
                      <w:szCs w:val="21"/>
                      <w:lang w:val="en-US" w:eastAsia="zh-CN"/>
                    </w:rPr>
                    <w:t>原料</w:t>
                  </w:r>
                </w:p>
              </w:tc>
            </w:tr>
            <w:tr w14:paraId="325AF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73" w:type="pct"/>
                  <w:noWrap w:val="0"/>
                  <w:vAlign w:val="center"/>
                </w:tcPr>
                <w:p w14:paraId="22320B7A">
                  <w:pPr>
                    <w:pStyle w:val="22"/>
                    <w:bidi w:val="0"/>
                    <w:rPr>
                      <w:rFonts w:hint="eastAsia" w:eastAsia="宋体"/>
                      <w:color w:val="auto"/>
                      <w:sz w:val="21"/>
                      <w:szCs w:val="21"/>
                      <w:lang w:val="en-US" w:eastAsia="zh-CN"/>
                    </w:rPr>
                  </w:pPr>
                  <w:r>
                    <w:rPr>
                      <w:rFonts w:hint="eastAsia"/>
                      <w:color w:val="auto"/>
                      <w:sz w:val="21"/>
                      <w:szCs w:val="21"/>
                      <w:lang w:val="en-US" w:eastAsia="zh-CN"/>
                    </w:rPr>
                    <w:t>2</w:t>
                  </w:r>
                </w:p>
              </w:tc>
              <w:tc>
                <w:tcPr>
                  <w:tcW w:w="622" w:type="pct"/>
                  <w:vMerge w:val="continue"/>
                  <w:noWrap w:val="0"/>
                  <w:vAlign w:val="center"/>
                </w:tcPr>
                <w:p w14:paraId="1D5388CE">
                  <w:pPr>
                    <w:pStyle w:val="22"/>
                    <w:bidi w:val="0"/>
                    <w:rPr>
                      <w:rFonts w:hint="eastAsia"/>
                      <w:color w:val="auto"/>
                      <w:sz w:val="21"/>
                      <w:szCs w:val="21"/>
                      <w:lang w:val="en-US" w:eastAsia="zh-CN"/>
                    </w:rPr>
                  </w:pPr>
                </w:p>
              </w:tc>
              <w:tc>
                <w:tcPr>
                  <w:tcW w:w="540" w:type="pct"/>
                  <w:gridSpan w:val="2"/>
                  <w:noWrap w:val="0"/>
                  <w:vAlign w:val="center"/>
                </w:tcPr>
                <w:p w14:paraId="13E5BF68">
                  <w:pPr>
                    <w:pStyle w:val="22"/>
                    <w:bidi w:val="0"/>
                    <w:rPr>
                      <w:rFonts w:hint="default"/>
                      <w:color w:val="auto"/>
                      <w:sz w:val="21"/>
                      <w:szCs w:val="21"/>
                      <w:lang w:val="en-US" w:eastAsia="zh-CN"/>
                    </w:rPr>
                  </w:pPr>
                  <w:r>
                    <w:rPr>
                      <w:rFonts w:hint="eastAsia"/>
                      <w:color w:val="auto"/>
                      <w:sz w:val="21"/>
                      <w:szCs w:val="21"/>
                      <w:lang w:val="en-US" w:eastAsia="zh-CN"/>
                    </w:rPr>
                    <w:t>色母</w:t>
                  </w:r>
                </w:p>
              </w:tc>
              <w:tc>
                <w:tcPr>
                  <w:tcW w:w="888" w:type="pct"/>
                  <w:noWrap w:val="0"/>
                  <w:vAlign w:val="center"/>
                </w:tcPr>
                <w:p w14:paraId="2F0D0D6F">
                  <w:pPr>
                    <w:pStyle w:val="22"/>
                    <w:bidi w:val="0"/>
                    <w:ind w:firstLine="0" w:firstLineChars="0"/>
                    <w:rPr>
                      <w:rFonts w:hint="eastAsia"/>
                      <w:color w:val="auto"/>
                      <w:sz w:val="21"/>
                      <w:szCs w:val="21"/>
                      <w:lang w:val="en-US" w:eastAsia="zh-CN"/>
                    </w:rPr>
                  </w:pPr>
                  <w:r>
                    <w:rPr>
                      <w:spacing w:val="3"/>
                      <w:kern w:val="0"/>
                      <w:sz w:val="21"/>
                      <w:szCs w:val="21"/>
                    </w:rPr>
                    <w:t>颗粒状</w:t>
                  </w:r>
                  <w:r>
                    <w:rPr>
                      <w:rFonts w:hint="eastAsia"/>
                      <w:color w:val="auto"/>
                      <w:sz w:val="21"/>
                      <w:szCs w:val="21"/>
                      <w:lang w:val="en-US" w:eastAsia="zh-CN"/>
                    </w:rPr>
                    <w:t>3~5mm</w:t>
                  </w:r>
                </w:p>
              </w:tc>
              <w:tc>
                <w:tcPr>
                  <w:tcW w:w="348" w:type="pct"/>
                  <w:noWrap w:val="0"/>
                  <w:vAlign w:val="center"/>
                </w:tcPr>
                <w:p w14:paraId="1394B2FB">
                  <w:pPr>
                    <w:pStyle w:val="22"/>
                    <w:bidi w:val="0"/>
                    <w:ind w:firstLine="0" w:firstLineChars="0"/>
                    <w:rPr>
                      <w:color w:val="auto"/>
                      <w:sz w:val="21"/>
                      <w:szCs w:val="21"/>
                    </w:rPr>
                  </w:pPr>
                  <w:r>
                    <w:rPr>
                      <w:color w:val="auto"/>
                      <w:sz w:val="21"/>
                      <w:szCs w:val="21"/>
                    </w:rPr>
                    <w:t>t/a</w:t>
                  </w:r>
                </w:p>
              </w:tc>
              <w:tc>
                <w:tcPr>
                  <w:tcW w:w="503" w:type="pct"/>
                  <w:noWrap w:val="0"/>
                  <w:vAlign w:val="center"/>
                </w:tcPr>
                <w:p w14:paraId="5A9A6AA7">
                  <w:pPr>
                    <w:pStyle w:val="22"/>
                    <w:bidi w:val="0"/>
                    <w:ind w:firstLine="0" w:firstLineChars="0"/>
                    <w:rPr>
                      <w:rFonts w:hint="eastAsia"/>
                      <w:color w:val="auto"/>
                      <w:sz w:val="21"/>
                      <w:szCs w:val="21"/>
                      <w:lang w:val="en-US" w:eastAsia="zh-CN"/>
                    </w:rPr>
                  </w:pPr>
                  <w:r>
                    <w:rPr>
                      <w:rFonts w:hint="eastAsia"/>
                      <w:color w:val="auto"/>
                      <w:sz w:val="21"/>
                      <w:szCs w:val="21"/>
                      <w:lang w:val="en-US" w:eastAsia="zh-CN"/>
                    </w:rPr>
                    <w:t>20</w:t>
                  </w:r>
                </w:p>
              </w:tc>
              <w:tc>
                <w:tcPr>
                  <w:tcW w:w="567" w:type="pct"/>
                  <w:noWrap w:val="0"/>
                  <w:vAlign w:val="center"/>
                </w:tcPr>
                <w:p w14:paraId="7699987D">
                  <w:pPr>
                    <w:pStyle w:val="22"/>
                    <w:bidi w:val="0"/>
                    <w:ind w:firstLine="0" w:firstLineChars="0"/>
                    <w:rPr>
                      <w:rFonts w:hint="eastAsia"/>
                      <w:color w:val="auto"/>
                      <w:sz w:val="21"/>
                      <w:szCs w:val="21"/>
                    </w:rPr>
                  </w:pPr>
                  <w:r>
                    <w:rPr>
                      <w:rFonts w:hint="eastAsia"/>
                      <w:kern w:val="0"/>
                      <w:sz w:val="21"/>
                      <w:szCs w:val="21"/>
                    </w:rPr>
                    <w:t>50</w:t>
                  </w:r>
                  <w:r>
                    <w:rPr>
                      <w:kern w:val="0"/>
                      <w:sz w:val="21"/>
                      <w:szCs w:val="21"/>
                    </w:rPr>
                    <w:t>k</w:t>
                  </w:r>
                  <w:r>
                    <w:rPr>
                      <w:spacing w:val="-2"/>
                      <w:kern w:val="0"/>
                      <w:sz w:val="21"/>
                      <w:szCs w:val="21"/>
                    </w:rPr>
                    <w:t>g</w:t>
                  </w:r>
                  <w:r>
                    <w:rPr>
                      <w:spacing w:val="3"/>
                      <w:kern w:val="0"/>
                      <w:sz w:val="21"/>
                      <w:szCs w:val="21"/>
                    </w:rPr>
                    <w:t>/袋</w:t>
                  </w:r>
                </w:p>
              </w:tc>
              <w:tc>
                <w:tcPr>
                  <w:tcW w:w="567" w:type="pct"/>
                  <w:noWrap w:val="0"/>
                  <w:vAlign w:val="center"/>
                </w:tcPr>
                <w:p w14:paraId="0D8906AB">
                  <w:pPr>
                    <w:pStyle w:val="22"/>
                    <w:bidi w:val="0"/>
                    <w:ind w:firstLine="0" w:firstLineChars="0"/>
                    <w:rPr>
                      <w:rFonts w:hint="eastAsia"/>
                      <w:color w:val="auto"/>
                      <w:sz w:val="21"/>
                      <w:szCs w:val="21"/>
                      <w:lang w:val="en-US" w:eastAsia="zh-CN"/>
                    </w:rPr>
                  </w:pPr>
                  <w:r>
                    <w:rPr>
                      <w:rFonts w:hint="eastAsia"/>
                      <w:color w:val="auto"/>
                      <w:sz w:val="21"/>
                      <w:szCs w:val="21"/>
                      <w:lang w:val="en-US" w:eastAsia="zh-CN"/>
                    </w:rPr>
                    <w:t>2</w:t>
                  </w:r>
                  <w:r>
                    <w:rPr>
                      <w:color w:val="auto"/>
                      <w:sz w:val="21"/>
                      <w:szCs w:val="21"/>
                    </w:rPr>
                    <w:t>t</w:t>
                  </w:r>
                </w:p>
              </w:tc>
              <w:tc>
                <w:tcPr>
                  <w:tcW w:w="586" w:type="pct"/>
                  <w:noWrap w:val="0"/>
                  <w:vAlign w:val="center"/>
                </w:tcPr>
                <w:p w14:paraId="2D9FF3EA">
                  <w:pPr>
                    <w:pStyle w:val="22"/>
                    <w:bidi w:val="0"/>
                    <w:ind w:firstLine="0" w:firstLineChars="0"/>
                    <w:rPr>
                      <w:rFonts w:hint="eastAsia"/>
                      <w:color w:val="auto"/>
                      <w:sz w:val="21"/>
                      <w:szCs w:val="21"/>
                      <w:lang w:val="en-US" w:eastAsia="zh-CN"/>
                    </w:rPr>
                  </w:pPr>
                  <w:r>
                    <w:rPr>
                      <w:rFonts w:hint="eastAsia"/>
                      <w:color w:val="auto"/>
                      <w:sz w:val="21"/>
                      <w:szCs w:val="21"/>
                      <w:lang w:val="en-US" w:eastAsia="zh-CN"/>
                    </w:rPr>
                    <w:t>辅料</w:t>
                  </w:r>
                </w:p>
              </w:tc>
            </w:tr>
            <w:tr w14:paraId="5D22B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373" w:type="pct"/>
                  <w:noWrap w:val="0"/>
                  <w:vAlign w:val="center"/>
                </w:tcPr>
                <w:p w14:paraId="57C2BAA9">
                  <w:pPr>
                    <w:pStyle w:val="22"/>
                    <w:bidi w:val="0"/>
                    <w:rPr>
                      <w:rFonts w:hint="eastAsia" w:eastAsia="宋体"/>
                      <w:color w:val="auto"/>
                      <w:sz w:val="21"/>
                      <w:szCs w:val="21"/>
                      <w:lang w:eastAsia="zh-CN"/>
                    </w:rPr>
                  </w:pPr>
                  <w:r>
                    <w:rPr>
                      <w:rFonts w:hint="eastAsia"/>
                      <w:color w:val="auto"/>
                      <w:sz w:val="21"/>
                      <w:szCs w:val="21"/>
                      <w:lang w:val="en-US" w:eastAsia="zh-CN"/>
                    </w:rPr>
                    <w:t>3</w:t>
                  </w:r>
                </w:p>
              </w:tc>
              <w:tc>
                <w:tcPr>
                  <w:tcW w:w="622" w:type="pct"/>
                  <w:vMerge w:val="restart"/>
                  <w:noWrap w:val="0"/>
                  <w:vAlign w:val="center"/>
                </w:tcPr>
                <w:p w14:paraId="2EC6BF10">
                  <w:pPr>
                    <w:pStyle w:val="22"/>
                    <w:bidi w:val="0"/>
                    <w:rPr>
                      <w:rFonts w:hint="default"/>
                      <w:color w:val="auto"/>
                      <w:sz w:val="21"/>
                      <w:szCs w:val="21"/>
                      <w:lang w:val="en-US" w:eastAsia="zh-CN"/>
                    </w:rPr>
                  </w:pPr>
                  <w:r>
                    <w:rPr>
                      <w:rFonts w:hint="eastAsia"/>
                      <w:color w:val="auto"/>
                      <w:sz w:val="21"/>
                      <w:szCs w:val="21"/>
                      <w:lang w:val="en-US" w:eastAsia="zh-CN"/>
                    </w:rPr>
                    <w:t>PE塑料管材管件</w:t>
                  </w:r>
                </w:p>
              </w:tc>
              <w:tc>
                <w:tcPr>
                  <w:tcW w:w="506" w:type="pct"/>
                  <w:noWrap w:val="0"/>
                  <w:vAlign w:val="center"/>
                </w:tcPr>
                <w:p w14:paraId="006AC883">
                  <w:pPr>
                    <w:pStyle w:val="22"/>
                    <w:bidi w:val="0"/>
                    <w:ind w:firstLine="0" w:firstLineChars="0"/>
                    <w:rPr>
                      <w:rFonts w:hint="eastAsia"/>
                      <w:color w:val="auto"/>
                      <w:sz w:val="21"/>
                      <w:szCs w:val="21"/>
                      <w:lang w:val="en-US" w:eastAsia="zh-CN"/>
                    </w:rPr>
                  </w:pPr>
                  <w:r>
                    <w:rPr>
                      <w:rFonts w:hint="eastAsia"/>
                      <w:color w:val="auto"/>
                      <w:sz w:val="21"/>
                      <w:szCs w:val="21"/>
                      <w:lang w:val="en-US" w:eastAsia="zh-CN"/>
                    </w:rPr>
                    <w:t>PE粒子</w:t>
                  </w:r>
                </w:p>
              </w:tc>
              <w:tc>
                <w:tcPr>
                  <w:tcW w:w="922" w:type="pct"/>
                  <w:gridSpan w:val="2"/>
                  <w:noWrap w:val="0"/>
                  <w:vAlign w:val="center"/>
                </w:tcPr>
                <w:p w14:paraId="29760EE9">
                  <w:pPr>
                    <w:pStyle w:val="22"/>
                    <w:bidi w:val="0"/>
                    <w:ind w:firstLine="0" w:firstLineChars="0"/>
                    <w:rPr>
                      <w:rFonts w:hint="eastAsia"/>
                      <w:color w:val="auto"/>
                      <w:sz w:val="21"/>
                      <w:szCs w:val="21"/>
                      <w:lang w:val="en-US" w:eastAsia="zh-CN"/>
                    </w:rPr>
                  </w:pPr>
                  <w:r>
                    <w:rPr>
                      <w:spacing w:val="3"/>
                      <w:kern w:val="0"/>
                      <w:sz w:val="21"/>
                      <w:szCs w:val="21"/>
                    </w:rPr>
                    <w:t>颗粒状</w:t>
                  </w:r>
                  <w:r>
                    <w:rPr>
                      <w:rFonts w:hint="eastAsia"/>
                      <w:color w:val="auto"/>
                      <w:sz w:val="21"/>
                      <w:szCs w:val="21"/>
                      <w:lang w:val="en-US" w:eastAsia="zh-CN"/>
                    </w:rPr>
                    <w:t>3~5mm</w:t>
                  </w:r>
                </w:p>
              </w:tc>
              <w:tc>
                <w:tcPr>
                  <w:tcW w:w="348" w:type="pct"/>
                  <w:noWrap w:val="0"/>
                  <w:vAlign w:val="center"/>
                </w:tcPr>
                <w:p w14:paraId="4AB48ED0">
                  <w:pPr>
                    <w:pStyle w:val="22"/>
                    <w:bidi w:val="0"/>
                    <w:rPr>
                      <w:color w:val="auto"/>
                      <w:sz w:val="21"/>
                      <w:szCs w:val="21"/>
                    </w:rPr>
                  </w:pPr>
                  <w:r>
                    <w:rPr>
                      <w:color w:val="auto"/>
                      <w:sz w:val="21"/>
                      <w:szCs w:val="21"/>
                    </w:rPr>
                    <w:t>t/a</w:t>
                  </w:r>
                </w:p>
              </w:tc>
              <w:tc>
                <w:tcPr>
                  <w:tcW w:w="503" w:type="pct"/>
                  <w:noWrap w:val="0"/>
                  <w:vAlign w:val="center"/>
                </w:tcPr>
                <w:p w14:paraId="34123185">
                  <w:pPr>
                    <w:pStyle w:val="22"/>
                    <w:bidi w:val="0"/>
                    <w:rPr>
                      <w:rFonts w:hint="eastAsia"/>
                      <w:color w:val="auto"/>
                      <w:sz w:val="21"/>
                      <w:szCs w:val="21"/>
                      <w:lang w:val="en-US" w:eastAsia="zh-CN"/>
                    </w:rPr>
                  </w:pPr>
                  <w:r>
                    <w:rPr>
                      <w:rFonts w:hint="eastAsia"/>
                      <w:color w:val="auto"/>
                      <w:sz w:val="21"/>
                      <w:szCs w:val="21"/>
                      <w:lang w:val="en-US" w:eastAsia="zh-CN"/>
                    </w:rPr>
                    <w:t>980</w:t>
                  </w:r>
                </w:p>
              </w:tc>
              <w:tc>
                <w:tcPr>
                  <w:tcW w:w="567" w:type="pct"/>
                  <w:noWrap w:val="0"/>
                  <w:vAlign w:val="center"/>
                </w:tcPr>
                <w:p w14:paraId="1395A421">
                  <w:pPr>
                    <w:pStyle w:val="22"/>
                    <w:bidi w:val="0"/>
                    <w:rPr>
                      <w:rFonts w:hint="eastAsia"/>
                      <w:color w:val="auto"/>
                      <w:sz w:val="21"/>
                      <w:szCs w:val="21"/>
                      <w:lang w:val="en-US" w:eastAsia="zh-CN"/>
                    </w:rPr>
                  </w:pPr>
                  <w:r>
                    <w:rPr>
                      <w:rFonts w:hint="eastAsia"/>
                      <w:kern w:val="0"/>
                      <w:sz w:val="21"/>
                      <w:szCs w:val="21"/>
                    </w:rPr>
                    <w:t>50</w:t>
                  </w:r>
                  <w:r>
                    <w:rPr>
                      <w:kern w:val="0"/>
                      <w:sz w:val="21"/>
                      <w:szCs w:val="21"/>
                    </w:rPr>
                    <w:t>k</w:t>
                  </w:r>
                  <w:r>
                    <w:rPr>
                      <w:spacing w:val="-2"/>
                      <w:kern w:val="0"/>
                      <w:sz w:val="21"/>
                      <w:szCs w:val="21"/>
                    </w:rPr>
                    <w:t>g</w:t>
                  </w:r>
                  <w:r>
                    <w:rPr>
                      <w:spacing w:val="3"/>
                      <w:kern w:val="0"/>
                      <w:sz w:val="21"/>
                      <w:szCs w:val="21"/>
                    </w:rPr>
                    <w:t>/袋</w:t>
                  </w:r>
                </w:p>
              </w:tc>
              <w:tc>
                <w:tcPr>
                  <w:tcW w:w="567" w:type="pct"/>
                  <w:noWrap w:val="0"/>
                  <w:vAlign w:val="center"/>
                </w:tcPr>
                <w:p w14:paraId="15C1781C">
                  <w:pPr>
                    <w:pStyle w:val="22"/>
                    <w:bidi w:val="0"/>
                    <w:rPr>
                      <w:rFonts w:hint="eastAsia"/>
                      <w:color w:val="auto"/>
                      <w:sz w:val="21"/>
                      <w:szCs w:val="21"/>
                      <w:lang w:val="en-US" w:eastAsia="zh-CN"/>
                    </w:rPr>
                  </w:pPr>
                  <w:r>
                    <w:rPr>
                      <w:rFonts w:hint="eastAsia"/>
                      <w:color w:val="auto"/>
                      <w:sz w:val="21"/>
                      <w:szCs w:val="21"/>
                      <w:lang w:val="en-US" w:eastAsia="zh-CN"/>
                    </w:rPr>
                    <w:t>25t</w:t>
                  </w:r>
                </w:p>
              </w:tc>
              <w:tc>
                <w:tcPr>
                  <w:tcW w:w="586" w:type="pct"/>
                  <w:noWrap w:val="0"/>
                  <w:vAlign w:val="center"/>
                </w:tcPr>
                <w:p w14:paraId="625CC2E3">
                  <w:pPr>
                    <w:pStyle w:val="22"/>
                    <w:bidi w:val="0"/>
                    <w:rPr>
                      <w:rFonts w:hint="default"/>
                      <w:color w:val="auto"/>
                      <w:sz w:val="21"/>
                      <w:szCs w:val="21"/>
                      <w:lang w:val="en-US" w:eastAsia="zh-CN"/>
                    </w:rPr>
                  </w:pPr>
                  <w:r>
                    <w:rPr>
                      <w:rFonts w:hint="eastAsia"/>
                      <w:color w:val="auto"/>
                      <w:sz w:val="21"/>
                      <w:szCs w:val="21"/>
                      <w:lang w:val="en-US" w:eastAsia="zh-CN"/>
                    </w:rPr>
                    <w:t>原料</w:t>
                  </w:r>
                </w:p>
              </w:tc>
            </w:tr>
            <w:tr w14:paraId="107C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73" w:type="pct"/>
                  <w:noWrap w:val="0"/>
                  <w:vAlign w:val="center"/>
                </w:tcPr>
                <w:p w14:paraId="3595966F">
                  <w:pPr>
                    <w:pStyle w:val="22"/>
                    <w:bidi w:val="0"/>
                    <w:rPr>
                      <w:rFonts w:hint="eastAsia" w:eastAsia="宋体"/>
                      <w:color w:val="auto"/>
                      <w:sz w:val="21"/>
                      <w:szCs w:val="21"/>
                      <w:lang w:val="en-US" w:eastAsia="zh-CN"/>
                    </w:rPr>
                  </w:pPr>
                  <w:r>
                    <w:rPr>
                      <w:rFonts w:hint="eastAsia"/>
                      <w:color w:val="auto"/>
                      <w:sz w:val="21"/>
                      <w:szCs w:val="21"/>
                      <w:lang w:val="en-US" w:eastAsia="zh-CN"/>
                    </w:rPr>
                    <w:t>4</w:t>
                  </w:r>
                </w:p>
              </w:tc>
              <w:tc>
                <w:tcPr>
                  <w:tcW w:w="622" w:type="pct"/>
                  <w:vMerge w:val="continue"/>
                  <w:noWrap w:val="0"/>
                  <w:vAlign w:val="center"/>
                </w:tcPr>
                <w:p w14:paraId="68AFB603">
                  <w:pPr>
                    <w:pStyle w:val="22"/>
                    <w:bidi w:val="0"/>
                    <w:rPr>
                      <w:rFonts w:hint="eastAsia"/>
                      <w:color w:val="auto"/>
                      <w:sz w:val="21"/>
                      <w:szCs w:val="21"/>
                      <w:lang w:val="en-US" w:eastAsia="zh-CN"/>
                    </w:rPr>
                  </w:pPr>
                </w:p>
              </w:tc>
              <w:tc>
                <w:tcPr>
                  <w:tcW w:w="506" w:type="pct"/>
                  <w:noWrap w:val="0"/>
                  <w:vAlign w:val="center"/>
                </w:tcPr>
                <w:p w14:paraId="2BCBB105">
                  <w:pPr>
                    <w:pStyle w:val="22"/>
                    <w:bidi w:val="0"/>
                    <w:ind w:firstLine="0" w:firstLineChars="0"/>
                    <w:rPr>
                      <w:rFonts w:hint="eastAsia"/>
                      <w:color w:val="auto"/>
                      <w:sz w:val="21"/>
                      <w:szCs w:val="21"/>
                      <w:lang w:val="en-US" w:eastAsia="zh-CN"/>
                    </w:rPr>
                  </w:pPr>
                  <w:r>
                    <w:rPr>
                      <w:rFonts w:hint="eastAsia"/>
                      <w:color w:val="auto"/>
                      <w:sz w:val="21"/>
                      <w:szCs w:val="21"/>
                      <w:lang w:val="en-US" w:eastAsia="zh-CN"/>
                    </w:rPr>
                    <w:t>色母</w:t>
                  </w:r>
                </w:p>
              </w:tc>
              <w:tc>
                <w:tcPr>
                  <w:tcW w:w="922" w:type="pct"/>
                  <w:gridSpan w:val="2"/>
                  <w:noWrap w:val="0"/>
                  <w:vAlign w:val="center"/>
                </w:tcPr>
                <w:p w14:paraId="1451B011">
                  <w:pPr>
                    <w:pStyle w:val="22"/>
                    <w:bidi w:val="0"/>
                    <w:ind w:firstLine="0" w:firstLineChars="0"/>
                    <w:rPr>
                      <w:rFonts w:hint="eastAsia"/>
                      <w:color w:val="auto"/>
                      <w:sz w:val="21"/>
                      <w:szCs w:val="21"/>
                      <w:lang w:val="en-US" w:eastAsia="zh-CN"/>
                    </w:rPr>
                  </w:pPr>
                  <w:r>
                    <w:rPr>
                      <w:spacing w:val="3"/>
                      <w:kern w:val="0"/>
                      <w:sz w:val="21"/>
                      <w:szCs w:val="21"/>
                    </w:rPr>
                    <w:t>颗粒状</w:t>
                  </w:r>
                  <w:r>
                    <w:rPr>
                      <w:rFonts w:hint="eastAsia"/>
                      <w:color w:val="auto"/>
                      <w:sz w:val="21"/>
                      <w:szCs w:val="21"/>
                      <w:lang w:val="en-US" w:eastAsia="zh-CN"/>
                    </w:rPr>
                    <w:t>3~5mm</w:t>
                  </w:r>
                </w:p>
              </w:tc>
              <w:tc>
                <w:tcPr>
                  <w:tcW w:w="348" w:type="pct"/>
                  <w:noWrap w:val="0"/>
                  <w:vAlign w:val="center"/>
                </w:tcPr>
                <w:p w14:paraId="7DC7FC02">
                  <w:pPr>
                    <w:pStyle w:val="22"/>
                    <w:bidi w:val="0"/>
                    <w:ind w:firstLine="0" w:firstLineChars="0"/>
                    <w:rPr>
                      <w:color w:val="auto"/>
                      <w:sz w:val="21"/>
                      <w:szCs w:val="21"/>
                    </w:rPr>
                  </w:pPr>
                  <w:r>
                    <w:rPr>
                      <w:color w:val="auto"/>
                      <w:sz w:val="21"/>
                      <w:szCs w:val="21"/>
                    </w:rPr>
                    <w:t>t/a</w:t>
                  </w:r>
                </w:p>
              </w:tc>
              <w:tc>
                <w:tcPr>
                  <w:tcW w:w="503" w:type="pct"/>
                  <w:noWrap w:val="0"/>
                  <w:vAlign w:val="center"/>
                </w:tcPr>
                <w:p w14:paraId="4917610B">
                  <w:pPr>
                    <w:pStyle w:val="22"/>
                    <w:bidi w:val="0"/>
                    <w:ind w:firstLine="0" w:firstLineChars="0"/>
                    <w:rPr>
                      <w:rFonts w:hint="eastAsia"/>
                      <w:color w:val="auto"/>
                      <w:sz w:val="21"/>
                      <w:szCs w:val="21"/>
                      <w:lang w:val="en-US" w:eastAsia="zh-CN"/>
                    </w:rPr>
                  </w:pPr>
                  <w:r>
                    <w:rPr>
                      <w:rFonts w:hint="eastAsia"/>
                      <w:color w:val="auto"/>
                      <w:sz w:val="21"/>
                      <w:szCs w:val="21"/>
                      <w:lang w:val="en-US" w:eastAsia="zh-CN"/>
                    </w:rPr>
                    <w:t>20</w:t>
                  </w:r>
                </w:p>
              </w:tc>
              <w:tc>
                <w:tcPr>
                  <w:tcW w:w="567" w:type="pct"/>
                  <w:noWrap w:val="0"/>
                  <w:vAlign w:val="center"/>
                </w:tcPr>
                <w:p w14:paraId="596321E6">
                  <w:pPr>
                    <w:pStyle w:val="22"/>
                    <w:bidi w:val="0"/>
                    <w:ind w:firstLine="0" w:firstLineChars="0"/>
                    <w:rPr>
                      <w:rFonts w:hint="eastAsia"/>
                      <w:color w:val="auto"/>
                      <w:sz w:val="21"/>
                      <w:szCs w:val="21"/>
                      <w:lang w:val="en-US" w:eastAsia="zh-CN"/>
                    </w:rPr>
                  </w:pPr>
                  <w:r>
                    <w:rPr>
                      <w:rFonts w:hint="eastAsia"/>
                      <w:kern w:val="0"/>
                      <w:sz w:val="21"/>
                      <w:szCs w:val="21"/>
                    </w:rPr>
                    <w:t>50</w:t>
                  </w:r>
                  <w:r>
                    <w:rPr>
                      <w:kern w:val="0"/>
                      <w:sz w:val="21"/>
                      <w:szCs w:val="21"/>
                    </w:rPr>
                    <w:t>k</w:t>
                  </w:r>
                  <w:r>
                    <w:rPr>
                      <w:spacing w:val="-2"/>
                      <w:kern w:val="0"/>
                      <w:sz w:val="21"/>
                      <w:szCs w:val="21"/>
                    </w:rPr>
                    <w:t>g</w:t>
                  </w:r>
                  <w:r>
                    <w:rPr>
                      <w:spacing w:val="3"/>
                      <w:kern w:val="0"/>
                      <w:sz w:val="21"/>
                      <w:szCs w:val="21"/>
                    </w:rPr>
                    <w:t>/袋</w:t>
                  </w:r>
                </w:p>
              </w:tc>
              <w:tc>
                <w:tcPr>
                  <w:tcW w:w="567" w:type="pct"/>
                  <w:noWrap w:val="0"/>
                  <w:vAlign w:val="center"/>
                </w:tcPr>
                <w:p w14:paraId="62DF1E86">
                  <w:pPr>
                    <w:pStyle w:val="22"/>
                    <w:bidi w:val="0"/>
                    <w:ind w:firstLine="0" w:firstLineChars="0"/>
                    <w:rPr>
                      <w:rFonts w:hint="eastAsia"/>
                      <w:color w:val="auto"/>
                      <w:sz w:val="21"/>
                      <w:szCs w:val="21"/>
                      <w:lang w:val="en-US" w:eastAsia="zh-CN"/>
                    </w:rPr>
                  </w:pPr>
                  <w:r>
                    <w:rPr>
                      <w:rFonts w:hint="eastAsia"/>
                      <w:color w:val="auto"/>
                      <w:sz w:val="21"/>
                      <w:szCs w:val="21"/>
                      <w:lang w:val="en-US" w:eastAsia="zh-CN"/>
                    </w:rPr>
                    <w:t>2</w:t>
                  </w:r>
                  <w:r>
                    <w:rPr>
                      <w:color w:val="auto"/>
                      <w:sz w:val="21"/>
                      <w:szCs w:val="21"/>
                    </w:rPr>
                    <w:t>t</w:t>
                  </w:r>
                </w:p>
              </w:tc>
              <w:tc>
                <w:tcPr>
                  <w:tcW w:w="586" w:type="pct"/>
                  <w:noWrap w:val="0"/>
                  <w:vAlign w:val="center"/>
                </w:tcPr>
                <w:p w14:paraId="6106AD99">
                  <w:pPr>
                    <w:pStyle w:val="22"/>
                    <w:bidi w:val="0"/>
                    <w:ind w:firstLine="0" w:firstLineChars="0"/>
                    <w:rPr>
                      <w:rFonts w:hint="eastAsia"/>
                      <w:color w:val="auto"/>
                      <w:sz w:val="21"/>
                      <w:szCs w:val="21"/>
                      <w:lang w:val="en-US" w:eastAsia="zh-CN"/>
                    </w:rPr>
                  </w:pPr>
                  <w:r>
                    <w:rPr>
                      <w:rFonts w:hint="eastAsia"/>
                      <w:color w:val="auto"/>
                      <w:sz w:val="21"/>
                      <w:szCs w:val="21"/>
                      <w:lang w:val="en-US" w:eastAsia="zh-CN"/>
                    </w:rPr>
                    <w:t>辅料</w:t>
                  </w:r>
                </w:p>
              </w:tc>
            </w:tr>
            <w:tr w14:paraId="16912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73" w:type="pct"/>
                  <w:noWrap w:val="0"/>
                  <w:vAlign w:val="center"/>
                </w:tcPr>
                <w:p w14:paraId="209BD9E6">
                  <w:pPr>
                    <w:pStyle w:val="22"/>
                    <w:bidi w:val="0"/>
                    <w:rPr>
                      <w:rFonts w:hint="eastAsia"/>
                      <w:color w:val="auto"/>
                      <w:sz w:val="21"/>
                      <w:szCs w:val="21"/>
                      <w:lang w:val="en-US" w:eastAsia="zh-CN"/>
                    </w:rPr>
                  </w:pPr>
                  <w:r>
                    <w:rPr>
                      <w:rFonts w:hint="eastAsia"/>
                      <w:color w:val="auto"/>
                      <w:sz w:val="21"/>
                      <w:szCs w:val="21"/>
                      <w:lang w:val="en-US" w:eastAsia="zh-CN"/>
                    </w:rPr>
                    <w:t>5</w:t>
                  </w:r>
                </w:p>
              </w:tc>
              <w:tc>
                <w:tcPr>
                  <w:tcW w:w="622" w:type="pct"/>
                  <w:noWrap w:val="0"/>
                  <w:vAlign w:val="center"/>
                </w:tcPr>
                <w:p w14:paraId="7E375236">
                  <w:pPr>
                    <w:pStyle w:val="22"/>
                    <w:bidi w:val="0"/>
                    <w:rPr>
                      <w:rFonts w:hint="default"/>
                      <w:color w:val="auto"/>
                      <w:sz w:val="21"/>
                      <w:szCs w:val="21"/>
                      <w:lang w:val="en-US" w:eastAsia="zh-CN"/>
                    </w:rPr>
                  </w:pPr>
                  <w:r>
                    <w:rPr>
                      <w:rFonts w:hint="eastAsia"/>
                      <w:color w:val="auto"/>
                      <w:sz w:val="21"/>
                      <w:szCs w:val="21"/>
                      <w:lang w:val="en-US" w:eastAsia="zh-CN"/>
                    </w:rPr>
                    <w:t>机油</w:t>
                  </w:r>
                </w:p>
              </w:tc>
              <w:tc>
                <w:tcPr>
                  <w:tcW w:w="1429" w:type="pct"/>
                  <w:gridSpan w:val="3"/>
                  <w:noWrap w:val="0"/>
                  <w:vAlign w:val="center"/>
                </w:tcPr>
                <w:p w14:paraId="408C460F">
                  <w:pPr>
                    <w:pStyle w:val="22"/>
                    <w:bidi w:val="0"/>
                    <w:rPr>
                      <w:rFonts w:hint="eastAsia"/>
                      <w:color w:val="auto"/>
                      <w:sz w:val="21"/>
                      <w:szCs w:val="21"/>
                      <w:lang w:val="en-US" w:eastAsia="zh-CN"/>
                    </w:rPr>
                  </w:pPr>
                  <w:r>
                    <w:rPr>
                      <w:rFonts w:hint="eastAsia"/>
                      <w:color w:val="auto"/>
                      <w:sz w:val="21"/>
                      <w:szCs w:val="21"/>
                      <w:lang w:val="en-US" w:eastAsia="zh-CN"/>
                    </w:rPr>
                    <w:t>4L/桶液体</w:t>
                  </w:r>
                </w:p>
              </w:tc>
              <w:tc>
                <w:tcPr>
                  <w:tcW w:w="348" w:type="pct"/>
                  <w:noWrap w:val="0"/>
                  <w:vAlign w:val="center"/>
                </w:tcPr>
                <w:p w14:paraId="2E5C933E">
                  <w:pPr>
                    <w:pStyle w:val="22"/>
                    <w:bidi w:val="0"/>
                    <w:rPr>
                      <w:rFonts w:hint="eastAsia"/>
                      <w:color w:val="auto"/>
                      <w:sz w:val="21"/>
                      <w:szCs w:val="21"/>
                      <w:lang w:val="en-US" w:eastAsia="zh-CN"/>
                    </w:rPr>
                  </w:pPr>
                  <w:r>
                    <w:rPr>
                      <w:rFonts w:hint="eastAsia"/>
                      <w:color w:val="auto"/>
                      <w:sz w:val="21"/>
                      <w:szCs w:val="21"/>
                      <w:lang w:val="en-US" w:eastAsia="zh-CN"/>
                    </w:rPr>
                    <w:t>L</w:t>
                  </w:r>
                  <w:r>
                    <w:rPr>
                      <w:color w:val="auto"/>
                      <w:sz w:val="21"/>
                      <w:szCs w:val="21"/>
                    </w:rPr>
                    <w:t>/a</w:t>
                  </w:r>
                </w:p>
              </w:tc>
              <w:tc>
                <w:tcPr>
                  <w:tcW w:w="503" w:type="pct"/>
                  <w:noWrap w:val="0"/>
                  <w:vAlign w:val="center"/>
                </w:tcPr>
                <w:p w14:paraId="58E6EFCC">
                  <w:pPr>
                    <w:pStyle w:val="22"/>
                    <w:bidi w:val="0"/>
                    <w:rPr>
                      <w:rFonts w:hint="default"/>
                      <w:color w:val="auto"/>
                      <w:sz w:val="21"/>
                      <w:szCs w:val="21"/>
                      <w:lang w:val="en-US" w:eastAsia="zh-CN"/>
                    </w:rPr>
                  </w:pPr>
                  <w:r>
                    <w:rPr>
                      <w:rFonts w:hint="eastAsia"/>
                      <w:color w:val="auto"/>
                      <w:sz w:val="21"/>
                      <w:szCs w:val="21"/>
                      <w:lang w:val="en-US" w:eastAsia="zh-CN"/>
                    </w:rPr>
                    <w:t>180</w:t>
                  </w:r>
                </w:p>
              </w:tc>
              <w:tc>
                <w:tcPr>
                  <w:tcW w:w="567" w:type="pct"/>
                  <w:noWrap w:val="0"/>
                  <w:vAlign w:val="center"/>
                </w:tcPr>
                <w:p w14:paraId="50611663">
                  <w:pPr>
                    <w:pStyle w:val="22"/>
                    <w:bidi w:val="0"/>
                    <w:rPr>
                      <w:color w:val="auto"/>
                      <w:sz w:val="21"/>
                      <w:szCs w:val="21"/>
                    </w:rPr>
                  </w:pPr>
                  <w:r>
                    <w:rPr>
                      <w:rFonts w:hint="eastAsia"/>
                      <w:color w:val="auto"/>
                      <w:sz w:val="21"/>
                      <w:szCs w:val="21"/>
                      <w:lang w:val="en-US" w:eastAsia="zh-CN"/>
                    </w:rPr>
                    <w:t>桶装</w:t>
                  </w:r>
                </w:p>
              </w:tc>
              <w:tc>
                <w:tcPr>
                  <w:tcW w:w="567" w:type="pct"/>
                  <w:noWrap w:val="0"/>
                  <w:vAlign w:val="center"/>
                </w:tcPr>
                <w:p w14:paraId="26757AB8">
                  <w:pPr>
                    <w:pStyle w:val="22"/>
                    <w:bidi w:val="0"/>
                    <w:rPr>
                      <w:rFonts w:hint="eastAsia"/>
                      <w:color w:val="auto"/>
                      <w:sz w:val="21"/>
                      <w:szCs w:val="21"/>
                      <w:lang w:val="en-US" w:eastAsia="zh-CN"/>
                    </w:rPr>
                  </w:pPr>
                  <w:r>
                    <w:rPr>
                      <w:rFonts w:hint="eastAsia"/>
                      <w:color w:val="auto"/>
                      <w:sz w:val="21"/>
                      <w:szCs w:val="21"/>
                      <w:lang w:val="en-US" w:eastAsia="zh-CN"/>
                    </w:rPr>
                    <w:t>90L</w:t>
                  </w:r>
                </w:p>
              </w:tc>
              <w:tc>
                <w:tcPr>
                  <w:tcW w:w="586" w:type="pct"/>
                  <w:noWrap w:val="0"/>
                  <w:vAlign w:val="center"/>
                </w:tcPr>
                <w:p w14:paraId="08C4760C">
                  <w:pPr>
                    <w:pStyle w:val="22"/>
                    <w:bidi w:val="0"/>
                    <w:rPr>
                      <w:rFonts w:hint="eastAsia"/>
                      <w:color w:val="auto"/>
                      <w:sz w:val="21"/>
                      <w:szCs w:val="21"/>
                      <w:lang w:val="en-US" w:eastAsia="zh-CN"/>
                    </w:rPr>
                  </w:pPr>
                  <w:r>
                    <w:rPr>
                      <w:rFonts w:hint="eastAsia"/>
                      <w:color w:val="auto"/>
                      <w:sz w:val="21"/>
                      <w:szCs w:val="21"/>
                      <w:lang w:val="en-US" w:eastAsia="zh-CN"/>
                    </w:rPr>
                    <w:t>机械使用</w:t>
                  </w:r>
                </w:p>
              </w:tc>
            </w:tr>
            <w:tr w14:paraId="5291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73" w:type="pct"/>
                  <w:noWrap w:val="0"/>
                  <w:vAlign w:val="center"/>
                </w:tcPr>
                <w:p w14:paraId="61B4E65C">
                  <w:pPr>
                    <w:pStyle w:val="22"/>
                    <w:bidi w:val="0"/>
                    <w:rPr>
                      <w:rFonts w:hint="default"/>
                      <w:color w:val="auto"/>
                      <w:sz w:val="21"/>
                      <w:szCs w:val="21"/>
                      <w:lang w:val="en-US" w:eastAsia="zh-CN"/>
                    </w:rPr>
                  </w:pPr>
                  <w:r>
                    <w:rPr>
                      <w:rFonts w:hint="eastAsia"/>
                      <w:color w:val="auto"/>
                      <w:sz w:val="21"/>
                      <w:szCs w:val="21"/>
                      <w:lang w:val="en-US" w:eastAsia="zh-CN"/>
                    </w:rPr>
                    <w:t>6</w:t>
                  </w:r>
                </w:p>
              </w:tc>
              <w:tc>
                <w:tcPr>
                  <w:tcW w:w="622" w:type="pct"/>
                  <w:vMerge w:val="restart"/>
                  <w:noWrap w:val="0"/>
                  <w:vAlign w:val="center"/>
                </w:tcPr>
                <w:p w14:paraId="13C536C6">
                  <w:pPr>
                    <w:pStyle w:val="22"/>
                    <w:bidi w:val="0"/>
                    <w:rPr>
                      <w:color w:val="auto"/>
                      <w:sz w:val="21"/>
                      <w:szCs w:val="21"/>
                    </w:rPr>
                  </w:pPr>
                  <w:r>
                    <w:rPr>
                      <w:color w:val="auto"/>
                      <w:sz w:val="21"/>
                      <w:szCs w:val="21"/>
                    </w:rPr>
                    <w:t>能源</w:t>
                  </w:r>
                </w:p>
              </w:tc>
              <w:tc>
                <w:tcPr>
                  <w:tcW w:w="1429" w:type="pct"/>
                  <w:gridSpan w:val="3"/>
                  <w:noWrap w:val="0"/>
                  <w:vAlign w:val="center"/>
                </w:tcPr>
                <w:p w14:paraId="4EA4116E">
                  <w:pPr>
                    <w:pStyle w:val="22"/>
                    <w:bidi w:val="0"/>
                    <w:rPr>
                      <w:color w:val="auto"/>
                      <w:sz w:val="21"/>
                      <w:szCs w:val="21"/>
                    </w:rPr>
                  </w:pPr>
                  <w:r>
                    <w:rPr>
                      <w:color w:val="auto"/>
                      <w:sz w:val="21"/>
                      <w:szCs w:val="21"/>
                    </w:rPr>
                    <w:t>电</w:t>
                  </w:r>
                </w:p>
              </w:tc>
              <w:tc>
                <w:tcPr>
                  <w:tcW w:w="348" w:type="pct"/>
                  <w:noWrap w:val="0"/>
                  <w:vAlign w:val="center"/>
                </w:tcPr>
                <w:p w14:paraId="5ED1021B">
                  <w:pPr>
                    <w:pStyle w:val="22"/>
                    <w:bidi w:val="0"/>
                    <w:rPr>
                      <w:color w:val="auto"/>
                      <w:sz w:val="21"/>
                      <w:szCs w:val="21"/>
                    </w:rPr>
                  </w:pPr>
                  <w:r>
                    <w:rPr>
                      <w:color w:val="auto"/>
                      <w:sz w:val="21"/>
                      <w:szCs w:val="21"/>
                    </w:rPr>
                    <w:t>kWh/a</w:t>
                  </w:r>
                </w:p>
              </w:tc>
              <w:tc>
                <w:tcPr>
                  <w:tcW w:w="503" w:type="pct"/>
                  <w:noWrap w:val="0"/>
                  <w:vAlign w:val="center"/>
                </w:tcPr>
                <w:p w14:paraId="20722E70">
                  <w:pPr>
                    <w:pStyle w:val="22"/>
                    <w:bidi w:val="0"/>
                    <w:rPr>
                      <w:color w:val="auto"/>
                      <w:sz w:val="21"/>
                      <w:szCs w:val="21"/>
                    </w:rPr>
                  </w:pPr>
                  <w:r>
                    <w:rPr>
                      <w:rFonts w:hint="eastAsia"/>
                      <w:color w:val="auto"/>
                      <w:sz w:val="21"/>
                      <w:szCs w:val="21"/>
                      <w:lang w:val="en-US" w:eastAsia="zh-CN"/>
                    </w:rPr>
                    <w:t>200</w:t>
                  </w:r>
                  <w:r>
                    <w:rPr>
                      <w:rFonts w:hint="eastAsia"/>
                      <w:color w:val="auto"/>
                      <w:sz w:val="21"/>
                      <w:szCs w:val="21"/>
                    </w:rPr>
                    <w:t>万</w:t>
                  </w:r>
                </w:p>
              </w:tc>
              <w:tc>
                <w:tcPr>
                  <w:tcW w:w="567" w:type="pct"/>
                  <w:noWrap w:val="0"/>
                  <w:vAlign w:val="center"/>
                </w:tcPr>
                <w:p w14:paraId="421BD61F">
                  <w:pPr>
                    <w:pStyle w:val="22"/>
                    <w:bidi w:val="0"/>
                    <w:rPr>
                      <w:color w:val="auto"/>
                      <w:sz w:val="21"/>
                      <w:szCs w:val="21"/>
                    </w:rPr>
                  </w:pPr>
                  <w:r>
                    <w:rPr>
                      <w:rFonts w:hint="eastAsia"/>
                      <w:color w:val="auto"/>
                      <w:sz w:val="21"/>
                      <w:szCs w:val="21"/>
                    </w:rPr>
                    <w:t>/</w:t>
                  </w:r>
                </w:p>
              </w:tc>
              <w:tc>
                <w:tcPr>
                  <w:tcW w:w="567" w:type="pct"/>
                  <w:noWrap w:val="0"/>
                  <w:vAlign w:val="center"/>
                </w:tcPr>
                <w:p w14:paraId="7AE28C2F">
                  <w:pPr>
                    <w:pStyle w:val="22"/>
                    <w:bidi w:val="0"/>
                    <w:rPr>
                      <w:color w:val="auto"/>
                      <w:sz w:val="21"/>
                      <w:szCs w:val="21"/>
                    </w:rPr>
                  </w:pPr>
                  <w:r>
                    <w:rPr>
                      <w:color w:val="auto"/>
                      <w:sz w:val="21"/>
                      <w:szCs w:val="21"/>
                    </w:rPr>
                    <w:t>/</w:t>
                  </w:r>
                </w:p>
              </w:tc>
              <w:tc>
                <w:tcPr>
                  <w:tcW w:w="586" w:type="pct"/>
                  <w:noWrap w:val="0"/>
                  <w:vAlign w:val="center"/>
                </w:tcPr>
                <w:p w14:paraId="1F3805D8">
                  <w:pPr>
                    <w:pStyle w:val="22"/>
                    <w:bidi w:val="0"/>
                    <w:rPr>
                      <w:color w:val="auto"/>
                      <w:sz w:val="21"/>
                      <w:szCs w:val="21"/>
                    </w:rPr>
                  </w:pPr>
                  <w:r>
                    <w:rPr>
                      <w:rFonts w:hint="eastAsia"/>
                      <w:color w:val="auto"/>
                      <w:sz w:val="21"/>
                      <w:szCs w:val="21"/>
                    </w:rPr>
                    <w:t>/</w:t>
                  </w:r>
                </w:p>
              </w:tc>
            </w:tr>
            <w:tr w14:paraId="2746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73" w:type="pct"/>
                  <w:noWrap w:val="0"/>
                  <w:vAlign w:val="center"/>
                </w:tcPr>
                <w:p w14:paraId="240E9806">
                  <w:pPr>
                    <w:pStyle w:val="22"/>
                    <w:bidi w:val="0"/>
                    <w:rPr>
                      <w:rFonts w:hint="default"/>
                      <w:color w:val="auto"/>
                      <w:sz w:val="21"/>
                      <w:szCs w:val="21"/>
                      <w:lang w:val="en-US" w:eastAsia="zh-CN"/>
                    </w:rPr>
                  </w:pPr>
                  <w:r>
                    <w:rPr>
                      <w:rFonts w:hint="eastAsia"/>
                      <w:color w:val="auto"/>
                      <w:sz w:val="21"/>
                      <w:szCs w:val="21"/>
                      <w:lang w:val="en-US" w:eastAsia="zh-CN"/>
                    </w:rPr>
                    <w:t>7</w:t>
                  </w:r>
                </w:p>
              </w:tc>
              <w:tc>
                <w:tcPr>
                  <w:tcW w:w="622" w:type="pct"/>
                  <w:vMerge w:val="continue"/>
                  <w:noWrap w:val="0"/>
                  <w:vAlign w:val="center"/>
                </w:tcPr>
                <w:p w14:paraId="5B61C307">
                  <w:pPr>
                    <w:pStyle w:val="22"/>
                    <w:bidi w:val="0"/>
                    <w:rPr>
                      <w:color w:val="auto"/>
                      <w:sz w:val="21"/>
                      <w:szCs w:val="21"/>
                    </w:rPr>
                  </w:pPr>
                </w:p>
              </w:tc>
              <w:tc>
                <w:tcPr>
                  <w:tcW w:w="1429" w:type="pct"/>
                  <w:gridSpan w:val="3"/>
                  <w:noWrap w:val="0"/>
                  <w:vAlign w:val="center"/>
                </w:tcPr>
                <w:p w14:paraId="374BE66E">
                  <w:pPr>
                    <w:pStyle w:val="22"/>
                    <w:bidi w:val="0"/>
                    <w:rPr>
                      <w:color w:val="auto"/>
                      <w:sz w:val="21"/>
                      <w:szCs w:val="21"/>
                    </w:rPr>
                  </w:pPr>
                  <w:r>
                    <w:rPr>
                      <w:color w:val="auto"/>
                      <w:sz w:val="21"/>
                      <w:szCs w:val="21"/>
                    </w:rPr>
                    <w:t>水</w:t>
                  </w:r>
                </w:p>
              </w:tc>
              <w:tc>
                <w:tcPr>
                  <w:tcW w:w="348" w:type="pct"/>
                  <w:noWrap w:val="0"/>
                  <w:vAlign w:val="center"/>
                </w:tcPr>
                <w:p w14:paraId="2E0876A5">
                  <w:pPr>
                    <w:pStyle w:val="22"/>
                    <w:bidi w:val="0"/>
                    <w:rPr>
                      <w:color w:val="auto"/>
                      <w:sz w:val="21"/>
                      <w:szCs w:val="21"/>
                    </w:rPr>
                  </w:pPr>
                  <w:r>
                    <w:rPr>
                      <w:rFonts w:hint="eastAsia"/>
                      <w:color w:val="auto"/>
                      <w:sz w:val="21"/>
                      <w:szCs w:val="21"/>
                      <w:lang w:val="en-US" w:eastAsia="zh-CN"/>
                    </w:rPr>
                    <w:t>m</w:t>
                  </w:r>
                  <w:r>
                    <w:rPr>
                      <w:rFonts w:hint="eastAsia"/>
                      <w:color w:val="auto"/>
                      <w:sz w:val="21"/>
                      <w:szCs w:val="21"/>
                      <w:vertAlign w:val="superscript"/>
                      <w:lang w:val="en-US" w:eastAsia="zh-CN"/>
                    </w:rPr>
                    <w:t>3</w:t>
                  </w:r>
                  <w:r>
                    <w:rPr>
                      <w:color w:val="auto"/>
                      <w:sz w:val="21"/>
                      <w:szCs w:val="21"/>
                    </w:rPr>
                    <w:t>/a</w:t>
                  </w:r>
                </w:p>
              </w:tc>
              <w:tc>
                <w:tcPr>
                  <w:tcW w:w="503" w:type="pct"/>
                  <w:noWrap w:val="0"/>
                  <w:vAlign w:val="center"/>
                </w:tcPr>
                <w:p w14:paraId="3AE14FBB">
                  <w:pPr>
                    <w:pStyle w:val="22"/>
                    <w:bidi w:val="0"/>
                    <w:rPr>
                      <w:rFonts w:hint="default"/>
                      <w:color w:val="auto"/>
                      <w:sz w:val="21"/>
                      <w:szCs w:val="21"/>
                      <w:lang w:val="en-US" w:eastAsia="zh-CN"/>
                    </w:rPr>
                  </w:pPr>
                  <w:r>
                    <w:rPr>
                      <w:rFonts w:hint="eastAsia"/>
                      <w:color w:val="auto"/>
                      <w:sz w:val="21"/>
                      <w:szCs w:val="21"/>
                      <w:highlight w:val="none"/>
                      <w:lang w:val="en-US" w:eastAsia="zh-CN"/>
                    </w:rPr>
                    <w:t>2176</w:t>
                  </w:r>
                </w:p>
              </w:tc>
              <w:tc>
                <w:tcPr>
                  <w:tcW w:w="567" w:type="pct"/>
                  <w:noWrap w:val="0"/>
                  <w:vAlign w:val="center"/>
                </w:tcPr>
                <w:p w14:paraId="6040ED9C">
                  <w:pPr>
                    <w:pStyle w:val="22"/>
                    <w:bidi w:val="0"/>
                    <w:rPr>
                      <w:color w:val="auto"/>
                      <w:sz w:val="21"/>
                      <w:szCs w:val="21"/>
                    </w:rPr>
                  </w:pPr>
                  <w:r>
                    <w:rPr>
                      <w:rFonts w:hint="eastAsia"/>
                      <w:color w:val="auto"/>
                      <w:sz w:val="21"/>
                      <w:szCs w:val="21"/>
                    </w:rPr>
                    <w:t>/</w:t>
                  </w:r>
                </w:p>
              </w:tc>
              <w:tc>
                <w:tcPr>
                  <w:tcW w:w="567" w:type="pct"/>
                  <w:noWrap w:val="0"/>
                  <w:vAlign w:val="center"/>
                </w:tcPr>
                <w:p w14:paraId="3E62A4AB">
                  <w:pPr>
                    <w:pStyle w:val="22"/>
                    <w:bidi w:val="0"/>
                    <w:rPr>
                      <w:color w:val="auto"/>
                      <w:sz w:val="21"/>
                      <w:szCs w:val="21"/>
                    </w:rPr>
                  </w:pPr>
                  <w:r>
                    <w:rPr>
                      <w:color w:val="auto"/>
                      <w:sz w:val="21"/>
                      <w:szCs w:val="21"/>
                    </w:rPr>
                    <w:t>/</w:t>
                  </w:r>
                </w:p>
              </w:tc>
              <w:tc>
                <w:tcPr>
                  <w:tcW w:w="586" w:type="pct"/>
                  <w:noWrap w:val="0"/>
                  <w:vAlign w:val="center"/>
                </w:tcPr>
                <w:p w14:paraId="0C9C24F7">
                  <w:pPr>
                    <w:pStyle w:val="22"/>
                    <w:bidi w:val="0"/>
                    <w:rPr>
                      <w:color w:val="auto"/>
                      <w:sz w:val="21"/>
                      <w:szCs w:val="21"/>
                    </w:rPr>
                  </w:pPr>
                  <w:r>
                    <w:rPr>
                      <w:rFonts w:hint="eastAsia"/>
                      <w:color w:val="auto"/>
                      <w:sz w:val="21"/>
                      <w:szCs w:val="21"/>
                    </w:rPr>
                    <w:t>/</w:t>
                  </w:r>
                </w:p>
              </w:tc>
            </w:tr>
          </w:tbl>
          <w:p w14:paraId="56AEB5EC">
            <w:pPr>
              <w:pStyle w:val="21"/>
              <w:bidi w:val="0"/>
              <w:rPr>
                <w:rFonts w:hint="eastAsia"/>
                <w:color w:val="auto"/>
              </w:rPr>
            </w:pPr>
            <w:r>
              <w:rPr>
                <w:color w:val="auto"/>
              </w:rPr>
              <w:t>表</w:t>
            </w:r>
            <w:r>
              <w:rPr>
                <w:rFonts w:hint="eastAsia"/>
                <w:color w:val="auto"/>
              </w:rPr>
              <w:t xml:space="preserve">2-6 </w:t>
            </w:r>
            <w:r>
              <w:rPr>
                <w:rFonts w:hint="eastAsia"/>
                <w:color w:val="auto"/>
                <w:lang w:val="en-US" w:eastAsia="zh-CN"/>
              </w:rPr>
              <w:t xml:space="preserve"> </w:t>
            </w:r>
            <w:r>
              <w:rPr>
                <w:rFonts w:hint="eastAsia"/>
                <w:color w:val="auto"/>
              </w:rPr>
              <w:t>主要原辅材料理化性质一览表</w:t>
            </w:r>
          </w:p>
          <w:tbl>
            <w:tblPr>
              <w:tblStyle w:val="12"/>
              <w:tblW w:w="49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01"/>
              <w:gridCol w:w="961"/>
              <w:gridCol w:w="6528"/>
            </w:tblGrid>
            <w:tr w14:paraId="5B0B4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27" w:type="pct"/>
                  <w:tcBorders>
                    <w:top w:val="single" w:color="auto" w:sz="4" w:space="0"/>
                    <w:left w:val="single" w:color="auto" w:sz="4" w:space="0"/>
                    <w:bottom w:val="single" w:color="auto" w:sz="4" w:space="0"/>
                    <w:right w:val="single" w:color="auto" w:sz="4" w:space="0"/>
                  </w:tcBorders>
                  <w:noWrap w:val="0"/>
                  <w:vAlign w:val="center"/>
                </w:tcPr>
                <w:p w14:paraId="1BF4887E">
                  <w:pPr>
                    <w:pStyle w:val="22"/>
                    <w:bidi w:val="0"/>
                    <w:rPr>
                      <w:b/>
                      <w:bCs/>
                      <w:color w:val="auto"/>
                    </w:rPr>
                  </w:pPr>
                  <w:r>
                    <w:rPr>
                      <w:b/>
                      <w:bCs/>
                      <w:color w:val="auto"/>
                    </w:rPr>
                    <w:t>序号</w:t>
                  </w:r>
                </w:p>
              </w:tc>
              <w:tc>
                <w:tcPr>
                  <w:tcW w:w="586" w:type="pct"/>
                  <w:tcBorders>
                    <w:top w:val="single" w:color="auto" w:sz="4" w:space="0"/>
                    <w:left w:val="nil"/>
                    <w:bottom w:val="single" w:color="auto" w:sz="4" w:space="0"/>
                    <w:right w:val="single" w:color="auto" w:sz="4" w:space="0"/>
                  </w:tcBorders>
                  <w:noWrap w:val="0"/>
                  <w:vAlign w:val="center"/>
                </w:tcPr>
                <w:p w14:paraId="6E03A721">
                  <w:pPr>
                    <w:pStyle w:val="22"/>
                    <w:bidi w:val="0"/>
                    <w:rPr>
                      <w:b/>
                      <w:bCs/>
                      <w:color w:val="auto"/>
                    </w:rPr>
                  </w:pPr>
                  <w:r>
                    <w:rPr>
                      <w:b/>
                      <w:bCs/>
                      <w:color w:val="auto"/>
                    </w:rPr>
                    <w:t>物质名称</w:t>
                  </w:r>
                </w:p>
              </w:tc>
              <w:tc>
                <w:tcPr>
                  <w:tcW w:w="3985" w:type="pct"/>
                  <w:tcBorders>
                    <w:top w:val="single" w:color="auto" w:sz="4" w:space="0"/>
                    <w:left w:val="nil"/>
                    <w:bottom w:val="single" w:color="auto" w:sz="4" w:space="0"/>
                    <w:right w:val="single" w:color="auto" w:sz="4" w:space="0"/>
                  </w:tcBorders>
                  <w:noWrap w:val="0"/>
                  <w:vAlign w:val="center"/>
                </w:tcPr>
                <w:p w14:paraId="301199BF">
                  <w:pPr>
                    <w:pStyle w:val="22"/>
                    <w:bidi w:val="0"/>
                    <w:rPr>
                      <w:b/>
                      <w:bCs/>
                      <w:color w:val="auto"/>
                    </w:rPr>
                  </w:pPr>
                  <w:r>
                    <w:rPr>
                      <w:b/>
                      <w:bCs/>
                      <w:color w:val="auto"/>
                    </w:rPr>
                    <w:t>理化特性</w:t>
                  </w:r>
                </w:p>
              </w:tc>
            </w:tr>
            <w:tr w14:paraId="104B4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27" w:type="pct"/>
                  <w:tcBorders>
                    <w:top w:val="single" w:color="auto" w:sz="4" w:space="0"/>
                    <w:left w:val="single" w:color="auto" w:sz="4" w:space="0"/>
                    <w:bottom w:val="single" w:color="auto" w:sz="4" w:space="0"/>
                    <w:right w:val="single" w:color="auto" w:sz="4" w:space="0"/>
                  </w:tcBorders>
                  <w:noWrap w:val="0"/>
                  <w:vAlign w:val="center"/>
                </w:tcPr>
                <w:p w14:paraId="65F7C808">
                  <w:pPr>
                    <w:pStyle w:val="22"/>
                    <w:bidi w:val="0"/>
                    <w:rPr>
                      <w:color w:val="0000FF"/>
                    </w:rPr>
                  </w:pPr>
                  <w:r>
                    <w:rPr>
                      <w:rFonts w:hint="eastAsia"/>
                      <w:color w:val="auto"/>
                    </w:rPr>
                    <w:t>1</w:t>
                  </w:r>
                </w:p>
              </w:tc>
              <w:tc>
                <w:tcPr>
                  <w:tcW w:w="586" w:type="pct"/>
                  <w:tcBorders>
                    <w:top w:val="single" w:color="auto" w:sz="4" w:space="0"/>
                    <w:left w:val="nil"/>
                    <w:bottom w:val="single" w:color="auto" w:sz="4" w:space="0"/>
                    <w:right w:val="single" w:color="auto" w:sz="4" w:space="0"/>
                  </w:tcBorders>
                  <w:noWrap w:val="0"/>
                  <w:vAlign w:val="center"/>
                </w:tcPr>
                <w:p w14:paraId="710126B0">
                  <w:pPr>
                    <w:pStyle w:val="22"/>
                    <w:bidi w:val="0"/>
                    <w:rPr>
                      <w:rFonts w:hint="default"/>
                      <w:color w:val="auto"/>
                      <w:lang w:val="en-US"/>
                    </w:rPr>
                  </w:pPr>
                  <w:r>
                    <w:rPr>
                      <w:rFonts w:hint="eastAsia"/>
                      <w:color w:val="auto"/>
                      <w:lang w:val="en-US" w:eastAsia="zh-CN"/>
                    </w:rPr>
                    <w:t>PP</w:t>
                  </w:r>
                </w:p>
              </w:tc>
              <w:tc>
                <w:tcPr>
                  <w:tcW w:w="3985" w:type="pct"/>
                  <w:tcBorders>
                    <w:top w:val="single" w:color="auto" w:sz="4" w:space="0"/>
                    <w:left w:val="nil"/>
                    <w:bottom w:val="single" w:color="auto" w:sz="4" w:space="0"/>
                    <w:right w:val="single" w:color="auto" w:sz="4" w:space="0"/>
                  </w:tcBorders>
                  <w:noWrap w:val="0"/>
                  <w:vAlign w:val="center"/>
                </w:tcPr>
                <w:p w14:paraId="7A5EA864">
                  <w:pPr>
                    <w:pStyle w:val="22"/>
                    <w:bidi w:val="0"/>
                    <w:rPr>
                      <w:rFonts w:hint="eastAsia"/>
                      <w:color w:val="auto"/>
                      <w:lang w:eastAsia="zh-CN"/>
                    </w:rPr>
                  </w:pPr>
                  <w:r>
                    <w:rPr>
                      <w:rFonts w:hint="eastAsia"/>
                      <w:color w:val="auto"/>
                      <w:lang w:val="en-US" w:eastAsia="zh-CN"/>
                    </w:rPr>
                    <w:t>白色蜡状材料，外观透明而轻。化学式为(C</w:t>
                  </w:r>
                  <w:r>
                    <w:rPr>
                      <w:rFonts w:hint="eastAsia"/>
                      <w:color w:val="auto"/>
                      <w:vertAlign w:val="subscript"/>
                      <w:lang w:val="en-US" w:eastAsia="zh-CN"/>
                    </w:rPr>
                    <w:t>3</w:t>
                  </w:r>
                  <w:r>
                    <w:rPr>
                      <w:rFonts w:hint="eastAsia"/>
                      <w:color w:val="auto"/>
                      <w:lang w:val="en-US" w:eastAsia="zh-CN"/>
                    </w:rPr>
                    <w:t>H</w:t>
                  </w:r>
                  <w:r>
                    <w:rPr>
                      <w:rFonts w:hint="eastAsia"/>
                      <w:color w:val="auto"/>
                      <w:vertAlign w:val="subscript"/>
                      <w:lang w:val="en-US" w:eastAsia="zh-CN"/>
                    </w:rPr>
                    <w:t>6</w:t>
                  </w:r>
                  <w:r>
                    <w:rPr>
                      <w:rFonts w:hint="eastAsia"/>
                      <w:color w:val="auto"/>
                      <w:lang w:val="en-US" w:eastAsia="zh-CN"/>
                    </w:rPr>
                    <w:t>)n，密度为0.89～0.91g/cm</w:t>
                  </w:r>
                  <w:r>
                    <w:rPr>
                      <w:rFonts w:hint="eastAsia"/>
                      <w:color w:val="auto"/>
                      <w:vertAlign w:val="superscript"/>
                      <w:lang w:val="en-US" w:eastAsia="zh-CN"/>
                    </w:rPr>
                    <w:t>3</w:t>
                  </w:r>
                  <w:r>
                    <w:rPr>
                      <w:rFonts w:hint="eastAsia"/>
                      <w:color w:val="auto"/>
                      <w:lang w:val="en-US" w:eastAsia="zh-CN"/>
                    </w:rPr>
                    <w:t>，易燃，熔点189℃，在155℃左右软化，使用温度范围为-30～140℃。在80℃以下能耐酸、碱、盐液及多种有机溶剂的腐蚀，能在高温和氧化作用下分解。可燃，粉体与空气达到一定浓度时遇明火会发生爆炸。有害燃烧产物为一氧化碳、二氧化碳。（质量检验单详见附件3。）</w:t>
                  </w:r>
                </w:p>
              </w:tc>
            </w:tr>
            <w:tr w14:paraId="41FE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27" w:type="pct"/>
                  <w:tcBorders>
                    <w:top w:val="single" w:color="auto" w:sz="4" w:space="0"/>
                    <w:left w:val="single" w:color="auto" w:sz="4" w:space="0"/>
                    <w:bottom w:val="single" w:color="auto" w:sz="4" w:space="0"/>
                    <w:right w:val="single" w:color="auto" w:sz="4" w:space="0"/>
                  </w:tcBorders>
                  <w:noWrap w:val="0"/>
                  <w:vAlign w:val="center"/>
                </w:tcPr>
                <w:p w14:paraId="5278228C">
                  <w:pPr>
                    <w:pStyle w:val="22"/>
                    <w:bidi w:val="0"/>
                    <w:rPr>
                      <w:color w:val="0000FF"/>
                    </w:rPr>
                  </w:pPr>
                  <w:r>
                    <w:rPr>
                      <w:rFonts w:hint="eastAsia"/>
                      <w:color w:val="auto"/>
                    </w:rPr>
                    <w:t>2</w:t>
                  </w:r>
                </w:p>
              </w:tc>
              <w:tc>
                <w:tcPr>
                  <w:tcW w:w="586" w:type="pct"/>
                  <w:tcBorders>
                    <w:top w:val="single" w:color="auto" w:sz="4" w:space="0"/>
                    <w:left w:val="nil"/>
                    <w:bottom w:val="single" w:color="auto" w:sz="4" w:space="0"/>
                    <w:right w:val="single" w:color="auto" w:sz="4" w:space="0"/>
                  </w:tcBorders>
                  <w:noWrap w:val="0"/>
                  <w:vAlign w:val="center"/>
                </w:tcPr>
                <w:p w14:paraId="05C6CCE7">
                  <w:pPr>
                    <w:pStyle w:val="22"/>
                    <w:bidi w:val="0"/>
                    <w:rPr>
                      <w:rFonts w:hint="default"/>
                      <w:color w:val="auto"/>
                      <w:lang w:val="en-US" w:eastAsia="zh-CN"/>
                    </w:rPr>
                  </w:pPr>
                  <w:r>
                    <w:rPr>
                      <w:rFonts w:hint="eastAsia"/>
                      <w:color w:val="auto"/>
                      <w:lang w:val="en-US" w:eastAsia="zh-CN"/>
                    </w:rPr>
                    <w:t>PE</w:t>
                  </w:r>
                </w:p>
              </w:tc>
              <w:tc>
                <w:tcPr>
                  <w:tcW w:w="3985" w:type="pct"/>
                  <w:tcBorders>
                    <w:top w:val="single" w:color="auto" w:sz="4" w:space="0"/>
                    <w:left w:val="nil"/>
                    <w:bottom w:val="single" w:color="auto" w:sz="4" w:space="0"/>
                    <w:right w:val="single" w:color="auto" w:sz="4" w:space="0"/>
                  </w:tcBorders>
                  <w:noWrap w:val="0"/>
                  <w:vAlign w:val="center"/>
                </w:tcPr>
                <w:p w14:paraId="4F89ECDB">
                  <w:pPr>
                    <w:pStyle w:val="22"/>
                    <w:bidi w:val="0"/>
                    <w:rPr>
                      <w:rFonts w:hint="default" w:eastAsia="宋体"/>
                      <w:color w:val="auto"/>
                      <w:lang w:val="en-US" w:eastAsia="zh-CN"/>
                    </w:rPr>
                  </w:pPr>
                  <w:r>
                    <w:rPr>
                      <w:rFonts w:hint="eastAsia"/>
                      <w:color w:val="auto"/>
                    </w:rPr>
                    <w:t>乙烯经聚合制得的一种热塑性树脂。聚乙烯树脂为无毒、无味的白色颗粒，外观呈乳白色，有似蜡的手感，吸水率低，小于0.01%。密度为0.9</w:t>
                  </w:r>
                  <w:r>
                    <w:rPr>
                      <w:rFonts w:hint="eastAsia"/>
                      <w:color w:val="auto"/>
                      <w:lang w:val="en-US" w:eastAsia="zh-CN"/>
                    </w:rPr>
                    <w:t>47~0.953</w:t>
                  </w:r>
                  <w:r>
                    <w:rPr>
                      <w:rFonts w:hint="eastAsia"/>
                      <w:color w:val="auto"/>
                    </w:rPr>
                    <w:t>g/m</w:t>
                  </w:r>
                  <w:r>
                    <w:rPr>
                      <w:rFonts w:hint="eastAsia"/>
                      <w:color w:val="auto"/>
                      <w:vertAlign w:val="superscript"/>
                    </w:rPr>
                    <w:t>3</w:t>
                  </w:r>
                  <w:r>
                    <w:rPr>
                      <w:rFonts w:hint="eastAsia"/>
                      <w:color w:val="auto"/>
                    </w:rPr>
                    <w:t>，分子式为（C</w:t>
                  </w:r>
                  <w:r>
                    <w:rPr>
                      <w:rFonts w:hint="eastAsia"/>
                      <w:color w:val="auto"/>
                      <w:vertAlign w:val="subscript"/>
                    </w:rPr>
                    <w:t>2</w:t>
                  </w:r>
                  <w:r>
                    <w:rPr>
                      <w:rFonts w:hint="eastAsia"/>
                      <w:color w:val="auto"/>
                    </w:rPr>
                    <w:t>H</w:t>
                  </w:r>
                  <w:r>
                    <w:rPr>
                      <w:rFonts w:hint="eastAsia"/>
                      <w:color w:val="auto"/>
                      <w:vertAlign w:val="subscript"/>
                    </w:rPr>
                    <w:t>4</w:t>
                  </w:r>
                  <w:r>
                    <w:rPr>
                      <w:rFonts w:hint="eastAsia"/>
                      <w:color w:val="auto"/>
                    </w:rPr>
                    <w:t>）n，CAS号：9002-88-4，闪点为270℃，熔点为85~110℃，不溶于水，聚乙烯膜的透水率低但透气性较大，不适于保鲜包装而适于防潮包装。易燃、氧指数为17.4，燃烧时低烟，有少量熔融落滴，火焰上黄下蓝，有石蜡气味。聚乙烯的耐水性较好。</w:t>
                  </w:r>
                  <w:r>
                    <w:rPr>
                      <w:rFonts w:hint="eastAsia"/>
                      <w:color w:val="auto"/>
                      <w:lang w:val="en-US" w:eastAsia="zh-CN"/>
                    </w:rPr>
                    <w:t>质量检验单详见附件3。</w:t>
                  </w:r>
                </w:p>
              </w:tc>
            </w:tr>
            <w:tr w14:paraId="1F6CB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27" w:type="pct"/>
                  <w:tcBorders>
                    <w:top w:val="single" w:color="auto" w:sz="4" w:space="0"/>
                    <w:left w:val="single" w:color="auto" w:sz="4" w:space="0"/>
                    <w:bottom w:val="single" w:color="auto" w:sz="4" w:space="0"/>
                    <w:right w:val="single" w:color="auto" w:sz="4" w:space="0"/>
                  </w:tcBorders>
                  <w:noWrap w:val="0"/>
                  <w:vAlign w:val="center"/>
                </w:tcPr>
                <w:p w14:paraId="6381BDD9">
                  <w:pPr>
                    <w:pStyle w:val="22"/>
                    <w:bidi w:val="0"/>
                    <w:rPr>
                      <w:rFonts w:hint="eastAsia" w:eastAsia="宋体"/>
                      <w:color w:val="auto"/>
                      <w:lang w:val="en-US" w:eastAsia="zh-CN"/>
                    </w:rPr>
                  </w:pPr>
                  <w:r>
                    <w:rPr>
                      <w:rFonts w:hint="eastAsia"/>
                      <w:color w:val="auto"/>
                      <w:lang w:val="en-US" w:eastAsia="zh-CN"/>
                    </w:rPr>
                    <w:t>3</w:t>
                  </w:r>
                </w:p>
              </w:tc>
              <w:tc>
                <w:tcPr>
                  <w:tcW w:w="586" w:type="pct"/>
                  <w:tcBorders>
                    <w:top w:val="single" w:color="auto" w:sz="4" w:space="0"/>
                    <w:left w:val="nil"/>
                    <w:bottom w:val="single" w:color="auto" w:sz="4" w:space="0"/>
                    <w:right w:val="single" w:color="auto" w:sz="4" w:space="0"/>
                  </w:tcBorders>
                  <w:noWrap w:val="0"/>
                  <w:vAlign w:val="center"/>
                </w:tcPr>
                <w:p w14:paraId="2D94E3D9">
                  <w:pPr>
                    <w:pStyle w:val="22"/>
                    <w:bidi w:val="0"/>
                    <w:rPr>
                      <w:rFonts w:hint="default"/>
                      <w:color w:val="auto"/>
                      <w:lang w:val="en-US" w:eastAsia="zh-CN"/>
                    </w:rPr>
                  </w:pPr>
                  <w:r>
                    <w:rPr>
                      <w:rFonts w:hint="eastAsia"/>
                      <w:color w:val="auto"/>
                      <w:lang w:val="en-US" w:eastAsia="zh-CN"/>
                    </w:rPr>
                    <w:t>色母</w:t>
                  </w:r>
                </w:p>
              </w:tc>
              <w:tc>
                <w:tcPr>
                  <w:tcW w:w="3985" w:type="pct"/>
                  <w:tcBorders>
                    <w:top w:val="single" w:color="auto" w:sz="4" w:space="0"/>
                    <w:left w:val="nil"/>
                    <w:bottom w:val="single" w:color="auto" w:sz="4" w:space="0"/>
                    <w:right w:val="single" w:color="auto" w:sz="4" w:space="0"/>
                  </w:tcBorders>
                  <w:noWrap w:val="0"/>
                  <w:vAlign w:val="center"/>
                </w:tcPr>
                <w:p w14:paraId="0E7AF3E7">
                  <w:pPr>
                    <w:pStyle w:val="22"/>
                    <w:bidi w:val="0"/>
                    <w:rPr>
                      <w:rFonts w:hint="eastAsia"/>
                      <w:color w:val="0000FF"/>
                    </w:rPr>
                  </w:pPr>
                  <w:r>
                    <w:rPr>
                      <w:sz w:val="21"/>
                      <w:szCs w:val="21"/>
                    </w:rPr>
                    <w:t>色母粒是用树脂原料与颜料助剂混合后再造粒，制成的带浓缩颜色的塑料粒子。主要起到着色作用，可直接将色母粒与基体树脂及其他助剂共混就能得到带颜色的塑料产品。</w:t>
                  </w:r>
                </w:p>
              </w:tc>
            </w:tr>
            <w:tr w14:paraId="7887C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27" w:type="pct"/>
                  <w:tcBorders>
                    <w:top w:val="single" w:color="auto" w:sz="4" w:space="0"/>
                    <w:left w:val="single" w:color="auto" w:sz="4" w:space="0"/>
                    <w:bottom w:val="single" w:color="auto" w:sz="4" w:space="0"/>
                    <w:right w:val="single" w:color="auto" w:sz="4" w:space="0"/>
                  </w:tcBorders>
                  <w:noWrap w:val="0"/>
                  <w:vAlign w:val="center"/>
                </w:tcPr>
                <w:p w14:paraId="5FBC6FDE">
                  <w:pPr>
                    <w:pStyle w:val="22"/>
                    <w:bidi w:val="0"/>
                    <w:rPr>
                      <w:rFonts w:hint="default"/>
                      <w:color w:val="auto"/>
                      <w:lang w:val="en-US" w:eastAsia="zh-CN"/>
                    </w:rPr>
                  </w:pPr>
                  <w:r>
                    <w:rPr>
                      <w:rFonts w:hint="eastAsia"/>
                      <w:color w:val="auto"/>
                      <w:lang w:val="en-US" w:eastAsia="zh-CN"/>
                    </w:rPr>
                    <w:t>4</w:t>
                  </w:r>
                </w:p>
              </w:tc>
              <w:tc>
                <w:tcPr>
                  <w:tcW w:w="586" w:type="pct"/>
                  <w:tcBorders>
                    <w:top w:val="single" w:color="auto" w:sz="4" w:space="0"/>
                    <w:left w:val="nil"/>
                    <w:bottom w:val="single" w:color="auto" w:sz="4" w:space="0"/>
                    <w:right w:val="single" w:color="auto" w:sz="4" w:space="0"/>
                  </w:tcBorders>
                  <w:noWrap w:val="0"/>
                  <w:vAlign w:val="center"/>
                </w:tcPr>
                <w:p w14:paraId="3710ABE9">
                  <w:pPr>
                    <w:pStyle w:val="22"/>
                    <w:bidi w:val="0"/>
                    <w:rPr>
                      <w:rFonts w:hint="default"/>
                      <w:color w:val="auto"/>
                      <w:lang w:val="en-US" w:eastAsia="zh-CN"/>
                    </w:rPr>
                  </w:pPr>
                  <w:r>
                    <w:rPr>
                      <w:rFonts w:hint="eastAsia"/>
                      <w:color w:val="auto"/>
                      <w:lang w:val="en-US" w:eastAsia="zh-CN"/>
                    </w:rPr>
                    <w:t>机油</w:t>
                  </w:r>
                </w:p>
              </w:tc>
              <w:tc>
                <w:tcPr>
                  <w:tcW w:w="3985" w:type="pct"/>
                  <w:tcBorders>
                    <w:top w:val="single" w:color="auto" w:sz="4" w:space="0"/>
                    <w:left w:val="nil"/>
                    <w:bottom w:val="single" w:color="auto" w:sz="4" w:space="0"/>
                    <w:right w:val="single" w:color="auto" w:sz="4" w:space="0"/>
                  </w:tcBorders>
                  <w:noWrap w:val="0"/>
                  <w:vAlign w:val="center"/>
                </w:tcPr>
                <w:p w14:paraId="19C16A1B">
                  <w:pPr>
                    <w:pStyle w:val="22"/>
                    <w:bidi w:val="0"/>
                    <w:rPr>
                      <w:rFonts w:hint="eastAsia"/>
                      <w:color w:val="auto"/>
                      <w:lang w:eastAsia="zh-CN"/>
                    </w:rPr>
                  </w:pPr>
                  <w:r>
                    <w:rPr>
                      <w:rFonts w:hint="default" w:ascii="Times New Roman" w:hAnsi="Times New Roman" w:cs="Times New Roman"/>
                      <w:color w:val="auto"/>
                      <w:lang w:eastAsia="zh-CN"/>
                    </w:rPr>
                    <w:t>本项目所使用</w:t>
                  </w:r>
                  <w:r>
                    <w:rPr>
                      <w:rFonts w:hint="default" w:ascii="Times New Roman" w:hAnsi="Times New Roman" w:cs="Times New Roman"/>
                      <w:color w:val="auto"/>
                      <w:lang w:val="en-US" w:eastAsia="zh-CN"/>
                    </w:rPr>
                    <w:t>机油</w:t>
                  </w:r>
                  <w:r>
                    <w:rPr>
                      <w:rFonts w:hint="default" w:ascii="Times New Roman" w:hAnsi="Times New Roman" w:cs="Times New Roman"/>
                      <w:color w:val="auto"/>
                      <w:lang w:eastAsia="zh-CN"/>
                    </w:rPr>
                    <w:t>采用ISO粘度等级46#导轨油，运动粘度41.4~50.6（40℃）/m</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2</w:t>
                  </w:r>
                  <w:r>
                    <w:rPr>
                      <w:rFonts w:hint="default" w:ascii="Times New Roman" w:hAnsi="Times New Roman" w:cs="Times New Roman"/>
                      <w:color w:val="auto"/>
                      <w:lang w:eastAsia="zh-CN"/>
                    </w:rPr>
                    <w:t>，黏度指数90，闪点：210（开口）/℃，倾点：-12/℃，密度：0.87g/c</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3</w:t>
                  </w:r>
                  <w:r>
                    <w:rPr>
                      <w:rFonts w:hint="default" w:ascii="Times New Roman" w:hAnsi="Times New Roman" w:cs="Times New Roman"/>
                      <w:color w:val="auto"/>
                      <w:lang w:eastAsia="zh-CN"/>
                    </w:rPr>
                    <w:t>，物理状态：液体，颜色：浅黄，气味：脂肪油溶解性：可溶解于大部分有机溶剂，水溶性：不溶，导轨油是由高度精炼的石蜡基础油，以及精选的抗乳化添加剂配制而成。该导轨润滑油亦能防止发粘，同时它具有良好的热稳定性，附着性强，能有效防止磨损和腐蚀。</w:t>
                  </w:r>
                </w:p>
              </w:tc>
            </w:tr>
          </w:tbl>
          <w:p w14:paraId="6E6D92CB">
            <w:pPr>
              <w:bidi w:val="0"/>
              <w:rPr>
                <w:b/>
                <w:bCs/>
                <w:color w:val="auto"/>
                <w:lang w:val="en-US" w:eastAsia="zh-CN"/>
              </w:rPr>
            </w:pPr>
            <w:r>
              <w:rPr>
                <w:b/>
                <w:bCs/>
                <w:color w:val="auto"/>
                <w:lang w:val="en-US" w:eastAsia="zh-CN"/>
              </w:rPr>
              <w:t>2.</w:t>
            </w:r>
            <w:r>
              <w:rPr>
                <w:rFonts w:hint="eastAsia"/>
                <w:b/>
                <w:bCs/>
                <w:color w:val="auto"/>
                <w:lang w:val="en-US" w:eastAsia="zh-CN"/>
              </w:rPr>
              <w:t>5</w:t>
            </w:r>
            <w:r>
              <w:rPr>
                <w:b/>
                <w:bCs/>
                <w:color w:val="auto"/>
                <w:lang w:val="en-US" w:eastAsia="zh-CN"/>
              </w:rPr>
              <w:t>主要生产设备</w:t>
            </w:r>
          </w:p>
          <w:p w14:paraId="27968898">
            <w:pPr>
              <w:bidi w:val="0"/>
              <w:rPr>
                <w:rFonts w:hint="eastAsia"/>
                <w:color w:val="0000FF"/>
              </w:rPr>
            </w:pPr>
            <w:r>
              <w:rPr>
                <w:rFonts w:hint="eastAsia"/>
                <w:color w:val="auto"/>
              </w:rPr>
              <w:t>本次</w:t>
            </w:r>
            <w:r>
              <w:rPr>
                <w:rFonts w:hint="eastAsia"/>
                <w:color w:val="auto"/>
                <w:lang w:val="en-US" w:eastAsia="zh-CN"/>
              </w:rPr>
              <w:t>项目生产</w:t>
            </w:r>
            <w:r>
              <w:rPr>
                <w:rFonts w:hint="eastAsia"/>
                <w:color w:val="auto"/>
              </w:rPr>
              <w:t>设备情况见下表2-</w:t>
            </w:r>
            <w:r>
              <w:rPr>
                <w:rFonts w:hint="eastAsia"/>
                <w:color w:val="auto"/>
                <w:lang w:val="en-US" w:eastAsia="zh-CN"/>
              </w:rPr>
              <w:t>7</w:t>
            </w:r>
            <w:r>
              <w:rPr>
                <w:rFonts w:hint="eastAsia"/>
                <w:color w:val="auto"/>
              </w:rPr>
              <w:t>。</w:t>
            </w:r>
          </w:p>
          <w:p w14:paraId="5039AFA1">
            <w:pPr>
              <w:pStyle w:val="21"/>
              <w:bidi w:val="0"/>
              <w:rPr>
                <w:rFonts w:hint="eastAsia"/>
                <w:color w:val="auto"/>
              </w:rPr>
            </w:pPr>
            <w:r>
              <w:rPr>
                <w:rFonts w:hint="eastAsia"/>
                <w:color w:val="auto"/>
              </w:rPr>
              <w:t>表</w:t>
            </w:r>
            <w:r>
              <w:rPr>
                <w:color w:val="auto"/>
              </w:rPr>
              <w:t>2</w:t>
            </w:r>
            <w:r>
              <w:rPr>
                <w:rFonts w:hint="eastAsia"/>
                <w:color w:val="auto"/>
              </w:rPr>
              <w:t>-</w:t>
            </w:r>
            <w:r>
              <w:rPr>
                <w:rFonts w:hint="eastAsia"/>
                <w:color w:val="auto"/>
                <w:lang w:val="en-US" w:eastAsia="zh-CN"/>
              </w:rPr>
              <w:t xml:space="preserve">7  </w:t>
            </w:r>
            <w:r>
              <w:rPr>
                <w:rFonts w:hint="eastAsia"/>
                <w:color w:val="auto"/>
              </w:rPr>
              <w:t>主要生产设备一览表</w:t>
            </w:r>
          </w:p>
          <w:tbl>
            <w:tblPr>
              <w:tblStyle w:val="12"/>
              <w:tblW w:w="48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225"/>
              <w:gridCol w:w="2115"/>
              <w:gridCol w:w="1338"/>
              <w:gridCol w:w="1500"/>
              <w:gridCol w:w="1983"/>
            </w:tblGrid>
            <w:tr w14:paraId="66C1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750" w:type="pct"/>
                  <w:tcBorders>
                    <w:top w:val="single" w:color="auto" w:sz="4" w:space="0"/>
                    <w:left w:val="single" w:color="auto" w:sz="4" w:space="0"/>
                    <w:right w:val="single" w:color="auto" w:sz="4" w:space="0"/>
                  </w:tcBorders>
                  <w:noWrap w:val="0"/>
                  <w:vAlign w:val="center"/>
                </w:tcPr>
                <w:p w14:paraId="691DCE78">
                  <w:pPr>
                    <w:pStyle w:val="22"/>
                    <w:bidi w:val="0"/>
                    <w:rPr>
                      <w:b/>
                      <w:bCs/>
                      <w:color w:val="auto"/>
                    </w:rPr>
                  </w:pPr>
                  <w:r>
                    <w:rPr>
                      <w:rFonts w:hint="eastAsia"/>
                      <w:b/>
                      <w:bCs/>
                      <w:color w:val="auto"/>
                    </w:rPr>
                    <w:t>生产单元</w:t>
                  </w:r>
                </w:p>
              </w:tc>
              <w:tc>
                <w:tcPr>
                  <w:tcW w:w="1295" w:type="pct"/>
                  <w:tcBorders>
                    <w:top w:val="single" w:color="auto" w:sz="4" w:space="0"/>
                    <w:left w:val="nil"/>
                    <w:right w:val="single" w:color="auto" w:sz="4" w:space="0"/>
                  </w:tcBorders>
                  <w:noWrap w:val="0"/>
                  <w:vAlign w:val="center"/>
                </w:tcPr>
                <w:p w14:paraId="7970520F">
                  <w:pPr>
                    <w:pStyle w:val="22"/>
                    <w:bidi w:val="0"/>
                    <w:rPr>
                      <w:b/>
                      <w:bCs/>
                      <w:color w:val="auto"/>
                    </w:rPr>
                  </w:pPr>
                  <w:r>
                    <w:rPr>
                      <w:rFonts w:hint="eastAsia"/>
                      <w:b/>
                      <w:bCs/>
                      <w:color w:val="auto"/>
                    </w:rPr>
                    <w:t>设备名称</w:t>
                  </w:r>
                </w:p>
              </w:tc>
              <w:tc>
                <w:tcPr>
                  <w:tcW w:w="819" w:type="pct"/>
                  <w:tcBorders>
                    <w:top w:val="single" w:color="auto" w:sz="4" w:space="0"/>
                    <w:left w:val="nil"/>
                    <w:right w:val="single" w:color="auto" w:sz="4" w:space="0"/>
                  </w:tcBorders>
                  <w:noWrap w:val="0"/>
                  <w:vAlign w:val="center"/>
                </w:tcPr>
                <w:p w14:paraId="763FE9A2">
                  <w:pPr>
                    <w:pStyle w:val="22"/>
                    <w:bidi w:val="0"/>
                    <w:rPr>
                      <w:b/>
                      <w:bCs/>
                      <w:color w:val="auto"/>
                    </w:rPr>
                  </w:pPr>
                  <w:r>
                    <w:rPr>
                      <w:b/>
                      <w:bCs/>
                      <w:color w:val="auto"/>
                    </w:rPr>
                    <w:t>型号</w:t>
                  </w:r>
                </w:p>
              </w:tc>
              <w:tc>
                <w:tcPr>
                  <w:tcW w:w="919" w:type="pct"/>
                  <w:tcBorders>
                    <w:top w:val="single" w:color="auto" w:sz="4" w:space="0"/>
                    <w:left w:val="nil"/>
                    <w:right w:val="single" w:color="auto" w:sz="4" w:space="0"/>
                  </w:tcBorders>
                  <w:noWrap w:val="0"/>
                  <w:vAlign w:val="center"/>
                </w:tcPr>
                <w:p w14:paraId="7EBFF4B2">
                  <w:pPr>
                    <w:pStyle w:val="22"/>
                    <w:bidi w:val="0"/>
                    <w:rPr>
                      <w:b/>
                      <w:bCs/>
                      <w:color w:val="auto"/>
                    </w:rPr>
                  </w:pPr>
                  <w:r>
                    <w:rPr>
                      <w:b/>
                      <w:bCs/>
                      <w:color w:val="auto"/>
                    </w:rPr>
                    <w:t>数量（台/套）</w:t>
                  </w:r>
                </w:p>
              </w:tc>
              <w:tc>
                <w:tcPr>
                  <w:tcW w:w="1214" w:type="pct"/>
                  <w:tcBorders>
                    <w:top w:val="single" w:color="auto" w:sz="4" w:space="0"/>
                    <w:left w:val="nil"/>
                    <w:right w:val="single" w:color="auto" w:sz="4" w:space="0"/>
                  </w:tcBorders>
                  <w:noWrap w:val="0"/>
                  <w:vAlign w:val="center"/>
                </w:tcPr>
                <w:p w14:paraId="360D736C">
                  <w:pPr>
                    <w:pStyle w:val="22"/>
                    <w:bidi w:val="0"/>
                    <w:rPr>
                      <w:b/>
                      <w:bCs/>
                      <w:color w:val="auto"/>
                    </w:rPr>
                  </w:pPr>
                  <w:r>
                    <w:rPr>
                      <w:b/>
                      <w:bCs/>
                      <w:color w:val="auto"/>
                    </w:rPr>
                    <w:t>对应工序</w:t>
                  </w:r>
                </w:p>
              </w:tc>
            </w:tr>
            <w:tr w14:paraId="4DAFF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750" w:type="pct"/>
                  <w:vMerge w:val="restart"/>
                  <w:tcBorders>
                    <w:top w:val="nil"/>
                    <w:left w:val="single" w:color="auto" w:sz="4" w:space="0"/>
                    <w:right w:val="single" w:color="auto" w:sz="4" w:space="0"/>
                  </w:tcBorders>
                  <w:noWrap w:val="0"/>
                  <w:vAlign w:val="center"/>
                </w:tcPr>
                <w:p w14:paraId="5899F2A1">
                  <w:pPr>
                    <w:pStyle w:val="22"/>
                    <w:bidi w:val="0"/>
                    <w:rPr>
                      <w:rFonts w:hint="default"/>
                      <w:color w:val="auto"/>
                      <w:lang w:val="en-US" w:eastAsia="zh-CN"/>
                    </w:rPr>
                  </w:pPr>
                  <w:r>
                    <w:rPr>
                      <w:rFonts w:hint="eastAsia"/>
                      <w:color w:val="auto"/>
                      <w:lang w:val="en-US" w:eastAsia="zh-CN"/>
                    </w:rPr>
                    <w:t>生产区</w:t>
                  </w:r>
                </w:p>
              </w:tc>
              <w:tc>
                <w:tcPr>
                  <w:tcW w:w="1295" w:type="pct"/>
                  <w:tcBorders>
                    <w:top w:val="nil"/>
                    <w:left w:val="nil"/>
                    <w:right w:val="single" w:color="auto" w:sz="4" w:space="0"/>
                  </w:tcBorders>
                  <w:noWrap w:val="0"/>
                  <w:vAlign w:val="center"/>
                </w:tcPr>
                <w:p w14:paraId="3B5C94D1">
                  <w:pPr>
                    <w:pStyle w:val="22"/>
                    <w:bidi w:val="0"/>
                    <w:rPr>
                      <w:rFonts w:hint="default"/>
                      <w:color w:val="auto"/>
                      <w:lang w:val="en-US" w:eastAsia="zh-CN"/>
                    </w:rPr>
                  </w:pPr>
                  <w:r>
                    <w:rPr>
                      <w:rFonts w:hint="eastAsia"/>
                      <w:color w:val="auto"/>
                      <w:lang w:val="en-US" w:eastAsia="zh-CN"/>
                    </w:rPr>
                    <w:t>双螺旋挤出一体机</w:t>
                  </w:r>
                </w:p>
              </w:tc>
              <w:tc>
                <w:tcPr>
                  <w:tcW w:w="819" w:type="pct"/>
                  <w:tcBorders>
                    <w:top w:val="single" w:color="auto" w:sz="4" w:space="0"/>
                    <w:left w:val="nil"/>
                    <w:bottom w:val="single" w:color="auto" w:sz="4" w:space="0"/>
                    <w:right w:val="single" w:color="auto" w:sz="4" w:space="0"/>
                  </w:tcBorders>
                  <w:noWrap w:val="0"/>
                  <w:vAlign w:val="center"/>
                </w:tcPr>
                <w:p w14:paraId="3ACBCB43">
                  <w:pPr>
                    <w:pStyle w:val="22"/>
                    <w:bidi w:val="0"/>
                    <w:rPr>
                      <w:rFonts w:hint="default" w:eastAsia="宋体"/>
                      <w:color w:val="auto"/>
                      <w:lang w:val="en-US" w:eastAsia="zh-CN"/>
                    </w:rPr>
                  </w:pPr>
                  <w:r>
                    <w:rPr>
                      <w:rFonts w:hint="eastAsia"/>
                      <w:color w:val="auto"/>
                      <w:lang w:val="en-US" w:eastAsia="zh-CN"/>
                    </w:rPr>
                    <w:t>600kg/h</w:t>
                  </w:r>
                </w:p>
              </w:tc>
              <w:tc>
                <w:tcPr>
                  <w:tcW w:w="919" w:type="pct"/>
                  <w:tcBorders>
                    <w:top w:val="single" w:color="auto" w:sz="4" w:space="0"/>
                    <w:left w:val="nil"/>
                    <w:bottom w:val="single" w:color="auto" w:sz="4" w:space="0"/>
                    <w:right w:val="single" w:color="auto" w:sz="4" w:space="0"/>
                  </w:tcBorders>
                  <w:noWrap w:val="0"/>
                  <w:vAlign w:val="center"/>
                </w:tcPr>
                <w:p w14:paraId="439BBA5A">
                  <w:pPr>
                    <w:pStyle w:val="22"/>
                    <w:bidi w:val="0"/>
                    <w:rPr>
                      <w:rFonts w:hint="eastAsia" w:eastAsia="宋体"/>
                      <w:color w:val="auto"/>
                      <w:lang w:eastAsia="zh-CN"/>
                    </w:rPr>
                  </w:pPr>
                  <w:r>
                    <w:rPr>
                      <w:rFonts w:hint="eastAsia"/>
                      <w:color w:val="auto"/>
                      <w:lang w:val="en-US" w:eastAsia="zh-CN"/>
                    </w:rPr>
                    <w:t>1</w:t>
                  </w:r>
                </w:p>
              </w:tc>
              <w:tc>
                <w:tcPr>
                  <w:tcW w:w="1214" w:type="pct"/>
                  <w:tcBorders>
                    <w:top w:val="single" w:color="auto" w:sz="4" w:space="0"/>
                    <w:left w:val="nil"/>
                    <w:bottom w:val="single" w:color="auto" w:sz="4" w:space="0"/>
                    <w:right w:val="single" w:color="auto" w:sz="4" w:space="0"/>
                  </w:tcBorders>
                  <w:noWrap w:val="0"/>
                  <w:vAlign w:val="center"/>
                </w:tcPr>
                <w:p w14:paraId="79E052BB">
                  <w:pPr>
                    <w:pStyle w:val="22"/>
                    <w:bidi w:val="0"/>
                    <w:rPr>
                      <w:rFonts w:hint="default"/>
                      <w:color w:val="auto"/>
                      <w:lang w:val="en-US" w:eastAsia="zh-CN"/>
                    </w:rPr>
                  </w:pPr>
                  <w:r>
                    <w:rPr>
                      <w:rFonts w:hint="eastAsia"/>
                      <w:color w:val="auto"/>
                      <w:lang w:val="en-US" w:eastAsia="zh-CN"/>
                    </w:rPr>
                    <w:t>熔融挤出冷却切割</w:t>
                  </w:r>
                </w:p>
              </w:tc>
            </w:tr>
            <w:tr w14:paraId="04045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750" w:type="pct"/>
                  <w:vMerge w:val="continue"/>
                  <w:tcBorders>
                    <w:left w:val="single" w:color="auto" w:sz="4" w:space="0"/>
                    <w:right w:val="single" w:color="auto" w:sz="4" w:space="0"/>
                  </w:tcBorders>
                  <w:noWrap w:val="0"/>
                  <w:vAlign w:val="center"/>
                </w:tcPr>
                <w:p w14:paraId="0DFB97B0">
                  <w:pPr>
                    <w:pStyle w:val="22"/>
                    <w:bidi w:val="0"/>
                    <w:rPr>
                      <w:rFonts w:hint="eastAsia"/>
                      <w:color w:val="auto"/>
                      <w:lang w:val="en-US" w:eastAsia="zh-CN"/>
                    </w:rPr>
                  </w:pPr>
                </w:p>
              </w:tc>
              <w:tc>
                <w:tcPr>
                  <w:tcW w:w="1295" w:type="pct"/>
                  <w:tcBorders>
                    <w:top w:val="nil"/>
                    <w:left w:val="nil"/>
                    <w:right w:val="single" w:color="auto" w:sz="4" w:space="0"/>
                  </w:tcBorders>
                  <w:noWrap w:val="0"/>
                  <w:vAlign w:val="center"/>
                </w:tcPr>
                <w:p w14:paraId="52F0AF06">
                  <w:pPr>
                    <w:pStyle w:val="22"/>
                    <w:bidi w:val="0"/>
                    <w:rPr>
                      <w:rFonts w:hint="eastAsia"/>
                      <w:color w:val="auto"/>
                      <w:lang w:val="en-US" w:eastAsia="zh-CN"/>
                    </w:rPr>
                  </w:pPr>
                  <w:r>
                    <w:rPr>
                      <w:rFonts w:hint="eastAsia"/>
                      <w:color w:val="auto"/>
                      <w:lang w:val="en-US" w:eastAsia="zh-CN"/>
                    </w:rPr>
                    <w:t>单螺旋挤出一体机</w:t>
                  </w:r>
                </w:p>
              </w:tc>
              <w:tc>
                <w:tcPr>
                  <w:tcW w:w="819" w:type="pct"/>
                  <w:tcBorders>
                    <w:top w:val="single" w:color="auto" w:sz="4" w:space="0"/>
                    <w:left w:val="nil"/>
                    <w:bottom w:val="single" w:color="auto" w:sz="4" w:space="0"/>
                    <w:right w:val="single" w:color="auto" w:sz="4" w:space="0"/>
                  </w:tcBorders>
                  <w:noWrap w:val="0"/>
                  <w:vAlign w:val="center"/>
                </w:tcPr>
                <w:p w14:paraId="46EFEB54">
                  <w:pPr>
                    <w:pStyle w:val="22"/>
                    <w:bidi w:val="0"/>
                    <w:rPr>
                      <w:rFonts w:hint="eastAsia"/>
                      <w:color w:val="auto"/>
                    </w:rPr>
                  </w:pPr>
                  <w:r>
                    <w:rPr>
                      <w:rFonts w:hint="eastAsia"/>
                      <w:color w:val="auto"/>
                      <w:lang w:val="en-US" w:eastAsia="zh-CN"/>
                    </w:rPr>
                    <w:t>300kg/h</w:t>
                  </w:r>
                </w:p>
              </w:tc>
              <w:tc>
                <w:tcPr>
                  <w:tcW w:w="919" w:type="pct"/>
                  <w:tcBorders>
                    <w:top w:val="single" w:color="auto" w:sz="4" w:space="0"/>
                    <w:left w:val="nil"/>
                    <w:bottom w:val="single" w:color="auto" w:sz="4" w:space="0"/>
                    <w:right w:val="single" w:color="auto" w:sz="4" w:space="0"/>
                  </w:tcBorders>
                  <w:noWrap w:val="0"/>
                  <w:vAlign w:val="center"/>
                </w:tcPr>
                <w:p w14:paraId="73545176">
                  <w:pPr>
                    <w:pStyle w:val="22"/>
                    <w:bidi w:val="0"/>
                    <w:rPr>
                      <w:rFonts w:hint="default"/>
                      <w:color w:val="auto"/>
                      <w:lang w:val="en-US" w:eastAsia="zh-CN"/>
                    </w:rPr>
                  </w:pPr>
                  <w:r>
                    <w:rPr>
                      <w:rFonts w:hint="eastAsia"/>
                      <w:color w:val="auto"/>
                      <w:lang w:val="en-US" w:eastAsia="zh-CN"/>
                    </w:rPr>
                    <w:t>3</w:t>
                  </w:r>
                </w:p>
              </w:tc>
              <w:tc>
                <w:tcPr>
                  <w:tcW w:w="1214" w:type="pct"/>
                  <w:tcBorders>
                    <w:top w:val="single" w:color="auto" w:sz="4" w:space="0"/>
                    <w:left w:val="nil"/>
                    <w:bottom w:val="single" w:color="auto" w:sz="4" w:space="0"/>
                    <w:right w:val="single" w:color="auto" w:sz="4" w:space="0"/>
                  </w:tcBorders>
                  <w:noWrap w:val="0"/>
                  <w:vAlign w:val="center"/>
                </w:tcPr>
                <w:p w14:paraId="26762AEE">
                  <w:pPr>
                    <w:pStyle w:val="22"/>
                    <w:bidi w:val="0"/>
                    <w:rPr>
                      <w:rFonts w:hint="eastAsia"/>
                      <w:color w:val="auto"/>
                      <w:lang w:val="en-US" w:eastAsia="zh-CN"/>
                    </w:rPr>
                  </w:pPr>
                  <w:r>
                    <w:rPr>
                      <w:rFonts w:hint="eastAsia"/>
                      <w:color w:val="auto"/>
                      <w:lang w:val="en-US" w:eastAsia="zh-CN"/>
                    </w:rPr>
                    <w:t>熔融挤出冷却切割</w:t>
                  </w:r>
                </w:p>
              </w:tc>
            </w:tr>
            <w:tr w14:paraId="48965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750" w:type="pct"/>
                  <w:tcBorders>
                    <w:top w:val="nil"/>
                    <w:left w:val="single" w:color="auto" w:sz="4" w:space="0"/>
                    <w:right w:val="single" w:color="auto" w:sz="4" w:space="0"/>
                  </w:tcBorders>
                  <w:noWrap w:val="0"/>
                  <w:vAlign w:val="center"/>
                </w:tcPr>
                <w:p w14:paraId="7975CE6D">
                  <w:pPr>
                    <w:pStyle w:val="22"/>
                    <w:bidi w:val="0"/>
                    <w:rPr>
                      <w:rFonts w:hint="default"/>
                      <w:color w:val="auto"/>
                      <w:lang w:val="en-US" w:eastAsia="zh-CN"/>
                    </w:rPr>
                  </w:pPr>
                  <w:r>
                    <w:rPr>
                      <w:rFonts w:hint="eastAsia"/>
                      <w:color w:val="auto"/>
                      <w:lang w:val="en-US" w:eastAsia="zh-CN"/>
                    </w:rPr>
                    <w:t>上料区</w:t>
                  </w:r>
                </w:p>
              </w:tc>
              <w:tc>
                <w:tcPr>
                  <w:tcW w:w="1295" w:type="pct"/>
                  <w:tcBorders>
                    <w:top w:val="nil"/>
                    <w:left w:val="nil"/>
                    <w:right w:val="single" w:color="auto" w:sz="4" w:space="0"/>
                  </w:tcBorders>
                  <w:noWrap w:val="0"/>
                  <w:vAlign w:val="center"/>
                </w:tcPr>
                <w:p w14:paraId="12F276AB">
                  <w:pPr>
                    <w:pStyle w:val="22"/>
                    <w:bidi w:val="0"/>
                    <w:rPr>
                      <w:rFonts w:hint="default"/>
                      <w:color w:val="auto"/>
                      <w:lang w:val="en-US" w:eastAsia="zh-CN"/>
                    </w:rPr>
                  </w:pPr>
                  <w:r>
                    <w:rPr>
                      <w:rFonts w:hint="eastAsia"/>
                      <w:color w:val="auto"/>
                      <w:lang w:val="en-US" w:eastAsia="zh-CN"/>
                    </w:rPr>
                    <w:t>集中上料系统</w:t>
                  </w:r>
                </w:p>
              </w:tc>
              <w:tc>
                <w:tcPr>
                  <w:tcW w:w="819" w:type="pct"/>
                  <w:tcBorders>
                    <w:top w:val="single" w:color="auto" w:sz="4" w:space="0"/>
                    <w:left w:val="nil"/>
                    <w:bottom w:val="single" w:color="auto" w:sz="4" w:space="0"/>
                    <w:right w:val="single" w:color="auto" w:sz="4" w:space="0"/>
                  </w:tcBorders>
                  <w:noWrap w:val="0"/>
                  <w:vAlign w:val="center"/>
                </w:tcPr>
                <w:p w14:paraId="1F9F6EB4">
                  <w:pPr>
                    <w:pStyle w:val="22"/>
                    <w:bidi w:val="0"/>
                    <w:rPr>
                      <w:rFonts w:hint="eastAsia" w:eastAsia="宋体"/>
                      <w:color w:val="auto"/>
                      <w:lang w:val="en-US" w:eastAsia="zh-CN"/>
                    </w:rPr>
                  </w:pPr>
                  <w:r>
                    <w:rPr>
                      <w:rFonts w:hint="eastAsia"/>
                      <w:color w:val="auto"/>
                      <w:lang w:val="en-US" w:eastAsia="zh-CN"/>
                    </w:rPr>
                    <w:t>/</w:t>
                  </w:r>
                </w:p>
              </w:tc>
              <w:tc>
                <w:tcPr>
                  <w:tcW w:w="919" w:type="pct"/>
                  <w:tcBorders>
                    <w:top w:val="single" w:color="auto" w:sz="4" w:space="0"/>
                    <w:left w:val="nil"/>
                    <w:bottom w:val="single" w:color="auto" w:sz="4" w:space="0"/>
                    <w:right w:val="single" w:color="auto" w:sz="4" w:space="0"/>
                  </w:tcBorders>
                  <w:noWrap w:val="0"/>
                  <w:vAlign w:val="center"/>
                </w:tcPr>
                <w:p w14:paraId="0AC70858">
                  <w:pPr>
                    <w:pStyle w:val="22"/>
                    <w:bidi w:val="0"/>
                    <w:rPr>
                      <w:rFonts w:hint="default"/>
                      <w:color w:val="auto"/>
                      <w:lang w:val="en-US" w:eastAsia="zh-CN"/>
                    </w:rPr>
                  </w:pPr>
                  <w:r>
                    <w:rPr>
                      <w:rFonts w:hint="eastAsia"/>
                      <w:color w:val="auto"/>
                      <w:lang w:val="en-US" w:eastAsia="zh-CN"/>
                    </w:rPr>
                    <w:t>1</w:t>
                  </w:r>
                </w:p>
              </w:tc>
              <w:tc>
                <w:tcPr>
                  <w:tcW w:w="1214" w:type="pct"/>
                  <w:tcBorders>
                    <w:top w:val="single" w:color="auto" w:sz="4" w:space="0"/>
                    <w:left w:val="nil"/>
                    <w:bottom w:val="single" w:color="auto" w:sz="4" w:space="0"/>
                    <w:right w:val="single" w:color="auto" w:sz="4" w:space="0"/>
                  </w:tcBorders>
                  <w:noWrap w:val="0"/>
                  <w:vAlign w:val="center"/>
                </w:tcPr>
                <w:p w14:paraId="18F3D843">
                  <w:pPr>
                    <w:pStyle w:val="22"/>
                    <w:bidi w:val="0"/>
                    <w:rPr>
                      <w:rFonts w:hint="default"/>
                      <w:color w:val="auto"/>
                      <w:lang w:val="en-US" w:eastAsia="zh-CN"/>
                    </w:rPr>
                  </w:pPr>
                  <w:r>
                    <w:rPr>
                      <w:rFonts w:hint="eastAsia"/>
                      <w:color w:val="auto"/>
                      <w:lang w:val="en-US" w:eastAsia="zh-CN"/>
                    </w:rPr>
                    <w:t>上料</w:t>
                  </w:r>
                </w:p>
              </w:tc>
            </w:tr>
            <w:tr w14:paraId="4D8D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750" w:type="pct"/>
                  <w:vMerge w:val="restart"/>
                  <w:tcBorders>
                    <w:top w:val="single" w:color="auto" w:sz="4" w:space="0"/>
                    <w:left w:val="single" w:color="auto" w:sz="4" w:space="0"/>
                    <w:right w:val="single" w:color="auto" w:sz="4" w:space="0"/>
                  </w:tcBorders>
                  <w:noWrap w:val="0"/>
                  <w:vAlign w:val="center"/>
                </w:tcPr>
                <w:p w14:paraId="1A810395">
                  <w:pPr>
                    <w:pStyle w:val="22"/>
                    <w:bidi w:val="0"/>
                    <w:rPr>
                      <w:rFonts w:hint="eastAsia"/>
                      <w:color w:val="auto"/>
                    </w:rPr>
                  </w:pPr>
                  <w:r>
                    <w:rPr>
                      <w:rFonts w:hint="eastAsia"/>
                      <w:color w:val="auto"/>
                    </w:rPr>
                    <w:t>辅助单元</w:t>
                  </w:r>
                </w:p>
              </w:tc>
              <w:tc>
                <w:tcPr>
                  <w:tcW w:w="1295" w:type="pct"/>
                  <w:tcBorders>
                    <w:left w:val="nil"/>
                    <w:right w:val="single" w:color="auto" w:sz="4" w:space="0"/>
                  </w:tcBorders>
                  <w:noWrap w:val="0"/>
                  <w:vAlign w:val="center"/>
                </w:tcPr>
                <w:p w14:paraId="4659C815">
                  <w:pPr>
                    <w:pStyle w:val="22"/>
                    <w:bidi w:val="0"/>
                    <w:rPr>
                      <w:rFonts w:hint="eastAsia"/>
                      <w:color w:val="auto"/>
                      <w:lang w:val="en-US" w:eastAsia="zh-CN"/>
                    </w:rPr>
                  </w:pPr>
                  <w:r>
                    <w:rPr>
                      <w:rFonts w:hint="eastAsia"/>
                      <w:color w:val="auto"/>
                      <w:lang w:val="en-US" w:eastAsia="zh-CN"/>
                    </w:rPr>
                    <w:t>叉车</w:t>
                  </w:r>
                </w:p>
              </w:tc>
              <w:tc>
                <w:tcPr>
                  <w:tcW w:w="819" w:type="pct"/>
                  <w:tcBorders>
                    <w:top w:val="single" w:color="auto" w:sz="4" w:space="0"/>
                    <w:left w:val="nil"/>
                    <w:right w:val="single" w:color="auto" w:sz="4" w:space="0"/>
                  </w:tcBorders>
                  <w:noWrap w:val="0"/>
                  <w:vAlign w:val="center"/>
                </w:tcPr>
                <w:p w14:paraId="3754134E">
                  <w:pPr>
                    <w:pStyle w:val="22"/>
                    <w:bidi w:val="0"/>
                    <w:rPr>
                      <w:rFonts w:hint="default"/>
                      <w:color w:val="auto"/>
                      <w:lang w:val="en-US" w:eastAsia="zh-CN"/>
                    </w:rPr>
                  </w:pPr>
                  <w:r>
                    <w:rPr>
                      <w:rFonts w:hint="eastAsia"/>
                      <w:color w:val="auto"/>
                      <w:lang w:val="en-US" w:eastAsia="zh-CN"/>
                    </w:rPr>
                    <w:t>/</w:t>
                  </w:r>
                </w:p>
              </w:tc>
              <w:tc>
                <w:tcPr>
                  <w:tcW w:w="919" w:type="pct"/>
                  <w:tcBorders>
                    <w:top w:val="single" w:color="auto" w:sz="4" w:space="0"/>
                    <w:left w:val="nil"/>
                    <w:right w:val="single" w:color="auto" w:sz="4" w:space="0"/>
                  </w:tcBorders>
                  <w:noWrap w:val="0"/>
                  <w:vAlign w:val="center"/>
                </w:tcPr>
                <w:p w14:paraId="276AEFB9">
                  <w:pPr>
                    <w:pStyle w:val="22"/>
                    <w:bidi w:val="0"/>
                    <w:rPr>
                      <w:rFonts w:hint="eastAsia"/>
                      <w:color w:val="auto"/>
                      <w:lang w:val="en-US" w:eastAsia="zh-CN"/>
                    </w:rPr>
                  </w:pPr>
                  <w:r>
                    <w:rPr>
                      <w:rFonts w:hint="eastAsia"/>
                      <w:color w:val="auto"/>
                      <w:lang w:val="en-US" w:eastAsia="zh-CN"/>
                    </w:rPr>
                    <w:t>1</w:t>
                  </w:r>
                </w:p>
              </w:tc>
              <w:tc>
                <w:tcPr>
                  <w:tcW w:w="1214" w:type="pct"/>
                  <w:tcBorders>
                    <w:top w:val="single" w:color="auto" w:sz="4" w:space="0"/>
                    <w:left w:val="nil"/>
                    <w:bottom w:val="single" w:color="auto" w:sz="4" w:space="0"/>
                    <w:right w:val="single" w:color="auto" w:sz="4" w:space="0"/>
                  </w:tcBorders>
                  <w:noWrap w:val="0"/>
                  <w:vAlign w:val="center"/>
                </w:tcPr>
                <w:p w14:paraId="71A5808E">
                  <w:pPr>
                    <w:pStyle w:val="22"/>
                    <w:bidi w:val="0"/>
                    <w:rPr>
                      <w:color w:val="auto"/>
                    </w:rPr>
                  </w:pPr>
                  <w:r>
                    <w:rPr>
                      <w:color w:val="auto"/>
                    </w:rPr>
                    <w:t>物料运输</w:t>
                  </w:r>
                </w:p>
              </w:tc>
            </w:tr>
            <w:tr w14:paraId="58899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750" w:type="pct"/>
                  <w:vMerge w:val="continue"/>
                  <w:tcBorders>
                    <w:left w:val="single" w:color="auto" w:sz="4" w:space="0"/>
                    <w:right w:val="single" w:color="auto" w:sz="4" w:space="0"/>
                  </w:tcBorders>
                  <w:noWrap w:val="0"/>
                  <w:vAlign w:val="center"/>
                </w:tcPr>
                <w:p w14:paraId="1F87C7D4">
                  <w:pPr>
                    <w:pStyle w:val="22"/>
                    <w:bidi w:val="0"/>
                    <w:rPr>
                      <w:rFonts w:hint="eastAsia"/>
                      <w:color w:val="auto"/>
                    </w:rPr>
                  </w:pPr>
                </w:p>
              </w:tc>
              <w:tc>
                <w:tcPr>
                  <w:tcW w:w="1295" w:type="pct"/>
                  <w:tcBorders>
                    <w:left w:val="nil"/>
                    <w:right w:val="single" w:color="auto" w:sz="4" w:space="0"/>
                  </w:tcBorders>
                  <w:noWrap w:val="0"/>
                  <w:vAlign w:val="center"/>
                </w:tcPr>
                <w:p w14:paraId="59CA7DB1">
                  <w:pPr>
                    <w:pStyle w:val="22"/>
                    <w:bidi w:val="0"/>
                    <w:rPr>
                      <w:rFonts w:hint="default"/>
                      <w:color w:val="auto"/>
                      <w:lang w:val="en-US" w:eastAsia="zh-CN"/>
                    </w:rPr>
                  </w:pPr>
                  <w:r>
                    <w:rPr>
                      <w:rFonts w:hint="eastAsia"/>
                      <w:color w:val="auto"/>
                      <w:lang w:val="en-US" w:eastAsia="zh-CN"/>
                    </w:rPr>
                    <w:t>冷却水塔</w:t>
                  </w:r>
                </w:p>
              </w:tc>
              <w:tc>
                <w:tcPr>
                  <w:tcW w:w="819" w:type="pct"/>
                  <w:tcBorders>
                    <w:top w:val="single" w:color="auto" w:sz="4" w:space="0"/>
                    <w:left w:val="nil"/>
                    <w:right w:val="single" w:color="auto" w:sz="4" w:space="0"/>
                  </w:tcBorders>
                  <w:noWrap w:val="0"/>
                  <w:vAlign w:val="center"/>
                </w:tcPr>
                <w:p w14:paraId="10254BDD">
                  <w:pPr>
                    <w:pStyle w:val="22"/>
                    <w:bidi w:val="0"/>
                    <w:rPr>
                      <w:rFonts w:hint="default"/>
                      <w:color w:val="auto"/>
                      <w:lang w:val="en-US" w:eastAsia="zh-CN"/>
                    </w:rPr>
                  </w:pPr>
                  <w:r>
                    <w:rPr>
                      <w:rFonts w:hint="eastAsia"/>
                      <w:color w:val="auto"/>
                      <w:lang w:val="en-US" w:eastAsia="zh-CN"/>
                    </w:rPr>
                    <w:t>63m</w:t>
                  </w:r>
                  <w:r>
                    <w:rPr>
                      <w:rFonts w:hint="eastAsia"/>
                      <w:color w:val="auto"/>
                      <w:vertAlign w:val="superscript"/>
                      <w:lang w:val="en-US" w:eastAsia="zh-CN"/>
                    </w:rPr>
                    <w:t>3</w:t>
                  </w:r>
                  <w:r>
                    <w:rPr>
                      <w:rFonts w:hint="eastAsia"/>
                      <w:color w:val="auto"/>
                      <w:lang w:val="en-US" w:eastAsia="zh-CN"/>
                    </w:rPr>
                    <w:t>/h</w:t>
                  </w:r>
                </w:p>
              </w:tc>
              <w:tc>
                <w:tcPr>
                  <w:tcW w:w="919" w:type="pct"/>
                  <w:tcBorders>
                    <w:top w:val="single" w:color="auto" w:sz="4" w:space="0"/>
                    <w:left w:val="nil"/>
                    <w:right w:val="single" w:color="auto" w:sz="4" w:space="0"/>
                  </w:tcBorders>
                  <w:noWrap w:val="0"/>
                  <w:vAlign w:val="center"/>
                </w:tcPr>
                <w:p w14:paraId="323E1F22">
                  <w:pPr>
                    <w:pStyle w:val="22"/>
                    <w:bidi w:val="0"/>
                    <w:rPr>
                      <w:rFonts w:hint="default"/>
                      <w:color w:val="auto"/>
                      <w:lang w:val="en-US" w:eastAsia="zh-CN"/>
                    </w:rPr>
                  </w:pPr>
                  <w:r>
                    <w:rPr>
                      <w:rFonts w:hint="eastAsia"/>
                      <w:color w:val="auto"/>
                      <w:lang w:val="en-US" w:eastAsia="zh-CN"/>
                    </w:rPr>
                    <w:t>1</w:t>
                  </w:r>
                </w:p>
              </w:tc>
              <w:tc>
                <w:tcPr>
                  <w:tcW w:w="1214" w:type="pct"/>
                  <w:tcBorders>
                    <w:top w:val="single" w:color="auto" w:sz="4" w:space="0"/>
                    <w:left w:val="nil"/>
                    <w:bottom w:val="single" w:color="auto" w:sz="4" w:space="0"/>
                    <w:right w:val="single" w:color="auto" w:sz="4" w:space="0"/>
                  </w:tcBorders>
                  <w:noWrap w:val="0"/>
                  <w:vAlign w:val="center"/>
                </w:tcPr>
                <w:p w14:paraId="7BC9EE4A">
                  <w:pPr>
                    <w:pStyle w:val="22"/>
                    <w:bidi w:val="0"/>
                    <w:rPr>
                      <w:rFonts w:hint="eastAsia"/>
                      <w:color w:val="auto"/>
                      <w:lang w:val="en-US" w:eastAsia="zh-CN"/>
                    </w:rPr>
                  </w:pPr>
                  <w:r>
                    <w:rPr>
                      <w:rFonts w:hint="eastAsia"/>
                      <w:color w:val="auto"/>
                      <w:lang w:val="en-US" w:eastAsia="zh-CN"/>
                    </w:rPr>
                    <w:t>冷却</w:t>
                  </w:r>
                </w:p>
              </w:tc>
            </w:tr>
            <w:tr w14:paraId="20F4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750" w:type="pct"/>
                  <w:vMerge w:val="continue"/>
                  <w:tcBorders>
                    <w:left w:val="single" w:color="auto" w:sz="4" w:space="0"/>
                    <w:right w:val="single" w:color="auto" w:sz="4" w:space="0"/>
                  </w:tcBorders>
                  <w:noWrap w:val="0"/>
                  <w:vAlign w:val="center"/>
                </w:tcPr>
                <w:p w14:paraId="04E900C7">
                  <w:pPr>
                    <w:pStyle w:val="22"/>
                    <w:bidi w:val="0"/>
                    <w:rPr>
                      <w:rFonts w:hint="eastAsia"/>
                      <w:color w:val="auto"/>
                    </w:rPr>
                  </w:pPr>
                </w:p>
              </w:tc>
              <w:tc>
                <w:tcPr>
                  <w:tcW w:w="1295" w:type="pct"/>
                  <w:tcBorders>
                    <w:left w:val="nil"/>
                    <w:right w:val="single" w:color="auto" w:sz="4" w:space="0"/>
                  </w:tcBorders>
                  <w:noWrap w:val="0"/>
                  <w:vAlign w:val="center"/>
                </w:tcPr>
                <w:p w14:paraId="0F8468E4">
                  <w:pPr>
                    <w:pStyle w:val="22"/>
                    <w:bidi w:val="0"/>
                    <w:rPr>
                      <w:rFonts w:hint="default"/>
                      <w:color w:val="auto"/>
                      <w:lang w:val="en-US" w:eastAsia="zh-CN"/>
                    </w:rPr>
                  </w:pPr>
                  <w:r>
                    <w:rPr>
                      <w:rFonts w:hint="eastAsia"/>
                      <w:color w:val="auto"/>
                      <w:lang w:val="en-US" w:eastAsia="zh-CN"/>
                    </w:rPr>
                    <w:t>空压机</w:t>
                  </w:r>
                </w:p>
              </w:tc>
              <w:tc>
                <w:tcPr>
                  <w:tcW w:w="819" w:type="pct"/>
                  <w:tcBorders>
                    <w:top w:val="single" w:color="auto" w:sz="4" w:space="0"/>
                    <w:left w:val="nil"/>
                    <w:right w:val="single" w:color="auto" w:sz="4" w:space="0"/>
                  </w:tcBorders>
                  <w:noWrap w:val="0"/>
                  <w:vAlign w:val="center"/>
                </w:tcPr>
                <w:p w14:paraId="6795CFBD">
                  <w:pPr>
                    <w:pStyle w:val="22"/>
                    <w:bidi w:val="0"/>
                    <w:rPr>
                      <w:rFonts w:hint="default"/>
                      <w:color w:val="auto"/>
                      <w:lang w:val="en-US" w:eastAsia="zh-CN"/>
                    </w:rPr>
                  </w:pPr>
                  <w:r>
                    <w:rPr>
                      <w:rFonts w:hint="eastAsia"/>
                      <w:color w:val="auto"/>
                      <w:lang w:val="en-US" w:eastAsia="zh-CN"/>
                    </w:rPr>
                    <w:t>30kW</w:t>
                  </w:r>
                </w:p>
              </w:tc>
              <w:tc>
                <w:tcPr>
                  <w:tcW w:w="919" w:type="pct"/>
                  <w:tcBorders>
                    <w:top w:val="single" w:color="auto" w:sz="4" w:space="0"/>
                    <w:left w:val="nil"/>
                    <w:right w:val="single" w:color="auto" w:sz="4" w:space="0"/>
                  </w:tcBorders>
                  <w:noWrap w:val="0"/>
                  <w:vAlign w:val="center"/>
                </w:tcPr>
                <w:p w14:paraId="32C3C49E">
                  <w:pPr>
                    <w:pStyle w:val="22"/>
                    <w:bidi w:val="0"/>
                    <w:rPr>
                      <w:rFonts w:hint="default"/>
                      <w:color w:val="auto"/>
                      <w:lang w:val="en-US" w:eastAsia="zh-CN"/>
                    </w:rPr>
                  </w:pPr>
                  <w:r>
                    <w:rPr>
                      <w:rFonts w:hint="eastAsia"/>
                      <w:color w:val="auto"/>
                      <w:lang w:val="en-US" w:eastAsia="zh-CN"/>
                    </w:rPr>
                    <w:t>1</w:t>
                  </w:r>
                </w:p>
              </w:tc>
              <w:tc>
                <w:tcPr>
                  <w:tcW w:w="1214" w:type="pct"/>
                  <w:tcBorders>
                    <w:top w:val="single" w:color="auto" w:sz="4" w:space="0"/>
                    <w:left w:val="nil"/>
                    <w:bottom w:val="single" w:color="auto" w:sz="4" w:space="0"/>
                    <w:right w:val="single" w:color="auto" w:sz="4" w:space="0"/>
                  </w:tcBorders>
                  <w:noWrap w:val="0"/>
                  <w:vAlign w:val="center"/>
                </w:tcPr>
                <w:p w14:paraId="0463F74E">
                  <w:pPr>
                    <w:pStyle w:val="22"/>
                    <w:bidi w:val="0"/>
                    <w:rPr>
                      <w:rFonts w:hint="default"/>
                      <w:color w:val="auto"/>
                      <w:lang w:val="en-US" w:eastAsia="zh-CN"/>
                    </w:rPr>
                  </w:pPr>
                  <w:r>
                    <w:rPr>
                      <w:rFonts w:hint="eastAsia"/>
                      <w:color w:val="auto"/>
                      <w:lang w:val="en-US" w:eastAsia="zh-CN"/>
                    </w:rPr>
                    <w:t>/</w:t>
                  </w:r>
                </w:p>
              </w:tc>
            </w:tr>
            <w:tr w14:paraId="699F7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750" w:type="pct"/>
                  <w:vMerge w:val="continue"/>
                  <w:tcBorders>
                    <w:left w:val="single" w:color="auto" w:sz="4" w:space="0"/>
                    <w:right w:val="single" w:color="auto" w:sz="4" w:space="0"/>
                  </w:tcBorders>
                  <w:noWrap w:val="0"/>
                  <w:vAlign w:val="center"/>
                </w:tcPr>
                <w:p w14:paraId="61491878">
                  <w:pPr>
                    <w:pStyle w:val="22"/>
                    <w:bidi w:val="0"/>
                    <w:rPr>
                      <w:rFonts w:hint="eastAsia"/>
                      <w:color w:val="auto"/>
                    </w:rPr>
                  </w:pPr>
                </w:p>
              </w:tc>
              <w:tc>
                <w:tcPr>
                  <w:tcW w:w="1295" w:type="pct"/>
                  <w:tcBorders>
                    <w:left w:val="nil"/>
                    <w:right w:val="single" w:color="auto" w:sz="4" w:space="0"/>
                  </w:tcBorders>
                  <w:noWrap w:val="0"/>
                  <w:vAlign w:val="center"/>
                </w:tcPr>
                <w:p w14:paraId="1F917967">
                  <w:pPr>
                    <w:pStyle w:val="22"/>
                    <w:bidi w:val="0"/>
                    <w:rPr>
                      <w:rFonts w:hint="default"/>
                      <w:color w:val="auto"/>
                      <w:lang w:val="en-US" w:eastAsia="zh-CN"/>
                    </w:rPr>
                  </w:pPr>
                  <w:r>
                    <w:rPr>
                      <w:rFonts w:hint="eastAsia"/>
                      <w:color w:val="auto"/>
                      <w:lang w:val="en-US" w:eastAsia="zh-CN"/>
                    </w:rPr>
                    <w:t>破碎机</w:t>
                  </w:r>
                </w:p>
              </w:tc>
              <w:tc>
                <w:tcPr>
                  <w:tcW w:w="819" w:type="pct"/>
                  <w:tcBorders>
                    <w:top w:val="single" w:color="auto" w:sz="4" w:space="0"/>
                    <w:left w:val="nil"/>
                    <w:right w:val="single" w:color="auto" w:sz="4" w:space="0"/>
                  </w:tcBorders>
                  <w:noWrap w:val="0"/>
                  <w:vAlign w:val="center"/>
                </w:tcPr>
                <w:p w14:paraId="772ADE03">
                  <w:pPr>
                    <w:pStyle w:val="22"/>
                    <w:bidi w:val="0"/>
                    <w:rPr>
                      <w:rFonts w:hint="eastAsia"/>
                      <w:color w:val="auto"/>
                      <w:lang w:val="en-US" w:eastAsia="zh-CN"/>
                    </w:rPr>
                  </w:pPr>
                </w:p>
              </w:tc>
              <w:tc>
                <w:tcPr>
                  <w:tcW w:w="919" w:type="pct"/>
                  <w:tcBorders>
                    <w:top w:val="single" w:color="auto" w:sz="4" w:space="0"/>
                    <w:left w:val="nil"/>
                    <w:right w:val="single" w:color="auto" w:sz="4" w:space="0"/>
                  </w:tcBorders>
                  <w:noWrap w:val="0"/>
                  <w:vAlign w:val="center"/>
                </w:tcPr>
                <w:p w14:paraId="2EB6E890">
                  <w:pPr>
                    <w:pStyle w:val="22"/>
                    <w:bidi w:val="0"/>
                    <w:rPr>
                      <w:rFonts w:hint="eastAsia"/>
                      <w:color w:val="auto"/>
                      <w:lang w:val="en-US" w:eastAsia="zh-CN"/>
                    </w:rPr>
                  </w:pPr>
                  <w:r>
                    <w:rPr>
                      <w:rFonts w:hint="eastAsia"/>
                      <w:color w:val="auto"/>
                      <w:lang w:val="en-US" w:eastAsia="zh-CN"/>
                    </w:rPr>
                    <w:t>1</w:t>
                  </w:r>
                </w:p>
              </w:tc>
              <w:tc>
                <w:tcPr>
                  <w:tcW w:w="1214" w:type="pct"/>
                  <w:tcBorders>
                    <w:top w:val="single" w:color="auto" w:sz="4" w:space="0"/>
                    <w:left w:val="nil"/>
                    <w:bottom w:val="single" w:color="auto" w:sz="4" w:space="0"/>
                    <w:right w:val="single" w:color="auto" w:sz="4" w:space="0"/>
                  </w:tcBorders>
                  <w:noWrap w:val="0"/>
                  <w:vAlign w:val="center"/>
                </w:tcPr>
                <w:p w14:paraId="3D0FAD50">
                  <w:pPr>
                    <w:pStyle w:val="22"/>
                    <w:bidi w:val="0"/>
                    <w:rPr>
                      <w:rFonts w:hint="default"/>
                      <w:color w:val="auto"/>
                      <w:lang w:val="en-US" w:eastAsia="zh-CN"/>
                    </w:rPr>
                  </w:pPr>
                  <w:r>
                    <w:rPr>
                      <w:rFonts w:hint="eastAsia"/>
                      <w:color w:val="auto"/>
                      <w:lang w:val="en-US" w:eastAsia="zh-CN"/>
                    </w:rPr>
                    <w:t>边角料破碎</w:t>
                  </w:r>
                </w:p>
              </w:tc>
            </w:tr>
            <w:tr w14:paraId="0414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750" w:type="pct"/>
                  <w:vMerge w:val="continue"/>
                  <w:tcBorders>
                    <w:left w:val="single" w:color="auto" w:sz="4" w:space="0"/>
                    <w:right w:val="single" w:color="auto" w:sz="4" w:space="0"/>
                  </w:tcBorders>
                  <w:noWrap w:val="0"/>
                  <w:vAlign w:val="center"/>
                </w:tcPr>
                <w:p w14:paraId="1E10C6EF">
                  <w:pPr>
                    <w:pStyle w:val="22"/>
                    <w:bidi w:val="0"/>
                    <w:rPr>
                      <w:rFonts w:hint="eastAsia"/>
                      <w:color w:val="auto"/>
                    </w:rPr>
                  </w:pPr>
                </w:p>
              </w:tc>
              <w:tc>
                <w:tcPr>
                  <w:tcW w:w="1295" w:type="pct"/>
                  <w:tcBorders>
                    <w:left w:val="nil"/>
                    <w:right w:val="single" w:color="auto" w:sz="4" w:space="0"/>
                  </w:tcBorders>
                  <w:noWrap w:val="0"/>
                  <w:vAlign w:val="center"/>
                </w:tcPr>
                <w:p w14:paraId="6F05E25D">
                  <w:pPr>
                    <w:pStyle w:val="22"/>
                    <w:bidi w:val="0"/>
                    <w:rPr>
                      <w:rFonts w:hint="default"/>
                      <w:color w:val="auto"/>
                      <w:lang w:val="en-US" w:eastAsia="zh-CN"/>
                    </w:rPr>
                  </w:pPr>
                  <w:r>
                    <w:rPr>
                      <w:rFonts w:hint="eastAsia"/>
                      <w:color w:val="auto"/>
                      <w:lang w:val="en-US" w:eastAsia="zh-CN"/>
                    </w:rPr>
                    <w:t>撕碎机</w:t>
                  </w:r>
                </w:p>
              </w:tc>
              <w:tc>
                <w:tcPr>
                  <w:tcW w:w="819" w:type="pct"/>
                  <w:tcBorders>
                    <w:top w:val="single" w:color="auto" w:sz="4" w:space="0"/>
                    <w:left w:val="nil"/>
                    <w:right w:val="single" w:color="auto" w:sz="4" w:space="0"/>
                  </w:tcBorders>
                  <w:noWrap w:val="0"/>
                  <w:vAlign w:val="center"/>
                </w:tcPr>
                <w:p w14:paraId="0CF7E2EE">
                  <w:pPr>
                    <w:pStyle w:val="22"/>
                    <w:bidi w:val="0"/>
                    <w:rPr>
                      <w:rFonts w:hint="eastAsia"/>
                      <w:color w:val="auto"/>
                      <w:lang w:val="en-US" w:eastAsia="zh-CN"/>
                    </w:rPr>
                  </w:pPr>
                </w:p>
              </w:tc>
              <w:tc>
                <w:tcPr>
                  <w:tcW w:w="919" w:type="pct"/>
                  <w:tcBorders>
                    <w:top w:val="single" w:color="auto" w:sz="4" w:space="0"/>
                    <w:left w:val="nil"/>
                    <w:right w:val="single" w:color="auto" w:sz="4" w:space="0"/>
                  </w:tcBorders>
                  <w:noWrap w:val="0"/>
                  <w:vAlign w:val="center"/>
                </w:tcPr>
                <w:p w14:paraId="4A245C76">
                  <w:pPr>
                    <w:pStyle w:val="22"/>
                    <w:bidi w:val="0"/>
                    <w:rPr>
                      <w:rFonts w:hint="default"/>
                      <w:color w:val="auto"/>
                      <w:lang w:val="en-US" w:eastAsia="zh-CN"/>
                    </w:rPr>
                  </w:pPr>
                  <w:r>
                    <w:rPr>
                      <w:rFonts w:hint="eastAsia"/>
                      <w:color w:val="auto"/>
                      <w:lang w:val="en-US" w:eastAsia="zh-CN"/>
                    </w:rPr>
                    <w:t>1</w:t>
                  </w:r>
                </w:p>
              </w:tc>
              <w:tc>
                <w:tcPr>
                  <w:tcW w:w="1214" w:type="pct"/>
                  <w:tcBorders>
                    <w:top w:val="single" w:color="auto" w:sz="4" w:space="0"/>
                    <w:left w:val="nil"/>
                    <w:bottom w:val="single" w:color="auto" w:sz="4" w:space="0"/>
                    <w:right w:val="single" w:color="auto" w:sz="4" w:space="0"/>
                  </w:tcBorders>
                  <w:noWrap w:val="0"/>
                  <w:vAlign w:val="center"/>
                </w:tcPr>
                <w:p w14:paraId="372C84B7">
                  <w:pPr>
                    <w:pStyle w:val="22"/>
                    <w:bidi w:val="0"/>
                    <w:rPr>
                      <w:rFonts w:hint="eastAsia"/>
                      <w:color w:val="auto"/>
                      <w:lang w:val="en-US" w:eastAsia="zh-CN"/>
                    </w:rPr>
                  </w:pPr>
                  <w:r>
                    <w:rPr>
                      <w:rFonts w:hint="eastAsia"/>
                      <w:color w:val="auto"/>
                      <w:lang w:val="en-US" w:eastAsia="zh-CN"/>
                    </w:rPr>
                    <w:t>边角料撕碎</w:t>
                  </w:r>
                </w:p>
              </w:tc>
            </w:tr>
            <w:tr w14:paraId="2149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750" w:type="pct"/>
                  <w:vMerge w:val="restart"/>
                  <w:tcBorders>
                    <w:left w:val="single" w:color="auto" w:sz="4" w:space="0"/>
                    <w:right w:val="single" w:color="auto" w:sz="4" w:space="0"/>
                  </w:tcBorders>
                  <w:noWrap w:val="0"/>
                  <w:vAlign w:val="center"/>
                </w:tcPr>
                <w:p w14:paraId="5FB76543">
                  <w:pPr>
                    <w:pStyle w:val="22"/>
                    <w:bidi w:val="0"/>
                    <w:rPr>
                      <w:rFonts w:hint="eastAsia"/>
                      <w:color w:val="auto"/>
                    </w:rPr>
                  </w:pPr>
                  <w:r>
                    <w:rPr>
                      <w:rFonts w:hint="eastAsia"/>
                      <w:color w:val="auto"/>
                    </w:rPr>
                    <w:t>环保工程</w:t>
                  </w:r>
                </w:p>
              </w:tc>
              <w:tc>
                <w:tcPr>
                  <w:tcW w:w="1295" w:type="pct"/>
                  <w:tcBorders>
                    <w:left w:val="nil"/>
                    <w:right w:val="single" w:color="auto" w:sz="4" w:space="0"/>
                  </w:tcBorders>
                  <w:noWrap w:val="0"/>
                  <w:vAlign w:val="center"/>
                </w:tcPr>
                <w:p w14:paraId="3971AA5A">
                  <w:pPr>
                    <w:pStyle w:val="22"/>
                    <w:bidi w:val="0"/>
                    <w:rPr>
                      <w:rFonts w:hint="default"/>
                      <w:color w:val="auto"/>
                      <w:lang w:val="en-US" w:eastAsia="zh-CN"/>
                    </w:rPr>
                  </w:pPr>
                  <w:r>
                    <w:rPr>
                      <w:rFonts w:hint="eastAsia"/>
                      <w:color w:val="auto"/>
                      <w:lang w:val="en-US" w:eastAsia="zh-CN"/>
                    </w:rPr>
                    <w:t>二级活性炭装置</w:t>
                  </w:r>
                </w:p>
              </w:tc>
              <w:tc>
                <w:tcPr>
                  <w:tcW w:w="819" w:type="pct"/>
                  <w:tcBorders>
                    <w:top w:val="single" w:color="auto" w:sz="4" w:space="0"/>
                    <w:left w:val="nil"/>
                    <w:bottom w:val="single" w:color="auto" w:sz="4" w:space="0"/>
                    <w:right w:val="single" w:color="auto" w:sz="4" w:space="0"/>
                  </w:tcBorders>
                  <w:noWrap w:val="0"/>
                  <w:vAlign w:val="center"/>
                </w:tcPr>
                <w:p w14:paraId="0924FD81">
                  <w:pPr>
                    <w:pStyle w:val="22"/>
                    <w:bidi w:val="0"/>
                    <w:rPr>
                      <w:rFonts w:hint="default"/>
                      <w:color w:val="auto"/>
                      <w:lang w:val="en-US" w:eastAsia="zh-CN"/>
                    </w:rPr>
                  </w:pPr>
                  <w:r>
                    <w:rPr>
                      <w:rFonts w:hint="eastAsia"/>
                      <w:color w:val="auto"/>
                      <w:lang w:val="en-US" w:eastAsia="zh-CN"/>
                    </w:rPr>
                    <w:t>/</w:t>
                  </w:r>
                </w:p>
              </w:tc>
              <w:tc>
                <w:tcPr>
                  <w:tcW w:w="919" w:type="pct"/>
                  <w:tcBorders>
                    <w:top w:val="single" w:color="auto" w:sz="4" w:space="0"/>
                    <w:left w:val="nil"/>
                    <w:bottom w:val="single" w:color="auto" w:sz="4" w:space="0"/>
                    <w:right w:val="single" w:color="auto" w:sz="4" w:space="0"/>
                  </w:tcBorders>
                  <w:noWrap w:val="0"/>
                  <w:vAlign w:val="center"/>
                </w:tcPr>
                <w:p w14:paraId="44A7DD57">
                  <w:pPr>
                    <w:pStyle w:val="22"/>
                    <w:bidi w:val="0"/>
                    <w:rPr>
                      <w:rFonts w:hint="default"/>
                      <w:color w:val="auto"/>
                      <w:lang w:val="en-US" w:eastAsia="zh-CN"/>
                    </w:rPr>
                  </w:pPr>
                  <w:r>
                    <w:rPr>
                      <w:rFonts w:hint="eastAsia"/>
                      <w:color w:val="auto"/>
                      <w:lang w:val="en-US" w:eastAsia="zh-CN"/>
                    </w:rPr>
                    <w:t>1</w:t>
                  </w:r>
                </w:p>
              </w:tc>
              <w:tc>
                <w:tcPr>
                  <w:tcW w:w="1214" w:type="pct"/>
                  <w:tcBorders>
                    <w:top w:val="single" w:color="auto" w:sz="4" w:space="0"/>
                    <w:left w:val="nil"/>
                    <w:bottom w:val="single" w:color="auto" w:sz="4" w:space="0"/>
                    <w:right w:val="single" w:color="auto" w:sz="4" w:space="0"/>
                  </w:tcBorders>
                  <w:noWrap w:val="0"/>
                  <w:vAlign w:val="center"/>
                </w:tcPr>
                <w:p w14:paraId="4F0C497E">
                  <w:pPr>
                    <w:pStyle w:val="22"/>
                    <w:bidi w:val="0"/>
                    <w:rPr>
                      <w:rFonts w:hint="eastAsia"/>
                      <w:color w:val="auto"/>
                      <w:lang w:eastAsia="zh-CN"/>
                    </w:rPr>
                  </w:pPr>
                  <w:r>
                    <w:rPr>
                      <w:rFonts w:hint="eastAsia"/>
                      <w:color w:val="auto"/>
                      <w:lang w:val="en-US" w:eastAsia="zh-CN"/>
                    </w:rPr>
                    <w:t>有机</w:t>
                  </w:r>
                  <w:r>
                    <w:rPr>
                      <w:rFonts w:hint="eastAsia"/>
                      <w:color w:val="auto"/>
                      <w:lang w:eastAsia="zh-CN"/>
                    </w:rPr>
                    <w:t>废气处理</w:t>
                  </w:r>
                </w:p>
              </w:tc>
            </w:tr>
            <w:tr w14:paraId="7F06F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750" w:type="pct"/>
                  <w:vMerge w:val="continue"/>
                  <w:tcBorders>
                    <w:left w:val="single" w:color="auto" w:sz="4" w:space="0"/>
                    <w:right w:val="single" w:color="auto" w:sz="4" w:space="0"/>
                  </w:tcBorders>
                  <w:noWrap w:val="0"/>
                  <w:vAlign w:val="center"/>
                </w:tcPr>
                <w:p w14:paraId="1AF69D4C">
                  <w:pPr>
                    <w:pStyle w:val="22"/>
                    <w:bidi w:val="0"/>
                    <w:rPr>
                      <w:rFonts w:hint="eastAsia"/>
                      <w:color w:val="auto"/>
                    </w:rPr>
                  </w:pPr>
                </w:p>
              </w:tc>
              <w:tc>
                <w:tcPr>
                  <w:tcW w:w="1295" w:type="pct"/>
                  <w:tcBorders>
                    <w:left w:val="nil"/>
                    <w:right w:val="single" w:color="auto" w:sz="4" w:space="0"/>
                  </w:tcBorders>
                  <w:noWrap w:val="0"/>
                  <w:vAlign w:val="center"/>
                </w:tcPr>
                <w:p w14:paraId="3149AEBB">
                  <w:pPr>
                    <w:pStyle w:val="22"/>
                    <w:bidi w:val="0"/>
                    <w:rPr>
                      <w:rFonts w:hint="default"/>
                      <w:color w:val="auto"/>
                      <w:lang w:val="en-US" w:eastAsia="zh-CN"/>
                    </w:rPr>
                  </w:pPr>
                  <w:r>
                    <w:rPr>
                      <w:rFonts w:hint="eastAsia"/>
                      <w:color w:val="auto"/>
                      <w:lang w:val="en-US" w:eastAsia="zh-CN"/>
                    </w:rPr>
                    <w:t>风机</w:t>
                  </w:r>
                </w:p>
              </w:tc>
              <w:tc>
                <w:tcPr>
                  <w:tcW w:w="819" w:type="pct"/>
                  <w:tcBorders>
                    <w:top w:val="single" w:color="auto" w:sz="4" w:space="0"/>
                    <w:left w:val="nil"/>
                    <w:bottom w:val="single" w:color="auto" w:sz="4" w:space="0"/>
                    <w:right w:val="single" w:color="auto" w:sz="4" w:space="0"/>
                  </w:tcBorders>
                  <w:noWrap w:val="0"/>
                  <w:vAlign w:val="center"/>
                </w:tcPr>
                <w:p w14:paraId="38753C3D">
                  <w:pPr>
                    <w:pStyle w:val="22"/>
                    <w:bidi w:val="0"/>
                    <w:rPr>
                      <w:rFonts w:hint="default"/>
                      <w:color w:val="auto"/>
                      <w:lang w:val="en-US" w:eastAsia="zh-CN"/>
                    </w:rPr>
                  </w:pPr>
                  <w:r>
                    <w:rPr>
                      <w:rFonts w:hint="eastAsia"/>
                      <w:color w:val="auto"/>
                      <w:lang w:val="en-US" w:eastAsia="zh-CN"/>
                    </w:rPr>
                    <w:t>6000m</w:t>
                  </w:r>
                  <w:r>
                    <w:rPr>
                      <w:rFonts w:hint="eastAsia"/>
                      <w:color w:val="auto"/>
                      <w:vertAlign w:val="superscript"/>
                      <w:lang w:val="en-US" w:eastAsia="zh-CN"/>
                    </w:rPr>
                    <w:t>3</w:t>
                  </w:r>
                  <w:r>
                    <w:rPr>
                      <w:rFonts w:hint="eastAsia"/>
                      <w:color w:val="auto"/>
                      <w:lang w:val="en-US" w:eastAsia="zh-CN"/>
                    </w:rPr>
                    <w:t>/h</w:t>
                  </w:r>
                </w:p>
              </w:tc>
              <w:tc>
                <w:tcPr>
                  <w:tcW w:w="919" w:type="pct"/>
                  <w:tcBorders>
                    <w:top w:val="single" w:color="auto" w:sz="4" w:space="0"/>
                    <w:left w:val="nil"/>
                    <w:bottom w:val="single" w:color="auto" w:sz="4" w:space="0"/>
                    <w:right w:val="single" w:color="auto" w:sz="4" w:space="0"/>
                  </w:tcBorders>
                  <w:noWrap w:val="0"/>
                  <w:vAlign w:val="center"/>
                </w:tcPr>
                <w:p w14:paraId="5B241032">
                  <w:pPr>
                    <w:pStyle w:val="22"/>
                    <w:bidi w:val="0"/>
                    <w:rPr>
                      <w:rFonts w:hint="eastAsia"/>
                      <w:color w:val="auto"/>
                      <w:lang w:val="en-US" w:eastAsia="zh-CN"/>
                    </w:rPr>
                  </w:pPr>
                </w:p>
              </w:tc>
              <w:tc>
                <w:tcPr>
                  <w:tcW w:w="1214" w:type="pct"/>
                  <w:tcBorders>
                    <w:top w:val="single" w:color="auto" w:sz="4" w:space="0"/>
                    <w:left w:val="nil"/>
                    <w:bottom w:val="single" w:color="auto" w:sz="4" w:space="0"/>
                    <w:right w:val="single" w:color="auto" w:sz="4" w:space="0"/>
                  </w:tcBorders>
                  <w:noWrap w:val="0"/>
                  <w:vAlign w:val="center"/>
                </w:tcPr>
                <w:p w14:paraId="5927E2D5">
                  <w:pPr>
                    <w:pStyle w:val="22"/>
                    <w:bidi w:val="0"/>
                    <w:rPr>
                      <w:rFonts w:hint="default"/>
                      <w:color w:val="auto"/>
                      <w:lang w:val="en-US" w:eastAsia="zh-CN"/>
                    </w:rPr>
                  </w:pPr>
                  <w:r>
                    <w:rPr>
                      <w:rFonts w:hint="eastAsia"/>
                      <w:color w:val="auto"/>
                      <w:lang w:val="en-US" w:eastAsia="zh-CN"/>
                    </w:rPr>
                    <w:t>引风</w:t>
                  </w:r>
                </w:p>
              </w:tc>
            </w:tr>
            <w:tr w14:paraId="0A327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750" w:type="pct"/>
                  <w:vMerge w:val="continue"/>
                  <w:tcBorders>
                    <w:left w:val="single" w:color="auto" w:sz="4" w:space="0"/>
                    <w:right w:val="single" w:color="auto" w:sz="4" w:space="0"/>
                  </w:tcBorders>
                  <w:noWrap w:val="0"/>
                  <w:vAlign w:val="center"/>
                </w:tcPr>
                <w:p w14:paraId="4D8BA092">
                  <w:pPr>
                    <w:pStyle w:val="22"/>
                    <w:bidi w:val="0"/>
                    <w:rPr>
                      <w:rFonts w:hint="eastAsia"/>
                      <w:color w:val="auto"/>
                    </w:rPr>
                  </w:pPr>
                </w:p>
              </w:tc>
              <w:tc>
                <w:tcPr>
                  <w:tcW w:w="2115" w:type="dxa"/>
                  <w:tcBorders>
                    <w:left w:val="nil"/>
                    <w:right w:val="single" w:color="auto" w:sz="4" w:space="0"/>
                  </w:tcBorders>
                  <w:noWrap w:val="0"/>
                  <w:vAlign w:val="center"/>
                </w:tcPr>
                <w:p w14:paraId="586F1581">
                  <w:pPr>
                    <w:pStyle w:val="22"/>
                    <w:bidi w:val="0"/>
                    <w:ind w:firstLine="0" w:firstLineChars="0"/>
                    <w:rPr>
                      <w:rFonts w:hint="eastAsia"/>
                      <w:color w:val="auto"/>
                      <w:lang w:val="en-US" w:eastAsia="zh-CN"/>
                    </w:rPr>
                  </w:pPr>
                  <w:r>
                    <w:rPr>
                      <w:rFonts w:hint="eastAsia"/>
                      <w:color w:val="auto"/>
                      <w:lang w:val="en-US" w:eastAsia="zh-CN"/>
                    </w:rPr>
                    <w:t>袋式除尘器</w:t>
                  </w:r>
                </w:p>
              </w:tc>
              <w:tc>
                <w:tcPr>
                  <w:tcW w:w="819" w:type="pct"/>
                  <w:tcBorders>
                    <w:top w:val="single" w:color="auto" w:sz="4" w:space="0"/>
                    <w:left w:val="nil"/>
                    <w:bottom w:val="single" w:color="auto" w:sz="4" w:space="0"/>
                    <w:right w:val="single" w:color="auto" w:sz="4" w:space="0"/>
                  </w:tcBorders>
                  <w:noWrap w:val="0"/>
                  <w:vAlign w:val="center"/>
                </w:tcPr>
                <w:p w14:paraId="2BD8D09B">
                  <w:pPr>
                    <w:pStyle w:val="22"/>
                    <w:bidi w:val="0"/>
                    <w:rPr>
                      <w:rFonts w:hint="eastAsia"/>
                      <w:color w:val="auto"/>
                      <w:lang w:val="en-US" w:eastAsia="zh-CN"/>
                    </w:rPr>
                  </w:pPr>
                  <w:r>
                    <w:rPr>
                      <w:rFonts w:hint="eastAsia"/>
                      <w:color w:val="auto"/>
                      <w:lang w:val="en-US" w:eastAsia="zh-CN"/>
                    </w:rPr>
                    <w:t>/</w:t>
                  </w:r>
                </w:p>
              </w:tc>
              <w:tc>
                <w:tcPr>
                  <w:tcW w:w="919" w:type="pct"/>
                  <w:tcBorders>
                    <w:top w:val="single" w:color="auto" w:sz="4" w:space="0"/>
                    <w:left w:val="nil"/>
                    <w:bottom w:val="single" w:color="auto" w:sz="4" w:space="0"/>
                    <w:right w:val="single" w:color="auto" w:sz="4" w:space="0"/>
                  </w:tcBorders>
                  <w:noWrap w:val="0"/>
                  <w:vAlign w:val="center"/>
                </w:tcPr>
                <w:p w14:paraId="485E7794">
                  <w:pPr>
                    <w:pStyle w:val="22"/>
                    <w:bidi w:val="0"/>
                    <w:rPr>
                      <w:rFonts w:hint="eastAsia"/>
                      <w:color w:val="auto"/>
                      <w:lang w:val="en-US" w:eastAsia="zh-CN"/>
                    </w:rPr>
                  </w:pPr>
                </w:p>
              </w:tc>
              <w:tc>
                <w:tcPr>
                  <w:tcW w:w="1214" w:type="pct"/>
                  <w:tcBorders>
                    <w:top w:val="single" w:color="auto" w:sz="4" w:space="0"/>
                    <w:left w:val="nil"/>
                    <w:bottom w:val="single" w:color="auto" w:sz="4" w:space="0"/>
                    <w:right w:val="single" w:color="auto" w:sz="4" w:space="0"/>
                  </w:tcBorders>
                  <w:noWrap w:val="0"/>
                  <w:vAlign w:val="center"/>
                </w:tcPr>
                <w:p w14:paraId="5C7E7A4B">
                  <w:pPr>
                    <w:pStyle w:val="22"/>
                    <w:bidi w:val="0"/>
                    <w:rPr>
                      <w:rFonts w:hint="eastAsia"/>
                      <w:color w:val="auto"/>
                      <w:lang w:val="en-US" w:eastAsia="zh-CN"/>
                    </w:rPr>
                  </w:pPr>
                  <w:r>
                    <w:rPr>
                      <w:rFonts w:hint="eastAsia"/>
                      <w:color w:val="auto"/>
                      <w:lang w:val="en-US" w:eastAsia="zh-CN"/>
                    </w:rPr>
                    <w:t>粉尘</w:t>
                  </w:r>
                  <w:r>
                    <w:rPr>
                      <w:rFonts w:hint="eastAsia"/>
                      <w:color w:val="auto"/>
                      <w:lang w:eastAsia="zh-CN"/>
                    </w:rPr>
                    <w:t>废气处理</w:t>
                  </w:r>
                </w:p>
              </w:tc>
            </w:tr>
            <w:tr w14:paraId="2ACD8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750" w:type="pct"/>
                  <w:vMerge w:val="continue"/>
                  <w:tcBorders>
                    <w:left w:val="single" w:color="auto" w:sz="4" w:space="0"/>
                    <w:right w:val="single" w:color="auto" w:sz="4" w:space="0"/>
                  </w:tcBorders>
                  <w:noWrap w:val="0"/>
                  <w:vAlign w:val="center"/>
                </w:tcPr>
                <w:p w14:paraId="759E8599">
                  <w:pPr>
                    <w:pStyle w:val="22"/>
                    <w:bidi w:val="0"/>
                    <w:rPr>
                      <w:rFonts w:hint="eastAsia"/>
                      <w:color w:val="auto"/>
                    </w:rPr>
                  </w:pPr>
                </w:p>
              </w:tc>
              <w:tc>
                <w:tcPr>
                  <w:tcW w:w="2115" w:type="dxa"/>
                  <w:tcBorders>
                    <w:left w:val="nil"/>
                    <w:right w:val="single" w:color="auto" w:sz="4" w:space="0"/>
                  </w:tcBorders>
                  <w:noWrap w:val="0"/>
                  <w:vAlign w:val="center"/>
                </w:tcPr>
                <w:p w14:paraId="7D5B0D6C">
                  <w:pPr>
                    <w:pStyle w:val="22"/>
                    <w:bidi w:val="0"/>
                    <w:ind w:firstLine="0" w:firstLineChars="0"/>
                    <w:rPr>
                      <w:rFonts w:hint="eastAsia"/>
                      <w:color w:val="auto"/>
                      <w:lang w:val="en-US" w:eastAsia="zh-CN"/>
                    </w:rPr>
                  </w:pPr>
                  <w:r>
                    <w:rPr>
                      <w:rFonts w:hint="eastAsia"/>
                      <w:color w:val="auto"/>
                      <w:lang w:val="en-US" w:eastAsia="zh-CN"/>
                    </w:rPr>
                    <w:t>风机</w:t>
                  </w:r>
                </w:p>
              </w:tc>
              <w:tc>
                <w:tcPr>
                  <w:tcW w:w="819" w:type="pct"/>
                  <w:tcBorders>
                    <w:top w:val="single" w:color="auto" w:sz="4" w:space="0"/>
                    <w:left w:val="nil"/>
                    <w:bottom w:val="single" w:color="auto" w:sz="4" w:space="0"/>
                    <w:right w:val="single" w:color="auto" w:sz="4" w:space="0"/>
                  </w:tcBorders>
                  <w:noWrap w:val="0"/>
                  <w:vAlign w:val="center"/>
                </w:tcPr>
                <w:p w14:paraId="58B7FDCC">
                  <w:pPr>
                    <w:pStyle w:val="22"/>
                    <w:bidi w:val="0"/>
                    <w:rPr>
                      <w:rFonts w:hint="eastAsia"/>
                      <w:color w:val="auto"/>
                      <w:lang w:val="en-US" w:eastAsia="zh-CN"/>
                    </w:rPr>
                  </w:pPr>
                  <w:r>
                    <w:rPr>
                      <w:rFonts w:hint="eastAsia"/>
                      <w:color w:val="auto"/>
                      <w:lang w:val="en-US" w:eastAsia="zh-CN"/>
                    </w:rPr>
                    <w:t>6000m</w:t>
                  </w:r>
                  <w:r>
                    <w:rPr>
                      <w:rFonts w:hint="eastAsia"/>
                      <w:color w:val="auto"/>
                      <w:vertAlign w:val="superscript"/>
                      <w:lang w:val="en-US" w:eastAsia="zh-CN"/>
                    </w:rPr>
                    <w:t>3</w:t>
                  </w:r>
                  <w:r>
                    <w:rPr>
                      <w:rFonts w:hint="eastAsia"/>
                      <w:color w:val="auto"/>
                      <w:lang w:val="en-US" w:eastAsia="zh-CN"/>
                    </w:rPr>
                    <w:t>/h</w:t>
                  </w:r>
                </w:p>
              </w:tc>
              <w:tc>
                <w:tcPr>
                  <w:tcW w:w="919" w:type="pct"/>
                  <w:tcBorders>
                    <w:top w:val="single" w:color="auto" w:sz="4" w:space="0"/>
                    <w:left w:val="nil"/>
                    <w:bottom w:val="single" w:color="auto" w:sz="4" w:space="0"/>
                    <w:right w:val="single" w:color="auto" w:sz="4" w:space="0"/>
                  </w:tcBorders>
                  <w:noWrap w:val="0"/>
                  <w:vAlign w:val="center"/>
                </w:tcPr>
                <w:p w14:paraId="25F6B3F8">
                  <w:pPr>
                    <w:pStyle w:val="22"/>
                    <w:bidi w:val="0"/>
                    <w:rPr>
                      <w:rFonts w:hint="eastAsia"/>
                      <w:color w:val="auto"/>
                      <w:lang w:val="en-US" w:eastAsia="zh-CN"/>
                    </w:rPr>
                  </w:pPr>
                </w:p>
              </w:tc>
              <w:tc>
                <w:tcPr>
                  <w:tcW w:w="1214" w:type="pct"/>
                  <w:tcBorders>
                    <w:top w:val="single" w:color="auto" w:sz="4" w:space="0"/>
                    <w:left w:val="nil"/>
                    <w:bottom w:val="single" w:color="auto" w:sz="4" w:space="0"/>
                    <w:right w:val="single" w:color="auto" w:sz="4" w:space="0"/>
                  </w:tcBorders>
                  <w:noWrap w:val="0"/>
                  <w:vAlign w:val="center"/>
                </w:tcPr>
                <w:p w14:paraId="72CEF149">
                  <w:pPr>
                    <w:pStyle w:val="22"/>
                    <w:bidi w:val="0"/>
                    <w:rPr>
                      <w:rFonts w:hint="eastAsia"/>
                      <w:color w:val="auto"/>
                      <w:lang w:val="en-US" w:eastAsia="zh-CN"/>
                    </w:rPr>
                  </w:pPr>
                  <w:r>
                    <w:rPr>
                      <w:rFonts w:hint="eastAsia"/>
                      <w:color w:val="auto"/>
                      <w:lang w:val="en-US" w:eastAsia="zh-CN"/>
                    </w:rPr>
                    <w:t>引风</w:t>
                  </w:r>
                </w:p>
              </w:tc>
            </w:tr>
          </w:tbl>
          <w:p w14:paraId="2728D74E">
            <w:pPr>
              <w:bidi w:val="0"/>
              <w:rPr>
                <w:rFonts w:hint="eastAsia"/>
                <w:color w:val="auto"/>
                <w:highlight w:val="none"/>
                <w:lang w:val="en-US" w:eastAsia="zh-CN"/>
              </w:rPr>
            </w:pPr>
            <w:r>
              <w:rPr>
                <w:rFonts w:hint="eastAsia"/>
                <w:color w:val="auto"/>
                <w:highlight w:val="none"/>
                <w:lang w:val="en-US" w:eastAsia="zh-CN"/>
              </w:rPr>
              <w:t>产能符合性分析：</w:t>
            </w:r>
          </w:p>
          <w:p w14:paraId="7FD158AD">
            <w:pPr>
              <w:bidi w:val="0"/>
              <w:rPr>
                <w:rFonts w:hint="eastAsia"/>
                <w:color w:val="auto"/>
                <w:lang w:val="en-US" w:eastAsia="zh-CN"/>
              </w:rPr>
            </w:pPr>
            <w:r>
              <w:rPr>
                <w:rFonts w:hint="eastAsia"/>
                <w:color w:val="auto"/>
                <w:lang w:val="en-US" w:eastAsia="zh-CN"/>
              </w:rPr>
              <w:t>本项目熔融挤出设备共计四台（含挤出、牵引、切割一体设备，单台设备总长度为75m×2m），其中双螺旋挤出机塑料粒子使用量最大为600kg/h，剩余三台单螺旋挤出机300kg/h，塑料生产加工最大4条熔融挤出成型生产线，每日工作时间按照8h，则每日最大产能为7.2t/d，则年生产加工2160</w:t>
            </w:r>
            <w:r>
              <w:rPr>
                <w:rFonts w:hint="eastAsia"/>
                <w:color w:val="auto"/>
              </w:rPr>
              <w:t>t</w:t>
            </w:r>
            <w:r>
              <w:rPr>
                <w:rFonts w:hint="eastAsia"/>
                <w:color w:val="auto"/>
                <w:lang w:val="en-US" w:eastAsia="zh-CN"/>
              </w:rPr>
              <w:t>/a。本项目设计4条熔融挤出成型生产线</w:t>
            </w:r>
            <w:r>
              <w:rPr>
                <w:rFonts w:hint="eastAsia"/>
                <w:color w:val="auto"/>
              </w:rPr>
              <w:t>可以满足生产要求，产能匹配</w:t>
            </w:r>
            <w:r>
              <w:rPr>
                <w:rFonts w:hint="eastAsia"/>
                <w:color w:val="auto"/>
                <w:lang w:val="en-US" w:eastAsia="zh-CN"/>
              </w:rPr>
              <w:t>。</w:t>
            </w:r>
          </w:p>
          <w:p w14:paraId="5182E6BA">
            <w:pPr>
              <w:bidi w:val="0"/>
              <w:rPr>
                <w:rFonts w:hint="eastAsia"/>
                <w:color w:val="auto"/>
              </w:rPr>
            </w:pPr>
            <w:r>
              <w:rPr>
                <w:rFonts w:hint="eastAsia"/>
                <w:color w:val="auto"/>
              </w:rPr>
              <w:t>经查询，本项目采用的生产设备和工艺均不属于</w:t>
            </w:r>
            <w:r>
              <w:rPr>
                <w:color w:val="auto"/>
              </w:rPr>
              <w:t>《产业结构调整指导目录（20</w:t>
            </w:r>
            <w:r>
              <w:rPr>
                <w:rFonts w:hint="eastAsia"/>
                <w:color w:val="auto"/>
              </w:rPr>
              <w:t>24</w:t>
            </w:r>
            <w:r>
              <w:rPr>
                <w:color w:val="auto"/>
              </w:rPr>
              <w:t>年本）》</w:t>
            </w:r>
            <w:r>
              <w:rPr>
                <w:rFonts w:hint="eastAsia"/>
                <w:color w:val="auto"/>
              </w:rPr>
              <w:t>中限制类和淘汰类。</w:t>
            </w:r>
          </w:p>
          <w:p w14:paraId="1304E4C5">
            <w:pPr>
              <w:bidi w:val="0"/>
              <w:rPr>
                <w:b/>
                <w:bCs/>
                <w:color w:val="auto"/>
              </w:rPr>
            </w:pPr>
            <w:r>
              <w:rPr>
                <w:rFonts w:hint="eastAsia"/>
                <w:b/>
                <w:bCs/>
                <w:color w:val="auto"/>
              </w:rPr>
              <w:t>2.6</w:t>
            </w:r>
            <w:r>
              <w:rPr>
                <w:b/>
                <w:bCs/>
                <w:color w:val="auto"/>
              </w:rPr>
              <w:t>劳动定员</w:t>
            </w:r>
            <w:r>
              <w:rPr>
                <w:rFonts w:hint="eastAsia"/>
                <w:b/>
                <w:bCs/>
                <w:color w:val="auto"/>
              </w:rPr>
              <w:t>及工作制度</w:t>
            </w:r>
          </w:p>
          <w:p w14:paraId="02DC1509">
            <w:pPr>
              <w:bidi w:val="0"/>
              <w:rPr>
                <w:rFonts w:hint="eastAsia"/>
                <w:color w:val="auto"/>
                <w:lang w:eastAsia="zh-CN"/>
              </w:rPr>
            </w:pPr>
            <w:r>
              <w:rPr>
                <w:color w:val="auto"/>
              </w:rPr>
              <w:t>厂区内</w:t>
            </w:r>
            <w:r>
              <w:rPr>
                <w:rFonts w:hint="eastAsia"/>
                <w:color w:val="auto"/>
                <w:lang w:val="en-US" w:eastAsia="zh-CN"/>
              </w:rPr>
              <w:t>劳动定</w:t>
            </w:r>
            <w:r>
              <w:rPr>
                <w:color w:val="auto"/>
              </w:rPr>
              <w:t>员</w:t>
            </w:r>
            <w:r>
              <w:rPr>
                <w:rFonts w:hint="eastAsia"/>
                <w:color w:val="auto"/>
                <w:lang w:val="en-US" w:eastAsia="zh-CN"/>
              </w:rPr>
              <w:t>20</w:t>
            </w:r>
            <w:r>
              <w:rPr>
                <w:color w:val="auto"/>
              </w:rPr>
              <w:t>人</w:t>
            </w:r>
            <w:r>
              <w:rPr>
                <w:rFonts w:hint="eastAsia"/>
                <w:color w:val="auto"/>
                <w:lang w:eastAsia="zh-CN"/>
              </w:rPr>
              <w:t>；</w:t>
            </w:r>
          </w:p>
          <w:p w14:paraId="2DCAD9F9">
            <w:pPr>
              <w:bidi w:val="0"/>
              <w:rPr>
                <w:color w:val="auto"/>
              </w:rPr>
            </w:pPr>
            <w:r>
              <w:rPr>
                <w:color w:val="auto"/>
              </w:rPr>
              <w:t>工作制度：年工作300天，实行</w:t>
            </w:r>
            <w:r>
              <w:rPr>
                <w:rFonts w:hint="eastAsia"/>
                <w:color w:val="auto"/>
                <w:lang w:val="en-US" w:eastAsia="zh-CN"/>
              </w:rPr>
              <w:t>单</w:t>
            </w:r>
            <w:r>
              <w:rPr>
                <w:color w:val="auto"/>
              </w:rPr>
              <w:t>班制，每班8小时，年生产</w:t>
            </w:r>
            <w:r>
              <w:rPr>
                <w:rFonts w:hint="eastAsia"/>
                <w:color w:val="auto"/>
                <w:lang w:val="en-US" w:eastAsia="zh-CN"/>
              </w:rPr>
              <w:t>2400</w:t>
            </w:r>
            <w:r>
              <w:rPr>
                <w:color w:val="auto"/>
              </w:rPr>
              <w:t>h。</w:t>
            </w:r>
          </w:p>
          <w:p w14:paraId="634508B5">
            <w:pPr>
              <w:bidi w:val="0"/>
              <w:rPr>
                <w:b/>
                <w:bCs/>
                <w:color w:val="auto"/>
              </w:rPr>
            </w:pPr>
            <w:r>
              <w:rPr>
                <w:rFonts w:hint="eastAsia"/>
                <w:b/>
                <w:bCs/>
                <w:color w:val="auto"/>
              </w:rPr>
              <w:t>2.7</w:t>
            </w:r>
            <w:r>
              <w:rPr>
                <w:b/>
                <w:bCs/>
                <w:color w:val="auto"/>
              </w:rPr>
              <w:t>总平面布置合理性分析总体布局：</w:t>
            </w:r>
          </w:p>
          <w:p w14:paraId="44F5C9EF">
            <w:pPr>
              <w:bidi w:val="0"/>
              <w:rPr>
                <w:color w:val="auto"/>
              </w:rPr>
            </w:pPr>
            <w:r>
              <w:rPr>
                <w:color w:val="auto"/>
              </w:rPr>
              <w:t>根据本项目生产性质及建设规模，并结合场地自然条件及现状进行总平面布置。在满足工业生产用地的前提下，统筹考虑了物料运输、管线敷设、环境保护、安全卫生及消防等方面的用地需要。力求总图布局合理，运输线路短捷、顺畅。建构筑物外形协调整齐，通道宽度适中，为自然通风、采光、排水、卫生、绿化等布置创造条件。</w:t>
            </w:r>
          </w:p>
          <w:p w14:paraId="25DA5620">
            <w:pPr>
              <w:bidi w:val="0"/>
              <w:rPr>
                <w:rFonts w:hint="eastAsia"/>
                <w:color w:val="auto"/>
              </w:rPr>
            </w:pPr>
            <w:r>
              <w:rPr>
                <w:color w:val="auto"/>
              </w:rPr>
              <w:t>本项目场地基本呈长方形</w:t>
            </w:r>
            <w:r>
              <w:rPr>
                <w:rFonts w:hint="eastAsia"/>
                <w:color w:val="auto"/>
              </w:rPr>
              <w:t>，</w:t>
            </w:r>
            <w:r>
              <w:rPr>
                <w:rFonts w:hint="eastAsia"/>
                <w:color w:val="auto"/>
                <w:lang w:val="en-US" w:eastAsia="zh-CN"/>
              </w:rPr>
              <w:t>生活办公区另行租赁，位于</w:t>
            </w:r>
            <w:r>
              <w:rPr>
                <w:rFonts w:hint="eastAsia"/>
                <w:color w:val="auto"/>
              </w:rPr>
              <w:t>生产区</w:t>
            </w:r>
            <w:r>
              <w:rPr>
                <w:rFonts w:hint="eastAsia"/>
                <w:color w:val="auto"/>
                <w:lang w:val="en-US" w:eastAsia="zh-CN"/>
              </w:rPr>
              <w:t>主导风上风向。</w:t>
            </w:r>
            <w:r>
              <w:rPr>
                <w:rFonts w:hint="eastAsia"/>
                <w:color w:val="auto"/>
              </w:rPr>
              <w:t>生产区</w:t>
            </w:r>
            <w:r>
              <w:rPr>
                <w:rFonts w:hint="eastAsia"/>
                <w:color w:val="auto"/>
                <w:lang w:val="en-US" w:eastAsia="zh-CN"/>
              </w:rPr>
              <w:t>根据生产加工需求分区布置，车间内东西方向分别布设熔融挤出生产区和成品暂存区。为保持生产的连续性，生产区南侧毗邻原料暂存和上料区，上料区采用集中供料系统，整体位于密闭操作单元内，同时为减少粉尘排放，混料环节密闭</w:t>
            </w:r>
            <w:r>
              <w:rPr>
                <w:rFonts w:hint="eastAsia"/>
                <w:color w:val="auto"/>
              </w:rPr>
              <w:t>。根据车间生产功能不同，</w:t>
            </w:r>
            <w:r>
              <w:rPr>
                <w:rFonts w:hint="eastAsia"/>
                <w:color w:val="auto"/>
                <w:lang w:val="en-US" w:eastAsia="zh-CN"/>
              </w:rPr>
              <w:t>不同生产区域布设不同功能生产设备，高噪声设备集中布设、采取减振措施</w:t>
            </w:r>
            <w:r>
              <w:rPr>
                <w:rFonts w:hint="eastAsia"/>
                <w:color w:val="auto"/>
              </w:rPr>
              <w:t>。</w:t>
            </w:r>
            <w:r>
              <w:rPr>
                <w:rFonts w:hint="eastAsia"/>
                <w:color w:val="auto"/>
                <w:lang w:val="en-US" w:eastAsia="zh-CN"/>
              </w:rPr>
              <w:t>厂区</w:t>
            </w:r>
            <w:r>
              <w:rPr>
                <w:color w:val="auto"/>
              </w:rPr>
              <w:t>总平面布置图示意图</w:t>
            </w:r>
            <w:r>
              <w:rPr>
                <w:rFonts w:hint="eastAsia"/>
                <w:color w:val="auto"/>
                <w:lang w:eastAsia="zh-CN"/>
              </w:rPr>
              <w:t>、</w:t>
            </w:r>
            <w:r>
              <w:rPr>
                <w:rFonts w:hint="eastAsia"/>
                <w:color w:val="auto"/>
                <w:lang w:val="en-US" w:eastAsia="zh-CN"/>
              </w:rPr>
              <w:t>车间布局图</w:t>
            </w:r>
            <w:r>
              <w:rPr>
                <w:color w:val="auto"/>
              </w:rPr>
              <w:t>见</w:t>
            </w:r>
            <w:r>
              <w:rPr>
                <w:rFonts w:hint="eastAsia"/>
                <w:color w:val="auto"/>
              </w:rPr>
              <w:t>附</w:t>
            </w:r>
            <w:r>
              <w:rPr>
                <w:color w:val="auto"/>
              </w:rPr>
              <w:t>图</w:t>
            </w:r>
            <w:r>
              <w:rPr>
                <w:rFonts w:hint="eastAsia"/>
                <w:color w:val="auto"/>
              </w:rPr>
              <w:t>3</w:t>
            </w:r>
            <w:r>
              <w:rPr>
                <w:color w:val="auto"/>
              </w:rPr>
              <w:t>。</w:t>
            </w:r>
          </w:p>
          <w:p w14:paraId="31D60EC0">
            <w:pPr>
              <w:bidi w:val="0"/>
              <w:rPr>
                <w:b/>
                <w:bCs/>
                <w:color w:val="auto"/>
              </w:rPr>
            </w:pPr>
            <w:r>
              <w:rPr>
                <w:b/>
                <w:bCs/>
                <w:color w:val="auto"/>
              </w:rPr>
              <w:t>2.8水平衡分析</w:t>
            </w:r>
          </w:p>
          <w:p w14:paraId="227EDCA3">
            <w:pPr>
              <w:bidi w:val="0"/>
              <w:rPr>
                <w:rFonts w:hint="eastAsia"/>
                <w:b/>
                <w:bCs/>
                <w:color w:val="auto"/>
              </w:rPr>
            </w:pPr>
            <w:r>
              <w:rPr>
                <w:rFonts w:hint="eastAsia"/>
                <w:b/>
                <w:bCs/>
                <w:color w:val="auto"/>
              </w:rPr>
              <w:t>1）生活用水</w:t>
            </w:r>
          </w:p>
          <w:p w14:paraId="0621467D">
            <w:pPr>
              <w:bidi w:val="0"/>
              <w:rPr>
                <w:color w:val="auto"/>
              </w:rPr>
            </w:pPr>
            <w:r>
              <w:rPr>
                <w:color w:val="auto"/>
              </w:rPr>
              <w:t>本项目</w:t>
            </w:r>
            <w:r>
              <w:rPr>
                <w:rFonts w:hint="eastAsia"/>
                <w:color w:val="auto"/>
              </w:rPr>
              <w:t>新增员工</w:t>
            </w:r>
            <w:r>
              <w:rPr>
                <w:rFonts w:hint="eastAsia"/>
                <w:color w:val="auto"/>
                <w:lang w:val="en-US" w:eastAsia="zh-CN"/>
              </w:rPr>
              <w:t>20人</w:t>
            </w:r>
            <w:r>
              <w:rPr>
                <w:rFonts w:hint="eastAsia"/>
                <w:color w:val="auto"/>
              </w:rPr>
              <w:t>，根据《安徽省行业用水定额》（DB34/T679-20</w:t>
            </w:r>
            <w:r>
              <w:rPr>
                <w:rFonts w:hint="eastAsia"/>
                <w:color w:val="auto"/>
                <w:lang w:val="en-US" w:eastAsia="zh-CN"/>
              </w:rPr>
              <w:t>25</w:t>
            </w:r>
            <w:r>
              <w:rPr>
                <w:rFonts w:hint="eastAsia"/>
                <w:color w:val="auto"/>
              </w:rPr>
              <w:t>）中的相关内容，办公用水定额取</w:t>
            </w:r>
            <w:r>
              <w:rPr>
                <w:rFonts w:hint="default" w:ascii="Times New Roman" w:hAnsi="Times New Roman" w:cs="Times New Roman"/>
                <w:color w:val="auto"/>
                <w:lang w:val="en-US" w:eastAsia="zh-CN"/>
              </w:rPr>
              <w:t>38m</w:t>
            </w:r>
            <w:r>
              <w:rPr>
                <w:rFonts w:hint="default" w:ascii="Times New Roman" w:hAnsi="Times New Roman" w:cs="Times New Roman"/>
                <w:color w:val="auto"/>
                <w:vertAlign w:val="superscript"/>
                <w:lang w:val="en-US" w:eastAsia="zh-CN"/>
              </w:rPr>
              <w:t>3</w:t>
            </w:r>
            <w:r>
              <w:rPr>
                <w:rFonts w:hint="default" w:ascii="Times New Roman" w:hAnsi="Times New Roman" w:cs="Times New Roman"/>
                <w:color w:val="auto"/>
              </w:rPr>
              <w:t>/人·</w:t>
            </w:r>
            <w:r>
              <w:rPr>
                <w:rFonts w:hint="default" w:ascii="Times New Roman" w:hAnsi="Times New Roman" w:cs="Times New Roman"/>
                <w:color w:val="auto"/>
                <w:lang w:val="en-US" w:eastAsia="zh-CN"/>
              </w:rPr>
              <w:t>a</w:t>
            </w:r>
            <w:r>
              <w:rPr>
                <w:color w:val="auto"/>
              </w:rPr>
              <w:t>，则生活用水量为</w:t>
            </w:r>
            <w:r>
              <w:rPr>
                <w:rFonts w:hint="eastAsia"/>
                <w:color w:val="auto"/>
                <w:lang w:val="en-US" w:eastAsia="zh-CN"/>
              </w:rPr>
              <w:t>2.53m</w:t>
            </w:r>
            <w:r>
              <w:rPr>
                <w:rFonts w:hint="eastAsia"/>
                <w:color w:val="auto"/>
                <w:vertAlign w:val="superscript"/>
                <w:lang w:val="en-US" w:eastAsia="zh-CN"/>
              </w:rPr>
              <w:t>3</w:t>
            </w:r>
            <w:r>
              <w:rPr>
                <w:color w:val="auto"/>
              </w:rPr>
              <w:t>/d，</w:t>
            </w:r>
            <w:r>
              <w:rPr>
                <w:rFonts w:hint="eastAsia"/>
                <w:color w:val="auto"/>
                <w:lang w:val="en-US" w:eastAsia="zh-CN"/>
              </w:rPr>
              <w:t>760m</w:t>
            </w:r>
            <w:r>
              <w:rPr>
                <w:rFonts w:hint="eastAsia"/>
                <w:color w:val="auto"/>
                <w:vertAlign w:val="superscript"/>
                <w:lang w:val="en-US" w:eastAsia="zh-CN"/>
              </w:rPr>
              <w:t>3</w:t>
            </w:r>
            <w:r>
              <w:rPr>
                <w:color w:val="auto"/>
              </w:rPr>
              <w:t>/a。排水系数按8</w:t>
            </w:r>
            <w:r>
              <w:rPr>
                <w:rFonts w:hint="eastAsia"/>
                <w:color w:val="auto"/>
              </w:rPr>
              <w:t>5</w:t>
            </w:r>
            <w:r>
              <w:rPr>
                <w:color w:val="auto"/>
              </w:rPr>
              <w:t>%计算，生活污水排放量约为</w:t>
            </w:r>
            <w:r>
              <w:rPr>
                <w:rFonts w:hint="eastAsia"/>
                <w:color w:val="auto"/>
                <w:lang w:val="en-US" w:eastAsia="zh-CN"/>
              </w:rPr>
              <w:t>2.15m</w:t>
            </w:r>
            <w:r>
              <w:rPr>
                <w:rFonts w:hint="eastAsia"/>
                <w:color w:val="auto"/>
                <w:vertAlign w:val="superscript"/>
                <w:lang w:val="en-US" w:eastAsia="zh-CN"/>
              </w:rPr>
              <w:t>3</w:t>
            </w:r>
            <w:r>
              <w:rPr>
                <w:color w:val="auto"/>
              </w:rPr>
              <w:t>/d，</w:t>
            </w:r>
            <w:r>
              <w:rPr>
                <w:rFonts w:hint="eastAsia"/>
                <w:color w:val="auto"/>
                <w:lang w:val="en-US" w:eastAsia="zh-CN"/>
              </w:rPr>
              <w:t>646m</w:t>
            </w:r>
            <w:r>
              <w:rPr>
                <w:rFonts w:hint="eastAsia"/>
                <w:color w:val="auto"/>
                <w:vertAlign w:val="superscript"/>
                <w:lang w:val="en-US" w:eastAsia="zh-CN"/>
              </w:rPr>
              <w:t>3</w:t>
            </w:r>
            <w:r>
              <w:rPr>
                <w:color w:val="auto"/>
              </w:rPr>
              <w:t>/a。</w:t>
            </w:r>
          </w:p>
          <w:p w14:paraId="1A3DCBE1">
            <w:pPr>
              <w:bidi w:val="0"/>
              <w:rPr>
                <w:rFonts w:hint="eastAsia"/>
                <w:b/>
                <w:bCs/>
                <w:color w:val="auto"/>
                <w:lang w:val="en-US" w:eastAsia="zh-CN"/>
              </w:rPr>
            </w:pPr>
            <w:r>
              <w:rPr>
                <w:rFonts w:hint="eastAsia"/>
                <w:b/>
                <w:bCs/>
                <w:color w:val="auto"/>
                <w:lang w:val="en-US" w:eastAsia="zh-CN"/>
              </w:rPr>
              <w:t>2）循环冷却系统用水</w:t>
            </w:r>
          </w:p>
          <w:p w14:paraId="2A747562">
            <w:pPr>
              <w:bidi w:val="0"/>
              <w:rPr>
                <w:rFonts w:hint="default"/>
                <w:color w:val="auto"/>
                <w:lang w:val="en-US" w:eastAsia="zh-CN"/>
              </w:rPr>
            </w:pPr>
            <w:r>
              <w:rPr>
                <w:rFonts w:hint="eastAsia"/>
                <w:color w:val="auto"/>
                <w:lang w:val="en-US" w:eastAsia="zh-CN"/>
              </w:rPr>
              <w:t>本项目采用直接循环冷却水系统对熔融挤出及产品进行冷却，循环水量为63m</w:t>
            </w:r>
            <w:r>
              <w:rPr>
                <w:rFonts w:hint="eastAsia"/>
                <w:color w:val="auto"/>
                <w:vertAlign w:val="superscript"/>
                <w:lang w:val="en-US" w:eastAsia="zh-CN"/>
              </w:rPr>
              <w:t>3</w:t>
            </w:r>
            <w:r>
              <w:rPr>
                <w:rFonts w:hint="eastAsia"/>
                <w:color w:val="auto"/>
                <w:lang w:val="en-US" w:eastAsia="zh-CN"/>
              </w:rPr>
              <w:t>/h。根据《工业循环冷却水处理设计规范》（GB/T50050-2017），</w:t>
            </w:r>
          </w:p>
          <w:p w14:paraId="4DA89C00">
            <w:pPr>
              <w:pStyle w:val="29"/>
              <w:bidi w:val="0"/>
              <w:rPr>
                <w:rFonts w:hint="default" w:ascii="Times New Roman" w:hAnsi="Times New Roman" w:cs="Times New Roman"/>
                <w:b w:val="0"/>
                <w:bCs w:val="0"/>
                <w:color w:val="auto"/>
                <w:sz w:val="24"/>
                <w:szCs w:val="24"/>
                <w:highlight w:val="none"/>
                <w:vertAlign w:val="baseline"/>
                <w:lang w:val="en-US" w:eastAsia="zh-CN"/>
              </w:rPr>
            </w:pPr>
            <w:r>
              <w:rPr>
                <w:rFonts w:hint="eastAsia"/>
                <w:color w:val="auto"/>
                <w:highlight w:val="none"/>
              </w:rPr>
              <w:t>循环</w:t>
            </w:r>
            <w:r>
              <w:rPr>
                <w:rFonts w:hint="eastAsia"/>
                <w:color w:val="auto"/>
                <w:highlight w:val="none"/>
                <w:lang w:val="en-US" w:eastAsia="zh-CN"/>
              </w:rPr>
              <w:t>冷却水系统定期补充水分，</w:t>
            </w:r>
            <w:r>
              <w:rPr>
                <w:rFonts w:hint="eastAsia"/>
                <w:color w:val="auto"/>
                <w:highlight w:val="none"/>
              </w:rPr>
              <w:t>补充水主要为蒸发等损耗</w:t>
            </w:r>
            <w:r>
              <w:rPr>
                <w:rFonts w:hint="eastAsia"/>
                <w:color w:val="auto"/>
                <w:highlight w:val="none"/>
                <w:lang w:eastAsia="zh-CN"/>
              </w:rPr>
              <w:t>。</w:t>
            </w:r>
            <w:r>
              <w:rPr>
                <w:rFonts w:hint="eastAsia"/>
                <w:color w:val="auto"/>
                <w:sz w:val="24"/>
                <w:szCs w:val="24"/>
                <w:highlight w:val="none"/>
                <w:lang w:val="en-US" w:eastAsia="zh-CN"/>
              </w:rPr>
              <w:t>根据</w:t>
            </w:r>
            <w:r>
              <w:rPr>
                <w:rFonts w:hint="eastAsia" w:ascii="Times New Roman" w:hAnsi="Times New Roman" w:cs="Times New Roman"/>
                <w:color w:val="auto"/>
                <w:sz w:val="24"/>
                <w:szCs w:val="24"/>
                <w:highlight w:val="none"/>
                <w:lang w:val="en-US" w:eastAsia="zh-CN"/>
              </w:rPr>
              <w:t>开式冷却系统补充水量Q</w:t>
            </w:r>
            <w:r>
              <w:rPr>
                <w:rFonts w:hint="eastAsia" w:ascii="Times New Roman" w:hAnsi="Times New Roman" w:cs="Times New Roman"/>
                <w:b/>
                <w:bCs/>
                <w:color w:val="auto"/>
                <w:sz w:val="24"/>
                <w:szCs w:val="24"/>
                <w:highlight w:val="none"/>
                <w:lang w:val="en-US" w:eastAsia="zh-CN"/>
              </w:rPr>
              <w:t>m=Q</w:t>
            </w:r>
            <w:r>
              <w:rPr>
                <w:rFonts w:hint="eastAsia" w:ascii="Times New Roman" w:hAnsi="Times New Roman" w:cs="Times New Roman"/>
                <w:b/>
                <w:bCs/>
                <w:color w:val="auto"/>
                <w:sz w:val="24"/>
                <w:szCs w:val="24"/>
                <w:highlight w:val="none"/>
                <w:vertAlign w:val="subscript"/>
                <w:lang w:val="en-US" w:eastAsia="zh-CN"/>
              </w:rPr>
              <w:t>e</w:t>
            </w:r>
            <w:r>
              <w:rPr>
                <w:rFonts w:hint="eastAsia" w:ascii="Times New Roman" w:hAnsi="Times New Roman" w:cs="Times New Roman"/>
                <w:b/>
                <w:bCs/>
                <w:color w:val="auto"/>
                <w:sz w:val="24"/>
                <w:szCs w:val="24"/>
                <w:highlight w:val="none"/>
                <w:lang w:val="en-US" w:eastAsia="zh-CN"/>
              </w:rPr>
              <w:t>+Q</w:t>
            </w:r>
            <w:r>
              <w:rPr>
                <w:rFonts w:hint="eastAsia" w:ascii="Times New Roman" w:hAnsi="Times New Roman" w:cs="Times New Roman"/>
                <w:b/>
                <w:bCs/>
                <w:color w:val="auto"/>
                <w:sz w:val="24"/>
                <w:szCs w:val="24"/>
                <w:highlight w:val="none"/>
                <w:vertAlign w:val="subscript"/>
                <w:lang w:val="en-US" w:eastAsia="zh-CN"/>
              </w:rPr>
              <w:t>b</w:t>
            </w:r>
            <w:r>
              <w:rPr>
                <w:rFonts w:hint="eastAsia" w:ascii="Times New Roman" w:hAnsi="Times New Roman" w:cs="Times New Roman"/>
                <w:b/>
                <w:bCs/>
                <w:color w:val="auto"/>
                <w:sz w:val="24"/>
                <w:szCs w:val="24"/>
                <w:highlight w:val="none"/>
                <w:lang w:val="en-US" w:eastAsia="zh-CN"/>
              </w:rPr>
              <w:t>+Q</w:t>
            </w:r>
            <w:r>
              <w:rPr>
                <w:rFonts w:hint="eastAsia" w:ascii="Times New Roman" w:hAnsi="Times New Roman" w:cs="Times New Roman"/>
                <w:b/>
                <w:bCs/>
                <w:color w:val="auto"/>
                <w:sz w:val="24"/>
                <w:szCs w:val="24"/>
                <w:highlight w:val="none"/>
                <w:vertAlign w:val="subscript"/>
                <w:lang w:val="en-US" w:eastAsia="zh-CN"/>
              </w:rPr>
              <w:t>w</w:t>
            </w:r>
            <w:r>
              <w:rPr>
                <w:rFonts w:hint="eastAsia" w:ascii="Times New Roman" w:hAnsi="Times New Roman" w:cs="Times New Roman"/>
                <w:b/>
                <w:bCs/>
                <w:color w:val="auto"/>
                <w:sz w:val="24"/>
                <w:szCs w:val="24"/>
                <w:highlight w:val="none"/>
                <w:vertAlign w:val="baseline"/>
                <w:lang w:val="en-US" w:eastAsia="zh-CN"/>
              </w:rPr>
              <w:t>=</w:t>
            </w:r>
            <w:r>
              <w:rPr>
                <w:rFonts w:hint="eastAsia" w:cs="Times New Roman"/>
                <w:b w:val="0"/>
                <w:bCs w:val="0"/>
                <w:color w:val="auto"/>
                <w:sz w:val="24"/>
                <w:szCs w:val="24"/>
                <w:highlight w:val="none"/>
                <w:vertAlign w:val="baseline"/>
                <w:lang w:val="en-US" w:eastAsia="zh-CN"/>
              </w:rPr>
              <w:t>0.59</w:t>
            </w:r>
            <w:r>
              <w:rPr>
                <w:rFonts w:hint="eastAsia" w:ascii="Times New Roman" w:hAnsi="Times New Roman" w:cs="Times New Roman"/>
                <w:b w:val="0"/>
                <w:bCs w:val="0"/>
                <w:color w:val="auto"/>
                <w:sz w:val="24"/>
                <w:szCs w:val="24"/>
                <w:highlight w:val="none"/>
                <w:lang w:val="en-US" w:eastAsia="zh-CN"/>
              </w:rPr>
              <w:t>m</w:t>
            </w:r>
            <w:r>
              <w:rPr>
                <w:rFonts w:hint="eastAsia" w:ascii="Times New Roman" w:hAnsi="Times New Roman" w:cs="Times New Roman"/>
                <w:b w:val="0"/>
                <w:bCs w:val="0"/>
                <w:color w:val="auto"/>
                <w:sz w:val="24"/>
                <w:szCs w:val="24"/>
                <w:highlight w:val="none"/>
                <w:vertAlign w:val="superscript"/>
                <w:lang w:val="en-US" w:eastAsia="zh-CN"/>
              </w:rPr>
              <w:t>3</w:t>
            </w:r>
            <w:r>
              <w:rPr>
                <w:rFonts w:hint="eastAsia" w:ascii="Times New Roman" w:hAnsi="Times New Roman" w:cs="Times New Roman"/>
                <w:b w:val="0"/>
                <w:bCs w:val="0"/>
                <w:color w:val="auto"/>
                <w:sz w:val="24"/>
                <w:szCs w:val="24"/>
                <w:highlight w:val="none"/>
                <w:lang w:val="en-US" w:eastAsia="zh-CN"/>
              </w:rPr>
              <w:t>/h</w:t>
            </w:r>
          </w:p>
          <w:p w14:paraId="29F8D84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Qm=Qe×N÷（N-1）</w:t>
            </w:r>
            <w:r>
              <w:rPr>
                <w:rFonts w:hint="eastAsia" w:ascii="Times New Roman" w:hAnsi="Times New Roman" w:cs="Times New Roman"/>
                <w:b w:val="0"/>
                <w:bCs w:val="0"/>
                <w:color w:val="auto"/>
                <w:sz w:val="24"/>
                <w:szCs w:val="24"/>
                <w:highlight w:val="none"/>
                <w:lang w:val="en-US" w:eastAsia="zh-CN"/>
              </w:rPr>
              <w:t>=0.47×5÷4=0.59m</w:t>
            </w:r>
            <w:r>
              <w:rPr>
                <w:rFonts w:hint="eastAsia" w:ascii="Times New Roman" w:hAnsi="Times New Roman" w:cs="Times New Roman"/>
                <w:b w:val="0"/>
                <w:bCs w:val="0"/>
                <w:color w:val="auto"/>
                <w:sz w:val="24"/>
                <w:szCs w:val="24"/>
                <w:highlight w:val="none"/>
                <w:vertAlign w:val="superscript"/>
                <w:lang w:val="en-US" w:eastAsia="zh-CN"/>
              </w:rPr>
              <w:t>3</w:t>
            </w:r>
            <w:r>
              <w:rPr>
                <w:rFonts w:hint="eastAsia" w:ascii="Times New Roman" w:hAnsi="Times New Roman" w:cs="Times New Roman"/>
                <w:b w:val="0"/>
                <w:bCs w:val="0"/>
                <w:color w:val="auto"/>
                <w:sz w:val="24"/>
                <w:szCs w:val="24"/>
                <w:highlight w:val="none"/>
                <w:lang w:val="en-US" w:eastAsia="zh-CN"/>
              </w:rPr>
              <w:t>/h</w:t>
            </w:r>
          </w:p>
          <w:p w14:paraId="2EC74A44">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auto"/>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Qe=k×△t×Qr</w:t>
            </w:r>
            <w:r>
              <w:rPr>
                <w:rFonts w:hint="eastAsia" w:ascii="Times New Roman" w:hAnsi="Times New Roman" w:cs="Times New Roman"/>
                <w:b w:val="0"/>
                <w:bCs w:val="0"/>
                <w:color w:val="auto"/>
                <w:sz w:val="24"/>
                <w:szCs w:val="24"/>
                <w:highlight w:val="none"/>
                <w:lang w:val="en-US" w:eastAsia="zh-CN"/>
              </w:rPr>
              <w:t>=0.0015×5×63=0.47m</w:t>
            </w:r>
            <w:r>
              <w:rPr>
                <w:rFonts w:hint="eastAsia" w:ascii="Times New Roman" w:hAnsi="Times New Roman" w:cs="Times New Roman"/>
                <w:b w:val="0"/>
                <w:bCs w:val="0"/>
                <w:color w:val="auto"/>
                <w:sz w:val="24"/>
                <w:szCs w:val="24"/>
                <w:highlight w:val="none"/>
                <w:vertAlign w:val="superscript"/>
                <w:lang w:val="en-US" w:eastAsia="zh-CN"/>
              </w:rPr>
              <w:t>3</w:t>
            </w:r>
            <w:r>
              <w:rPr>
                <w:rFonts w:hint="eastAsia" w:ascii="Times New Roman" w:hAnsi="Times New Roman" w:cs="Times New Roman"/>
                <w:b w:val="0"/>
                <w:bCs w:val="0"/>
                <w:color w:val="auto"/>
                <w:sz w:val="24"/>
                <w:szCs w:val="24"/>
                <w:highlight w:val="none"/>
                <w:lang w:val="en-US" w:eastAsia="zh-CN"/>
              </w:rPr>
              <w:t>/h</w:t>
            </w:r>
          </w:p>
          <w:p w14:paraId="51D1C6B9">
            <w:pPr>
              <w:adjustRightInd w:val="0"/>
              <w:spacing w:line="360" w:lineRule="auto"/>
              <w:ind w:firstLine="424" w:firstLineChars="177"/>
              <w:jc w:val="both"/>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式中：Qm—补充水量，m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/h；</w:t>
            </w:r>
          </w:p>
          <w:p w14:paraId="36BBE515">
            <w:pPr>
              <w:adjustRightInd w:val="0"/>
              <w:spacing w:line="360" w:lineRule="auto"/>
              <w:ind w:firstLine="1200" w:firstLineChars="500"/>
              <w:jc w:val="both"/>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Qw—风吹损失水量，m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/h；</w:t>
            </w:r>
          </w:p>
          <w:p w14:paraId="16524F80">
            <w:pPr>
              <w:adjustRightInd w:val="0"/>
              <w:spacing w:line="360" w:lineRule="auto"/>
              <w:ind w:firstLine="1140" w:firstLineChars="475"/>
              <w:jc w:val="both"/>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Qe—蒸发水量，m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/h；</w:t>
            </w:r>
          </w:p>
          <w:p w14:paraId="1A960B19">
            <w:pPr>
              <w:adjustRightInd w:val="0"/>
              <w:spacing w:line="360" w:lineRule="auto"/>
              <w:ind w:firstLine="1140" w:firstLineChars="475"/>
              <w:jc w:val="both"/>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Qb—排污水量，0m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/h；</w:t>
            </w:r>
          </w:p>
          <w:p w14:paraId="1993A5B4">
            <w:pPr>
              <w:adjustRightInd w:val="0"/>
              <w:spacing w:line="360" w:lineRule="auto"/>
              <w:ind w:firstLine="1140" w:firstLineChars="475"/>
              <w:jc w:val="both"/>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Qr—循环冷却水量，63m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/h；</w:t>
            </w:r>
          </w:p>
          <w:p w14:paraId="29D3D1AB">
            <w:pPr>
              <w:adjustRightInd w:val="0"/>
              <w:spacing w:line="360" w:lineRule="auto"/>
              <w:ind w:firstLine="1140" w:firstLineChars="475"/>
              <w:jc w:val="both"/>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△t—循环冷却水进、出冷却塔温差（℃），取值5；</w:t>
            </w:r>
          </w:p>
          <w:p w14:paraId="071BFE2A">
            <w:pPr>
              <w:adjustRightInd w:val="0"/>
              <w:spacing w:line="360" w:lineRule="auto"/>
              <w:ind w:firstLine="1140" w:firstLineChars="475"/>
              <w:jc w:val="both"/>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K—蒸发损失系数（1/℃），按照进塔空气温度30℃取值，0.0015；</w:t>
            </w:r>
          </w:p>
          <w:p w14:paraId="0B4C404C">
            <w:pPr>
              <w:adjustRightInd w:val="0"/>
              <w:spacing w:line="360" w:lineRule="auto"/>
              <w:ind w:firstLine="1140" w:firstLineChars="475"/>
              <w:jc w:val="both"/>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N—浓缩系数，开式系统不宜小于5，本次按照5计算；</w:t>
            </w:r>
          </w:p>
          <w:p w14:paraId="4AAC32CB">
            <w:pPr>
              <w:pStyle w:val="29"/>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经计算间接</w:t>
            </w:r>
            <w:r>
              <w:rPr>
                <w:rFonts w:hint="eastAsia" w:cs="Times New Roman"/>
                <w:color w:val="auto"/>
                <w:lang w:val="en-US" w:eastAsia="zh-CN"/>
              </w:rPr>
              <w:t>开式</w:t>
            </w:r>
            <w:r>
              <w:rPr>
                <w:rFonts w:hint="eastAsia" w:ascii="Times New Roman" w:hAnsi="Times New Roman" w:eastAsia="宋体" w:cs="Times New Roman"/>
                <w:color w:val="auto"/>
                <w:lang w:val="en-US" w:eastAsia="zh-CN"/>
              </w:rPr>
              <w:t>循环冷却水系统补水量为</w:t>
            </w:r>
            <w:r>
              <w:rPr>
                <w:rFonts w:hint="eastAsia" w:cs="Times New Roman"/>
                <w:color w:val="auto"/>
                <w:lang w:val="en-US" w:eastAsia="zh-CN"/>
              </w:rPr>
              <w:t>0.59</w:t>
            </w:r>
            <w:r>
              <w:rPr>
                <w:rFonts w:hint="eastAsia" w:ascii="Times New Roman" w:hAnsi="Times New Roman" w:eastAsia="宋体" w:cs="Times New Roman"/>
                <w:color w:val="auto"/>
                <w:lang w:val="en-US" w:eastAsia="zh-CN"/>
              </w:rPr>
              <w:t>m</w:t>
            </w:r>
            <w:r>
              <w:rPr>
                <w:rFonts w:hint="eastAsia" w:ascii="Times New Roman" w:hAnsi="Times New Roman" w:eastAsia="宋体" w:cs="Times New Roman"/>
                <w:color w:val="auto"/>
                <w:vertAlign w:val="superscript"/>
                <w:lang w:val="en-US" w:eastAsia="zh-CN"/>
              </w:rPr>
              <w:t>3</w:t>
            </w:r>
            <w:r>
              <w:rPr>
                <w:rFonts w:hint="eastAsia" w:ascii="Times New Roman" w:hAnsi="Times New Roman" w:eastAsia="宋体" w:cs="Times New Roman"/>
                <w:color w:val="auto"/>
                <w:lang w:val="en-US" w:eastAsia="zh-CN"/>
              </w:rPr>
              <w:t>/h、1</w:t>
            </w:r>
            <w:r>
              <w:rPr>
                <w:rFonts w:hint="eastAsia" w:cs="Times New Roman"/>
                <w:color w:val="auto"/>
                <w:lang w:val="en-US" w:eastAsia="zh-CN"/>
              </w:rPr>
              <w:t>416</w:t>
            </w:r>
            <w:r>
              <w:rPr>
                <w:rFonts w:hint="eastAsia" w:ascii="Times New Roman" w:hAnsi="Times New Roman" w:eastAsia="宋体" w:cs="Times New Roman"/>
                <w:color w:val="auto"/>
                <w:lang w:val="en-US" w:eastAsia="zh-CN"/>
              </w:rPr>
              <w:t>m</w:t>
            </w:r>
            <w:r>
              <w:rPr>
                <w:rFonts w:hint="eastAsia" w:ascii="Times New Roman" w:hAnsi="Times New Roman" w:eastAsia="宋体" w:cs="Times New Roman"/>
                <w:color w:val="auto"/>
                <w:vertAlign w:val="superscript"/>
                <w:lang w:val="en-US" w:eastAsia="zh-CN"/>
              </w:rPr>
              <w:t>3</w:t>
            </w:r>
            <w:r>
              <w:rPr>
                <w:rFonts w:hint="eastAsia" w:ascii="Times New Roman" w:hAnsi="Times New Roman" w:eastAsia="宋体" w:cs="Times New Roman"/>
                <w:color w:val="auto"/>
                <w:lang w:val="en-US" w:eastAsia="zh-CN"/>
              </w:rPr>
              <w:t>/a。</w:t>
            </w:r>
          </w:p>
          <w:p w14:paraId="0013B605">
            <w:pPr>
              <w:ind w:left="0" w:leftChars="0" w:firstLine="0" w:firstLineChars="0"/>
              <w:jc w:val="center"/>
              <w:rPr>
                <w:color w:val="0000FF"/>
              </w:rPr>
            </w:pPr>
            <w:r>
              <w:rPr>
                <w:color w:val="0000FF"/>
              </w:rPr>
              <mc:AlternateContent>
                <mc:Choice Requires="wpg">
                  <w:drawing>
                    <wp:inline distT="0" distB="0" distL="114300" distR="114300">
                      <wp:extent cx="4385310" cy="1584960"/>
                      <wp:effectExtent l="0" t="0" r="15875" b="15240"/>
                      <wp:docPr id="1" name="组合 1"/>
                      <wp:cNvGraphicFramePr/>
                      <a:graphic xmlns:a="http://schemas.openxmlformats.org/drawingml/2006/main">
                        <a:graphicData uri="http://schemas.microsoft.com/office/word/2010/wordprocessingGroup">
                          <wpg:wgp>
                            <wpg:cNvGrpSpPr/>
                            <wpg:grpSpPr>
                              <a:xfrm>
                                <a:off x="0" y="0"/>
                                <a:ext cx="4385382" cy="1585223"/>
                                <a:chOff x="16576" y="199538"/>
                                <a:chExt cx="6846" cy="2497"/>
                              </a:xfrm>
                            </wpg:grpSpPr>
                            <wps:wsp>
                              <wps:cNvPr id="26" name="矩形 5"/>
                              <wps:cNvSpPr/>
                              <wps:spPr>
                                <a:xfrm>
                                  <a:off x="18161" y="200072"/>
                                  <a:ext cx="456" cy="328"/>
                                </a:xfrm>
                                <a:prstGeom prst="rect">
                                  <a:avLst/>
                                </a:prstGeom>
                                <a:solidFill>
                                  <a:srgbClr val="FFFFFF">
                                    <a:alpha val="0"/>
                                  </a:srgbClr>
                                </a:solidFill>
                                <a:ln>
                                  <a:noFill/>
                                </a:ln>
                              </wps:spPr>
                              <wps:txbx>
                                <w:txbxContent>
                                  <w:p w14:paraId="150156E2">
                                    <w:pPr>
                                      <w:rPr>
                                        <w:rFonts w:hint="default" w:eastAsia="宋体"/>
                                        <w:lang w:val="en-US" w:eastAsia="zh-CN"/>
                                      </w:rPr>
                                    </w:pPr>
                                    <w:r>
                                      <w:rPr>
                                        <w:rFonts w:hint="eastAsia"/>
                                        <w:lang w:val="en-US" w:eastAsia="zh-CN"/>
                                      </w:rPr>
                                      <w:t>1.92</w:t>
                                    </w:r>
                                  </w:p>
                                </w:txbxContent>
                              </wps:txbx>
                              <wps:bodyPr wrap="square" lIns="0" tIns="0" rIns="0" bIns="0" upright="1"/>
                            </wps:wsp>
                            <wps:wsp>
                              <wps:cNvPr id="27" name="矩形 6"/>
                              <wps:cNvSpPr/>
                              <wps:spPr>
                                <a:xfrm>
                                  <a:off x="19893" y="200079"/>
                                  <a:ext cx="720" cy="328"/>
                                </a:xfrm>
                                <a:prstGeom prst="rect">
                                  <a:avLst/>
                                </a:prstGeom>
                                <a:solidFill>
                                  <a:srgbClr val="FFFFFF">
                                    <a:alpha val="0"/>
                                  </a:srgbClr>
                                </a:solidFill>
                                <a:ln>
                                  <a:noFill/>
                                </a:ln>
                              </wps:spPr>
                              <wps:txbx>
                                <w:txbxContent>
                                  <w:p w14:paraId="132CD1B8">
                                    <w:pPr>
                                      <w:pStyle w:val="22"/>
                                      <w:bidi w:val="0"/>
                                      <w:jc w:val="both"/>
                                      <w:rPr>
                                        <w:rFonts w:hint="default"/>
                                        <w:lang w:val="en-US" w:eastAsia="zh-CN"/>
                                      </w:rPr>
                                    </w:pPr>
                                    <w:r>
                                      <w:rPr>
                                        <w:rFonts w:hint="eastAsia"/>
                                        <w:lang w:val="en-US" w:eastAsia="zh-CN"/>
                                      </w:rPr>
                                      <w:t>2.15</w:t>
                                    </w:r>
                                  </w:p>
                                </w:txbxContent>
                              </wps:txbx>
                              <wps:bodyPr wrap="square" lIns="0" tIns="0" rIns="0" bIns="0" upright="1"/>
                            </wps:wsp>
                            <wps:wsp>
                              <wps:cNvPr id="28" name="自选图形 8"/>
                              <wps:cNvCnPr/>
                              <wps:spPr>
                                <a:xfrm flipV="1">
                                  <a:off x="18878" y="199683"/>
                                  <a:ext cx="529" cy="395"/>
                                </a:xfrm>
                                <a:prstGeom prst="curvedConnector3">
                                  <a:avLst>
                                    <a:gd name="adj1" fmla="val 50095"/>
                                  </a:avLst>
                                </a:prstGeom>
                                <a:ln w="9525" cap="flat" cmpd="sng">
                                  <a:solidFill>
                                    <a:srgbClr val="000000"/>
                                  </a:solidFill>
                                  <a:prstDash val="dash"/>
                                  <a:headEnd type="none" w="med" len="med"/>
                                  <a:tailEnd type="triangle" w="med" len="med"/>
                                </a:ln>
                              </wps:spPr>
                              <wps:bodyPr/>
                            </wps:wsp>
                            <wps:wsp>
                              <wps:cNvPr id="29" name="矩形 7"/>
                              <wps:cNvSpPr/>
                              <wps:spPr>
                                <a:xfrm>
                                  <a:off x="16576" y="200561"/>
                                  <a:ext cx="1302" cy="324"/>
                                </a:xfrm>
                                <a:prstGeom prst="rect">
                                  <a:avLst/>
                                </a:prstGeom>
                                <a:solidFill>
                                  <a:srgbClr val="FFFFFF">
                                    <a:alpha val="0"/>
                                  </a:srgbClr>
                                </a:solidFill>
                                <a:ln>
                                  <a:noFill/>
                                </a:ln>
                              </wps:spPr>
                              <wps:txbx>
                                <w:txbxContent>
                                  <w:p w14:paraId="550B2949">
                                    <w:pPr>
                                      <w:pStyle w:val="22"/>
                                      <w:bidi w:val="0"/>
                                      <w:rPr>
                                        <w:rFonts w:hint="default"/>
                                        <w:lang w:val="en-US" w:eastAsia="zh-CN"/>
                                      </w:rPr>
                                    </w:pPr>
                                    <w:r>
                                      <w:rPr>
                                        <w:rFonts w:hint="eastAsia"/>
                                      </w:rPr>
                                      <w:t>新鲜水</w:t>
                                    </w:r>
                                    <w:r>
                                      <w:rPr>
                                        <w:rFonts w:hint="eastAsia"/>
                                        <w:lang w:val="en-US" w:eastAsia="zh-CN"/>
                                      </w:rPr>
                                      <w:t>7.25</w:t>
                                    </w:r>
                                  </w:p>
                                </w:txbxContent>
                              </wps:txbx>
                              <wps:bodyPr wrap="square" lIns="0" tIns="0" rIns="0" bIns="0" upright="1"/>
                            </wps:wsp>
                            <wps:wsp>
                              <wps:cNvPr id="30" name="矩形 9"/>
                              <wps:cNvSpPr/>
                              <wps:spPr>
                                <a:xfrm>
                                  <a:off x="18657" y="200082"/>
                                  <a:ext cx="1002" cy="46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462559">
                                    <w:pPr>
                                      <w:pStyle w:val="22"/>
                                      <w:bidi w:val="0"/>
                                    </w:pPr>
                                    <w:r>
                                      <w:rPr>
                                        <w:rFonts w:hint="eastAsia"/>
                                      </w:rPr>
                                      <w:t>员工生活</w:t>
                                    </w:r>
                                  </w:p>
                                </w:txbxContent>
                              </wps:txbx>
                              <wps:bodyPr wrap="square" lIns="0" tIns="45720" rIns="0" bIns="45720" upright="1"/>
                            </wps:wsp>
                            <wps:wsp>
                              <wps:cNvPr id="31" name="矩形 10"/>
                              <wps:cNvSpPr/>
                              <wps:spPr>
                                <a:xfrm>
                                  <a:off x="21891" y="200063"/>
                                  <a:ext cx="1531" cy="4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E426769">
                                    <w:pPr>
                                      <w:pStyle w:val="22"/>
                                      <w:bidi w:val="0"/>
                                    </w:pPr>
                                    <w:r>
                                      <w:t>园区污水处理厂</w:t>
                                    </w:r>
                                  </w:p>
                                </w:txbxContent>
                              </wps:txbx>
                              <wps:bodyPr wrap="square" lIns="0" tIns="45720" rIns="0" bIns="45720" upright="1"/>
                            </wps:wsp>
                            <wps:wsp>
                              <wps:cNvPr id="32" name="自选图形 12"/>
                              <wps:cNvCnPr/>
                              <wps:spPr>
                                <a:xfrm>
                                  <a:off x="17937" y="200300"/>
                                  <a:ext cx="720" cy="0"/>
                                </a:xfrm>
                                <a:prstGeom prst="straightConnector1">
                                  <a:avLst/>
                                </a:prstGeom>
                                <a:ln w="9525" cap="flat" cmpd="sng">
                                  <a:solidFill>
                                    <a:srgbClr val="000000"/>
                                  </a:solidFill>
                                  <a:prstDash val="solid"/>
                                  <a:headEnd type="none" w="med" len="med"/>
                                  <a:tailEnd type="triangle" w="med" len="med"/>
                                </a:ln>
                              </wps:spPr>
                              <wps:bodyPr/>
                            </wps:wsp>
                            <wps:wsp>
                              <wps:cNvPr id="33" name="自选图形 13"/>
                              <wps:cNvCnPr>
                                <a:stCxn id="30" idx="3"/>
                              </wps:cNvCnPr>
                              <wps:spPr>
                                <a:xfrm>
                                  <a:off x="19659" y="200314"/>
                                  <a:ext cx="957" cy="8"/>
                                </a:xfrm>
                                <a:prstGeom prst="straightConnector1">
                                  <a:avLst/>
                                </a:prstGeom>
                                <a:ln w="9525" cap="flat" cmpd="sng">
                                  <a:solidFill>
                                    <a:srgbClr val="000000"/>
                                  </a:solidFill>
                                  <a:prstDash val="solid"/>
                                  <a:headEnd type="none" w="med" len="med"/>
                                  <a:tailEnd type="triangle" w="med" len="med"/>
                                </a:ln>
                              </wps:spPr>
                              <wps:bodyPr/>
                            </wps:wsp>
                            <wps:wsp>
                              <wps:cNvPr id="34" name="自选图形 14"/>
                              <wps:cNvCnPr/>
                              <wps:spPr>
                                <a:xfrm>
                                  <a:off x="21336" y="200299"/>
                                  <a:ext cx="555" cy="0"/>
                                </a:xfrm>
                                <a:prstGeom prst="straightConnector1">
                                  <a:avLst/>
                                </a:prstGeom>
                                <a:ln w="9525" cap="flat" cmpd="sng">
                                  <a:solidFill>
                                    <a:srgbClr val="000000"/>
                                  </a:solidFill>
                                  <a:prstDash val="solid"/>
                                  <a:headEnd type="none" w="med" len="med"/>
                                  <a:tailEnd type="triangle" w="med" len="med"/>
                                </a:ln>
                              </wps:spPr>
                              <wps:bodyPr/>
                            </wps:wsp>
                            <wps:wsp>
                              <wps:cNvPr id="35" name="矩形 11"/>
                              <wps:cNvSpPr/>
                              <wps:spPr>
                                <a:xfrm>
                                  <a:off x="19415" y="199538"/>
                                  <a:ext cx="582" cy="262"/>
                                </a:xfrm>
                                <a:prstGeom prst="rect">
                                  <a:avLst/>
                                </a:prstGeom>
                                <a:solidFill>
                                  <a:srgbClr val="FFFFFF">
                                    <a:alpha val="0"/>
                                  </a:srgbClr>
                                </a:solidFill>
                                <a:ln>
                                  <a:noFill/>
                                </a:ln>
                              </wps:spPr>
                              <wps:txbx>
                                <w:txbxContent>
                                  <w:p w14:paraId="28F18F77">
                                    <w:pPr>
                                      <w:pStyle w:val="22"/>
                                      <w:bidi w:val="0"/>
                                      <w:jc w:val="both"/>
                                      <w:rPr>
                                        <w:rFonts w:hint="default"/>
                                        <w:lang w:val="en-US" w:eastAsia="zh-CN"/>
                                      </w:rPr>
                                    </w:pPr>
                                    <w:r>
                                      <w:rPr>
                                        <w:rFonts w:hint="eastAsia"/>
                                        <w:lang w:val="en-US" w:eastAsia="zh-CN"/>
                                      </w:rPr>
                                      <w:t>0.38</w:t>
                                    </w:r>
                                  </w:p>
                                </w:txbxContent>
                              </wps:txbx>
                              <wps:bodyPr wrap="square" lIns="0" tIns="0" rIns="0" bIns="0" upright="1"/>
                            </wps:wsp>
                            <wps:wsp>
                              <wps:cNvPr id="36" name="矩形 15"/>
                              <wps:cNvSpPr/>
                              <wps:spPr>
                                <a:xfrm>
                                  <a:off x="20616" y="200082"/>
                                  <a:ext cx="720" cy="46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FCD301C">
                                    <w:pPr>
                                      <w:pStyle w:val="22"/>
                                      <w:bidi w:val="0"/>
                                    </w:pPr>
                                    <w:r>
                                      <w:rPr>
                                        <w:rFonts w:hint="eastAsia"/>
                                      </w:rPr>
                                      <w:t>化粪池</w:t>
                                    </w:r>
                                  </w:p>
                                </w:txbxContent>
                              </wps:txbx>
                              <wps:bodyPr wrap="square" lIns="0" tIns="45720" rIns="0" bIns="45720" upright="1"/>
                            </wps:wsp>
                            <wps:wsp>
                              <wps:cNvPr id="37" name="矩形 16"/>
                              <wps:cNvSpPr/>
                              <wps:spPr>
                                <a:xfrm>
                                  <a:off x="21366" y="200060"/>
                                  <a:ext cx="720" cy="328"/>
                                </a:xfrm>
                                <a:prstGeom prst="rect">
                                  <a:avLst/>
                                </a:prstGeom>
                                <a:solidFill>
                                  <a:srgbClr val="FFFFFF">
                                    <a:alpha val="0"/>
                                  </a:srgbClr>
                                </a:solidFill>
                                <a:ln>
                                  <a:noFill/>
                                </a:ln>
                              </wps:spPr>
                              <wps:txbx>
                                <w:txbxContent>
                                  <w:p w14:paraId="7ADFC462">
                                    <w:pPr>
                                      <w:pStyle w:val="22"/>
                                      <w:bidi w:val="0"/>
                                      <w:jc w:val="both"/>
                                      <w:rPr>
                                        <w:rFonts w:hint="default"/>
                                        <w:lang w:val="en-US" w:eastAsia="zh-CN"/>
                                      </w:rPr>
                                    </w:pPr>
                                    <w:r>
                                      <w:rPr>
                                        <w:rFonts w:hint="eastAsia"/>
                                        <w:lang w:val="en-US" w:eastAsia="zh-CN"/>
                                      </w:rPr>
                                      <w:t>2.15</w:t>
                                    </w:r>
                                  </w:p>
                                </w:txbxContent>
                              </wps:txbx>
                              <wps:bodyPr wrap="square" lIns="0" tIns="0" rIns="0" bIns="0" upright="1"/>
                            </wps:wsp>
                            <wps:wsp>
                              <wps:cNvPr id="42" name="自选图形 23"/>
                              <wps:cNvCnPr/>
                              <wps:spPr>
                                <a:xfrm flipH="1">
                                  <a:off x="16974" y="200920"/>
                                  <a:ext cx="962" cy="0"/>
                                </a:xfrm>
                                <a:prstGeom prst="straightConnector1">
                                  <a:avLst/>
                                </a:prstGeom>
                                <a:ln w="9525" cap="flat" cmpd="sng">
                                  <a:solidFill>
                                    <a:srgbClr val="000000"/>
                                  </a:solidFill>
                                  <a:prstDash val="solid"/>
                                  <a:headEnd type="none" w="med" len="med"/>
                                  <a:tailEnd type="none" w="med" len="med"/>
                                </a:ln>
                              </wps:spPr>
                              <wps:bodyPr/>
                            </wps:wsp>
                            <wps:wsp>
                              <wps:cNvPr id="40" name="矩形 20"/>
                              <wps:cNvSpPr/>
                              <wps:spPr>
                                <a:xfrm>
                                  <a:off x="18696" y="201197"/>
                                  <a:ext cx="2099" cy="46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1EF81">
                                    <w:pPr>
                                      <w:pStyle w:val="22"/>
                                      <w:bidi w:val="0"/>
                                      <w:rPr>
                                        <w:rFonts w:hint="default"/>
                                        <w:lang w:val="en-US" w:eastAsia="zh-CN"/>
                                      </w:rPr>
                                    </w:pPr>
                                    <w:r>
                                      <w:rPr>
                                        <w:rFonts w:hint="eastAsia"/>
                                        <w:lang w:val="en-US" w:eastAsia="zh-CN"/>
                                      </w:rPr>
                                      <w:t>间接循环冷却水系统</w:t>
                                    </w:r>
                                  </w:p>
                                </w:txbxContent>
                              </wps:txbx>
                              <wps:bodyPr wrap="square" lIns="0" tIns="45720" rIns="0" bIns="45720" upright="1"/>
                            </wps:wsp>
                            <wps:wsp>
                              <wps:cNvPr id="64" name="自选图形 24"/>
                              <wps:cNvCnPr/>
                              <wps:spPr>
                                <a:xfrm>
                                  <a:off x="17921" y="201423"/>
                                  <a:ext cx="760" cy="5"/>
                                </a:xfrm>
                                <a:prstGeom prst="straightConnector1">
                                  <a:avLst/>
                                </a:prstGeom>
                                <a:ln w="9525" cap="flat" cmpd="sng">
                                  <a:solidFill>
                                    <a:srgbClr val="000000"/>
                                  </a:solidFill>
                                  <a:prstDash val="solid"/>
                                  <a:headEnd type="none" w="med" len="med"/>
                                  <a:tailEnd type="triangle" w="med" len="med"/>
                                </a:ln>
                              </wps:spPr>
                              <wps:bodyPr/>
                            </wps:wsp>
                            <wps:wsp>
                              <wps:cNvPr id="67" name="自选图形 8"/>
                              <wps:cNvCnPr/>
                              <wps:spPr>
                                <a:xfrm flipV="1">
                                  <a:off x="19676" y="200915"/>
                                  <a:ext cx="508" cy="259"/>
                                </a:xfrm>
                                <a:prstGeom prst="curvedConnector3">
                                  <a:avLst>
                                    <a:gd name="adj1" fmla="val 45364"/>
                                  </a:avLst>
                                </a:prstGeom>
                                <a:ln w="9525" cap="flat" cmpd="sng">
                                  <a:solidFill>
                                    <a:srgbClr val="000000"/>
                                  </a:solidFill>
                                  <a:prstDash val="dash"/>
                                  <a:headEnd type="none" w="med" len="med"/>
                                  <a:tailEnd type="triangle" w="med" len="med"/>
                                </a:ln>
                              </wps:spPr>
                              <wps:bodyPr/>
                            </wps:wsp>
                            <wps:wsp>
                              <wps:cNvPr id="89" name="矩形 22"/>
                              <wps:cNvSpPr/>
                              <wps:spPr>
                                <a:xfrm>
                                  <a:off x="20210" y="200725"/>
                                  <a:ext cx="577" cy="328"/>
                                </a:xfrm>
                                <a:prstGeom prst="rect">
                                  <a:avLst/>
                                </a:prstGeom>
                                <a:solidFill>
                                  <a:srgbClr val="FFFFFF">
                                    <a:alpha val="0"/>
                                  </a:srgbClr>
                                </a:solidFill>
                                <a:ln>
                                  <a:noFill/>
                                </a:ln>
                              </wps:spPr>
                              <wps:txbx>
                                <w:txbxContent>
                                  <w:p w14:paraId="7DF04BD4">
                                    <w:pPr>
                                      <w:pStyle w:val="22"/>
                                      <w:bidi w:val="0"/>
                                      <w:rPr>
                                        <w:rFonts w:hint="default"/>
                                        <w:lang w:val="en-US" w:eastAsia="zh-CN"/>
                                      </w:rPr>
                                    </w:pPr>
                                    <w:r>
                                      <w:rPr>
                                        <w:rFonts w:hint="eastAsia"/>
                                        <w:lang w:val="en-US" w:eastAsia="zh-CN"/>
                                      </w:rPr>
                                      <w:t>4.72</w:t>
                                    </w:r>
                                  </w:p>
                                </w:txbxContent>
                              </wps:txbx>
                              <wps:bodyPr wrap="square" lIns="0" tIns="0" rIns="0" bIns="0" upright="1"/>
                            </wps:wsp>
                            <wps:wsp>
                              <wps:cNvPr id="101" name="自选图形 25"/>
                              <wps:cNvCnPr/>
                              <wps:spPr>
                                <a:xfrm flipH="1">
                                  <a:off x="20796" y="201458"/>
                                  <a:ext cx="958" cy="10"/>
                                </a:xfrm>
                                <a:prstGeom prst="straightConnector1">
                                  <a:avLst/>
                                </a:prstGeom>
                                <a:ln w="9525" cap="flat" cmpd="sng">
                                  <a:solidFill>
                                    <a:srgbClr val="000000"/>
                                  </a:solidFill>
                                  <a:prstDash val="dash"/>
                                  <a:headEnd type="none" w="med" len="med"/>
                                  <a:tailEnd type="none" w="med" len="med"/>
                                </a:ln>
                              </wps:spPr>
                              <wps:bodyPr/>
                            </wps:wsp>
                            <wps:wsp>
                              <wps:cNvPr id="102" name="自选图形 25"/>
                              <wps:cNvCnPr/>
                              <wps:spPr>
                                <a:xfrm flipH="1">
                                  <a:off x="19583" y="202023"/>
                                  <a:ext cx="2161" cy="6"/>
                                </a:xfrm>
                                <a:prstGeom prst="straightConnector1">
                                  <a:avLst/>
                                </a:prstGeom>
                                <a:ln w="9525" cap="flat" cmpd="sng">
                                  <a:solidFill>
                                    <a:srgbClr val="000000"/>
                                  </a:solidFill>
                                  <a:prstDash val="dash"/>
                                  <a:headEnd type="none" w="med" len="med"/>
                                  <a:tailEnd type="none" w="med" len="med"/>
                                </a:ln>
                              </wps:spPr>
                              <wps:bodyPr/>
                            </wps:wsp>
                            <wps:wsp>
                              <wps:cNvPr id="103" name="自选图形 25"/>
                              <wps:cNvCnPr/>
                              <wps:spPr>
                                <a:xfrm flipH="1" flipV="1">
                                  <a:off x="21734" y="201434"/>
                                  <a:ext cx="13" cy="525"/>
                                </a:xfrm>
                                <a:prstGeom prst="straightConnector1">
                                  <a:avLst/>
                                </a:prstGeom>
                                <a:ln w="9525" cap="flat" cmpd="sng">
                                  <a:solidFill>
                                    <a:srgbClr val="000000"/>
                                  </a:solidFill>
                                  <a:prstDash val="dash"/>
                                  <a:headEnd type="none" w="med" len="med"/>
                                  <a:tailEnd type="none" w="med" len="med"/>
                                </a:ln>
                              </wps:spPr>
                              <wps:bodyPr/>
                            </wps:wsp>
                            <wps:wsp>
                              <wps:cNvPr id="113" name="自选图形 26"/>
                              <wps:cNvCnPr/>
                              <wps:spPr>
                                <a:xfrm flipH="1" flipV="1">
                                  <a:off x="19576" y="201671"/>
                                  <a:ext cx="4" cy="364"/>
                                </a:xfrm>
                                <a:prstGeom prst="straightConnector1">
                                  <a:avLst/>
                                </a:prstGeom>
                                <a:ln w="9525" cap="flat" cmpd="sng">
                                  <a:solidFill>
                                    <a:srgbClr val="000000"/>
                                  </a:solidFill>
                                  <a:prstDash val="dash"/>
                                  <a:headEnd type="none" w="med" len="med"/>
                                  <a:tailEnd type="triangle" w="med" len="med"/>
                                </a:ln>
                              </wps:spPr>
                              <wps:bodyPr/>
                            </wps:wsp>
                            <wps:wsp>
                              <wps:cNvPr id="115" name="矩形 22"/>
                              <wps:cNvSpPr/>
                              <wps:spPr>
                                <a:xfrm>
                                  <a:off x="20888" y="201155"/>
                                  <a:ext cx="577" cy="328"/>
                                </a:xfrm>
                                <a:prstGeom prst="rect">
                                  <a:avLst/>
                                </a:prstGeom>
                                <a:solidFill>
                                  <a:srgbClr val="FFFFFF">
                                    <a:alpha val="0"/>
                                  </a:srgbClr>
                                </a:solidFill>
                                <a:ln>
                                  <a:noFill/>
                                </a:ln>
                              </wps:spPr>
                              <wps:txbx>
                                <w:txbxContent>
                                  <w:p w14:paraId="5490F8F4">
                                    <w:pPr>
                                      <w:pStyle w:val="22"/>
                                      <w:bidi w:val="0"/>
                                      <w:rPr>
                                        <w:rFonts w:hint="default"/>
                                        <w:lang w:val="en-US" w:eastAsia="zh-CN"/>
                                      </w:rPr>
                                    </w:pPr>
                                    <w:r>
                                      <w:rPr>
                                        <w:rFonts w:hint="eastAsia"/>
                                        <w:lang w:val="en-US" w:eastAsia="zh-CN"/>
                                      </w:rPr>
                                      <w:t>504</w:t>
                                    </w:r>
                                  </w:p>
                                </w:txbxContent>
                              </wps:txbx>
                              <wps:bodyPr wrap="square" lIns="0" tIns="0" rIns="0" bIns="0" upright="1"/>
                            </wps:wsp>
                            <wps:wsp>
                              <wps:cNvPr id="11" name="矩形 6"/>
                              <wps:cNvSpPr/>
                              <wps:spPr>
                                <a:xfrm>
                                  <a:off x="18023" y="201096"/>
                                  <a:ext cx="487" cy="328"/>
                                </a:xfrm>
                                <a:prstGeom prst="rect">
                                  <a:avLst/>
                                </a:prstGeom>
                                <a:solidFill>
                                  <a:srgbClr val="FFFFFF">
                                    <a:alpha val="0"/>
                                  </a:srgbClr>
                                </a:solidFill>
                                <a:ln>
                                  <a:noFill/>
                                </a:ln>
                              </wps:spPr>
                              <wps:txbx>
                                <w:txbxContent>
                                  <w:p w14:paraId="1D8C97A8">
                                    <w:pPr>
                                      <w:pStyle w:val="22"/>
                                      <w:bidi w:val="0"/>
                                      <w:jc w:val="both"/>
                                      <w:rPr>
                                        <w:rFonts w:hint="default"/>
                                        <w:lang w:val="en-US" w:eastAsia="zh-CN"/>
                                      </w:rPr>
                                    </w:pPr>
                                    <w:r>
                                      <w:rPr>
                                        <w:rFonts w:hint="eastAsia"/>
                                        <w:lang w:val="en-US" w:eastAsia="zh-CN"/>
                                      </w:rPr>
                                      <w:t>4.72</w:t>
                                    </w:r>
                                  </w:p>
                                </w:txbxContent>
                              </wps:txbx>
                              <wps:bodyPr wrap="square" lIns="0" tIns="0" rIns="0" bIns="0" upright="1"/>
                            </wps:wsp>
                            <wps:wsp>
                              <wps:cNvPr id="15" name="自选图形 23"/>
                              <wps:cNvCnPr/>
                              <wps:spPr>
                                <a:xfrm>
                                  <a:off x="17926" y="200302"/>
                                  <a:ext cx="0" cy="1126"/>
                                </a:xfrm>
                                <a:prstGeom prst="straightConnector1">
                                  <a:avLst/>
                                </a:prstGeom>
                                <a:ln w="9525" cap="flat" cmpd="sng">
                                  <a:solidFill>
                                    <a:srgbClr val="000000"/>
                                  </a:solidFill>
                                  <a:prstDash val="solid"/>
                                  <a:headEnd type="none" w="med" len="med"/>
                                  <a:tailEnd type="none" w="med" len="med"/>
                                </a:ln>
                              </wps:spPr>
                              <wps:bodyPr/>
                            </wps:wsp>
                            <wps:wsp>
                              <wps:cNvPr id="17" name="矩形 6"/>
                              <wps:cNvSpPr/>
                              <wps:spPr>
                                <a:xfrm>
                                  <a:off x="18002" y="199975"/>
                                  <a:ext cx="487" cy="328"/>
                                </a:xfrm>
                                <a:prstGeom prst="rect">
                                  <a:avLst/>
                                </a:prstGeom>
                                <a:solidFill>
                                  <a:srgbClr val="FFFFFF">
                                    <a:alpha val="0"/>
                                  </a:srgbClr>
                                </a:solidFill>
                                <a:ln>
                                  <a:noFill/>
                                </a:ln>
                              </wps:spPr>
                              <wps:txbx>
                                <w:txbxContent>
                                  <w:p w14:paraId="0BE1A1C9">
                                    <w:pPr>
                                      <w:pStyle w:val="22"/>
                                      <w:bidi w:val="0"/>
                                      <w:jc w:val="both"/>
                                      <w:rPr>
                                        <w:rFonts w:hint="default"/>
                                        <w:lang w:val="en-US" w:eastAsia="zh-CN"/>
                                      </w:rPr>
                                    </w:pPr>
                                    <w:r>
                                      <w:rPr>
                                        <w:rFonts w:hint="eastAsia"/>
                                        <w:lang w:val="en-US" w:eastAsia="zh-CN"/>
                                      </w:rPr>
                                      <w:t>2.53</w:t>
                                    </w:r>
                                  </w:p>
                                </w:txbxContent>
                              </wps:txbx>
                              <wps:bodyPr wrap="square" lIns="0" tIns="0" rIns="0" bIns="0" upright="1"/>
                            </wps:wsp>
                          </wpg:wgp>
                        </a:graphicData>
                      </a:graphic>
                    </wp:inline>
                  </w:drawing>
                </mc:Choice>
                <mc:Fallback>
                  <w:pict>
                    <v:group id="_x0000_s1026" o:spid="_x0000_s1026" o:spt="203" style="height:124.8pt;width:345.3pt;" coordorigin="16576,199538" coordsize="6846,2497" o:gfxdata="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">
                      <o:lock v:ext="edit" aspectratio="f"/>
                      <v:rect id="矩形 5" o:spid="_x0000_s1026" o:spt="1" style="position:absolute;left:18161;top:200072;height:328;width:456;" fillcolor="#FFFFFF" filled="t" stroked="f" coordsize="21600,21600" o:gfxdata="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dWQrbsAAADb&#10;AAAADwAAAAAAAAABACAAAAAiAAAAZHJzL2Rvd25yZXYueG1sUEsBAhQAFAAAAAgAh07iQDMvBZ47&#10;AAAAOQAAABAAAAAAAAAAAQAgAAAACgEAAGRycy9zaGFwZXhtbC54bWxQSwUGAAAAAAYABgBbAQAA&#10;tAMAAAAA&#10;">
                        <v:fill on="t" opacity="0f" focussize="0,0"/>
                        <v:stroke on="f"/>
                        <v:imagedata o:title=""/>
                        <o:lock v:ext="edit" aspectratio="f"/>
                        <v:textbox inset="0mm,0mm,0mm,0mm">
                          <w:txbxContent>
                            <w:p w14:paraId="150156E2">
                              <w:pPr>
                                <w:rPr>
                                  <w:rFonts w:hint="default" w:eastAsia="宋体"/>
                                  <w:lang w:val="en-US" w:eastAsia="zh-CN"/>
                                </w:rPr>
                              </w:pPr>
                              <w:r>
                                <w:rPr>
                                  <w:rFonts w:hint="eastAsia"/>
                                  <w:lang w:val="en-US" w:eastAsia="zh-CN"/>
                                </w:rPr>
                                <w:t>1.92</w:t>
                              </w:r>
                            </w:p>
                          </w:txbxContent>
                        </v:textbox>
                      </v:rect>
                      <v:rect id="矩形 6" o:spid="_x0000_s1026" o:spt="1" style="position:absolute;left:19893;top:200079;height:328;width:720;" fillcolor="#FFFFFF" filled="t" stroked="f" coordsize="21600,21600" o:gfxdata="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KZNTa8AAAA&#10;2wAAAA8AAAAAAAAAAQAgAAAAIgAAAGRycy9kb3ducmV2LnhtbFBLAQIUABQAAAAIAIdO4kAzLwWe&#10;OwAAADkAAAAQAAAAAAAAAAEAIAAAAAsBAABkcnMvc2hhcGV4bWwueG1sUEsFBgAAAAAGAAYAWwEA&#10;ALUDAAAAAA==&#10;">
                        <v:fill on="t" opacity="0f" focussize="0,0"/>
                        <v:stroke on="f"/>
                        <v:imagedata o:title=""/>
                        <o:lock v:ext="edit" aspectratio="f"/>
                        <v:textbox inset="0mm,0mm,0mm,0mm">
                          <w:txbxContent>
                            <w:p w14:paraId="132CD1B8">
                              <w:pPr>
                                <w:pStyle w:val="22"/>
                                <w:bidi w:val="0"/>
                                <w:jc w:val="both"/>
                                <w:rPr>
                                  <w:rFonts w:hint="default"/>
                                  <w:lang w:val="en-US" w:eastAsia="zh-CN"/>
                                </w:rPr>
                              </w:pPr>
                              <w:r>
                                <w:rPr>
                                  <w:rFonts w:hint="eastAsia"/>
                                  <w:lang w:val="en-US" w:eastAsia="zh-CN"/>
                                </w:rPr>
                                <w:t>2.15</w:t>
                              </w:r>
                            </w:p>
                          </w:txbxContent>
                        </v:textbox>
                      </v:rect>
                      <v:shape id="自选图形 8" o:spid="_x0000_s1026" o:spt="38" type="#_x0000_t38" style="position:absolute;left:18878;top:199683;flip:y;height:395;width:529;" filled="f" stroked="t" coordsize="21600,21600" o:gfxdata="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lbnirsAAADb&#10;AAAADwAAAAAAAAABACAAAAAiAAAAZHJzL2Rvd25yZXYueG1sUEsBAhQAFAAAAAgAh07iQDMvBZ47&#10;AAAAOQAAABAAAAAAAAAAAQAgAAAACgEAAGRycy9zaGFwZXhtbC54bWxQSwUGAAAAAAYABgBbAQAA&#10;tAMAAAAA&#10;" adj="10821">
                        <v:fill on="f" focussize="0,0"/>
                        <v:stroke color="#000000" joinstyle="round" dashstyle="dash" endarrow="block"/>
                        <v:imagedata o:title=""/>
                        <o:lock v:ext="edit" aspectratio="f"/>
                      </v:shape>
                      <v:rect id="矩形 7" o:spid="_x0000_s1026" o:spt="1" style="position:absolute;left:16576;top:200561;height:324;width:1302;" fillcolor="#FFFFFF" filled="t" stroked="f" coordsize="21600,21600" o:gfxdata="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SgTfvQAA&#10;ANsAAAAPAAAAAAAAAAEAIAAAACIAAABkcnMvZG93bnJldi54bWxQSwECFAAUAAAACACHTuJAMy8F&#10;njsAAAA5AAAAEAAAAAAAAAABACAAAAAMAQAAZHJzL3NoYXBleG1sLnhtbFBLBQYAAAAABgAGAFsB&#10;AAC2AwAAAAA=&#10;">
                        <v:fill on="t" opacity="0f" focussize="0,0"/>
                        <v:stroke on="f"/>
                        <v:imagedata o:title=""/>
                        <o:lock v:ext="edit" aspectratio="f"/>
                        <v:textbox inset="0mm,0mm,0mm,0mm">
                          <w:txbxContent>
                            <w:p w14:paraId="550B2949">
                              <w:pPr>
                                <w:pStyle w:val="22"/>
                                <w:bidi w:val="0"/>
                                <w:rPr>
                                  <w:rFonts w:hint="default"/>
                                  <w:lang w:val="en-US" w:eastAsia="zh-CN"/>
                                </w:rPr>
                              </w:pPr>
                              <w:r>
                                <w:rPr>
                                  <w:rFonts w:hint="eastAsia"/>
                                </w:rPr>
                                <w:t>新鲜水</w:t>
                              </w:r>
                              <w:r>
                                <w:rPr>
                                  <w:rFonts w:hint="eastAsia"/>
                                  <w:lang w:val="en-US" w:eastAsia="zh-CN"/>
                                </w:rPr>
                                <w:t>7.25</w:t>
                              </w:r>
                            </w:p>
                          </w:txbxContent>
                        </v:textbox>
                      </v:rect>
                      <v:rect id="矩形 9" o:spid="_x0000_s1026" o:spt="1" style="position:absolute;left:18657;top:200082;height:462;width:1002;" fillcolor="#FFFFFF" filled="t" stroked="t" coordsize="21600,21600" o:gfxdata="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O06+bgAAADbAAAA&#10;DwAAAAAAAAABACAAAAAiAAAAZHJzL2Rvd25yZXYueG1sUEsBAhQAFAAAAAgAh07iQDMvBZ47AAAA&#10;OQAAABAAAAAAAAAAAQAgAAAABwEAAGRycy9zaGFwZXhtbC54bWxQSwUGAAAAAAYABgBbAQAAsQMA&#10;AAAA&#10;">
                        <v:fill on="t" focussize="0,0"/>
                        <v:stroke color="#000000" joinstyle="miter"/>
                        <v:imagedata o:title=""/>
                        <o:lock v:ext="edit" aspectratio="f"/>
                        <v:textbox inset="0mm,1.27mm,0mm,1.27mm">
                          <w:txbxContent>
                            <w:p w14:paraId="79462559">
                              <w:pPr>
                                <w:pStyle w:val="22"/>
                                <w:bidi w:val="0"/>
                              </w:pPr>
                              <w:r>
                                <w:rPr>
                                  <w:rFonts w:hint="eastAsia"/>
                                </w:rPr>
                                <w:t>员工生活</w:t>
                              </w:r>
                            </w:p>
                          </w:txbxContent>
                        </v:textbox>
                      </v:rect>
                      <v:rect id="矩形 10" o:spid="_x0000_s1026" o:spt="1" style="position:absolute;left:21891;top:200063;height:445;width:1531;" fillcolor="#FFFFFF" filled="t" stroked="t" coordsize="21600,21600" o:gfxdata="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6GfY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0mm,1.27mm,0mm,1.27mm">
                          <w:txbxContent>
                            <w:p w14:paraId="6E426769">
                              <w:pPr>
                                <w:pStyle w:val="22"/>
                                <w:bidi w:val="0"/>
                              </w:pPr>
                              <w:r>
                                <w:t>园区污水处理厂</w:t>
                              </w:r>
                            </w:p>
                          </w:txbxContent>
                        </v:textbox>
                      </v:rect>
                      <v:shape id="自选图形 12" o:spid="_x0000_s1026" o:spt="32" type="#_x0000_t32" style="position:absolute;left:17937;top:200300;height:0;width:720;" filled="f" stroked="t" coordsize="21600,21600" o:gfxdata="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6eOd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自选图形 13" o:spid="_x0000_s1026" o:spt="32" type="#_x0000_t32" style="position:absolute;left:19659;top:200314;height:8;width:957;" filled="f" stroked="t" coordsize="21600,21600" o:gfxdata="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Osr7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自选图形 14" o:spid="_x0000_s1026" o:spt="32" type="#_x0000_t32" style="position:absolute;left:21336;top:200299;height:0;width:555;" filled="f" stroked="t" coordsize="21600,21600" o:gfxdata="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wKzm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ect id="矩形 11" o:spid="_x0000_s1026" o:spt="1" style="position:absolute;left:19415;top:199538;height:262;width:582;" fillcolor="#FFFFFF" filled="t" stroked="f" coordsize="21600,21600" o:gfxdata="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3pgHvQAA&#10;ANsAAAAPAAAAAAAAAAEAIAAAACIAAABkcnMvZG93bnJldi54bWxQSwECFAAUAAAACACHTuJAMy8F&#10;njsAAAA5AAAAEAAAAAAAAAABACAAAAAMAQAAZHJzL3NoYXBleG1sLnhtbFBLBQYAAAAABgAGAFsB&#10;AAC2AwAAAAA=&#10;">
                        <v:fill on="t" opacity="0f" focussize="0,0"/>
                        <v:stroke on="f"/>
                        <v:imagedata o:title=""/>
                        <o:lock v:ext="edit" aspectratio="f"/>
                        <v:textbox inset="0mm,0mm,0mm,0mm">
                          <w:txbxContent>
                            <w:p w14:paraId="28F18F77">
                              <w:pPr>
                                <w:pStyle w:val="22"/>
                                <w:bidi w:val="0"/>
                                <w:jc w:val="both"/>
                                <w:rPr>
                                  <w:rFonts w:hint="default"/>
                                  <w:lang w:val="en-US" w:eastAsia="zh-CN"/>
                                </w:rPr>
                              </w:pPr>
                              <w:r>
                                <w:rPr>
                                  <w:rFonts w:hint="eastAsia"/>
                                  <w:lang w:val="en-US" w:eastAsia="zh-CN"/>
                                </w:rPr>
                                <w:t>0.38</w:t>
                              </w:r>
                            </w:p>
                          </w:txbxContent>
                        </v:textbox>
                      </v:rect>
                      <v:rect id="矩形 15" o:spid="_x0000_s1026" o:spt="1" style="position:absolute;left:20616;top:200082;height:462;width:720;" fillcolor="#FFFFFF" filled="t" stroked="t" coordsize="21600,21600" o:gfxdata="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EgHF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0mm,1.27mm,0mm,1.27mm">
                          <w:txbxContent>
                            <w:p w14:paraId="4FCD301C">
                              <w:pPr>
                                <w:pStyle w:val="22"/>
                                <w:bidi w:val="0"/>
                              </w:pPr>
                              <w:r>
                                <w:rPr>
                                  <w:rFonts w:hint="eastAsia"/>
                                </w:rPr>
                                <w:t>化粪池</w:t>
                              </w:r>
                            </w:p>
                          </w:txbxContent>
                        </v:textbox>
                      </v:rect>
                      <v:rect id="矩形 16" o:spid="_x0000_s1026" o:spt="1" style="position:absolute;left:21366;top:200060;height:328;width:720;" fillcolor="#FFFFFF" filled="t" stroked="f" coordsize="21600,21600" o:gfxdata="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QKPrvQAA&#10;ANsAAAAPAAAAAAAAAAEAIAAAACIAAABkcnMvZG93bnJldi54bWxQSwECFAAUAAAACACHTuJAMy8F&#10;njsAAAA5AAAAEAAAAAAAAAABACAAAAAMAQAAZHJzL3NoYXBleG1sLnhtbFBLBQYAAAAABgAGAFsB&#10;AAC2AwAAAAA=&#10;">
                        <v:fill on="t" opacity="0f" focussize="0,0"/>
                        <v:stroke on="f"/>
                        <v:imagedata o:title=""/>
                        <o:lock v:ext="edit" aspectratio="f"/>
                        <v:textbox inset="0mm,0mm,0mm,0mm">
                          <w:txbxContent>
                            <w:p w14:paraId="7ADFC462">
                              <w:pPr>
                                <w:pStyle w:val="22"/>
                                <w:bidi w:val="0"/>
                                <w:jc w:val="both"/>
                                <w:rPr>
                                  <w:rFonts w:hint="default"/>
                                  <w:lang w:val="en-US" w:eastAsia="zh-CN"/>
                                </w:rPr>
                              </w:pPr>
                              <w:r>
                                <w:rPr>
                                  <w:rFonts w:hint="eastAsia"/>
                                  <w:lang w:val="en-US" w:eastAsia="zh-CN"/>
                                </w:rPr>
                                <w:t>2.15</w:t>
                              </w:r>
                            </w:p>
                          </w:txbxContent>
                        </v:textbox>
                      </v:rect>
                      <v:shape id="自选图形 23" o:spid="_x0000_s1026" o:spt="32" type="#_x0000_t32" style="position:absolute;left:16974;top:200920;flip:x;height:0;width:962;" filled="f" stroked="t" coordsize="21600,21600" o:gfxdata="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xHZBi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rect id="矩形 20" o:spid="_x0000_s1026" o:spt="1" style="position:absolute;left:18696;top:201197;height:462;width:2099;" fillcolor="#FFFFFF" filled="t" stroked="t" coordsize="21600,21600" o:gfxdata="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OtJhLgAAADbAAAA&#10;DwAAAAAAAAABACAAAAAiAAAAZHJzL2Rvd25yZXYueG1sUEsBAhQAFAAAAAgAh07iQDMvBZ47AAAA&#10;OQAAABAAAAAAAAAAAQAgAAAABwEAAGRycy9zaGFwZXhtbC54bWxQSwUGAAAAAAYABgBbAQAAsQMA&#10;AAAA&#10;">
                        <v:fill on="t" focussize="0,0"/>
                        <v:stroke color="#000000" joinstyle="miter"/>
                        <v:imagedata o:title=""/>
                        <o:lock v:ext="edit" aspectratio="f"/>
                        <v:textbox inset="0mm,1.27mm,0mm,1.27mm">
                          <w:txbxContent>
                            <w:p w14:paraId="7761EF81">
                              <w:pPr>
                                <w:pStyle w:val="22"/>
                                <w:bidi w:val="0"/>
                                <w:rPr>
                                  <w:rFonts w:hint="default"/>
                                  <w:lang w:val="en-US" w:eastAsia="zh-CN"/>
                                </w:rPr>
                              </w:pPr>
                              <w:r>
                                <w:rPr>
                                  <w:rFonts w:hint="eastAsia"/>
                                  <w:lang w:val="en-US" w:eastAsia="zh-CN"/>
                                </w:rPr>
                                <w:t>间接循环冷却水系统</w:t>
                              </w:r>
                            </w:p>
                          </w:txbxContent>
                        </v:textbox>
                      </v:rect>
                      <v:shape id="自选图形 24" o:spid="_x0000_s1026" o:spt="32" type="#_x0000_t32" style="position:absolute;left:17921;top:201423;height:5;width:760;" filled="f" stroked="t" coordsize="21600,21600" o:gfxdata="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ixnIS/&#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shape id="自选图形 8" o:spid="_x0000_s1026" o:spt="38" type="#_x0000_t38" style="position:absolute;left:19676;top:200915;flip:y;height:259;width:508;" filled="f" stroked="t" coordsize="21600,21600" o:gfxdata="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A/Cuu8AAAA&#10;2wAAAA8AAAAAAAAAAQAgAAAAIgAAAGRycy9kb3ducmV2LnhtbFBLAQIUABQAAAAIAIdO4kAzLwWe&#10;OwAAADkAAAAQAAAAAAAAAAEAIAAAAAsBAABkcnMvc2hhcGV4bWwueG1sUEsFBgAAAAAGAAYAWwEA&#10;ALUDAAAAAA==&#10;" adj="9799">
                        <v:fill on="f" focussize="0,0"/>
                        <v:stroke color="#000000" joinstyle="round" dashstyle="dash" endarrow="block"/>
                        <v:imagedata o:title=""/>
                        <o:lock v:ext="edit" aspectratio="f"/>
                      </v:shape>
                      <v:rect id="矩形 22" o:spid="_x0000_s1026" o:spt="1" style="position:absolute;left:20210;top:200725;height:328;width:577;" fillcolor="#FFFFFF" filled="t" stroked="f" coordsize="21600,21600" o:gfxdata="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ixb5bsAAADb&#10;AAAADwAAAAAAAAABACAAAAAiAAAAZHJzL2Rvd25yZXYueG1sUEsBAhQAFAAAAAgAh07iQDMvBZ47&#10;AAAAOQAAABAAAAAAAAAAAQAgAAAACgEAAGRycy9zaGFwZXhtbC54bWxQSwUGAAAAAAYABgBbAQAA&#10;tAMAAAAA&#10;">
                        <v:fill on="t" opacity="0f" focussize="0,0"/>
                        <v:stroke on="f"/>
                        <v:imagedata o:title=""/>
                        <o:lock v:ext="edit" aspectratio="f"/>
                        <v:textbox inset="0mm,0mm,0mm,0mm">
                          <w:txbxContent>
                            <w:p w14:paraId="7DF04BD4">
                              <w:pPr>
                                <w:pStyle w:val="22"/>
                                <w:bidi w:val="0"/>
                                <w:rPr>
                                  <w:rFonts w:hint="default"/>
                                  <w:lang w:val="en-US" w:eastAsia="zh-CN"/>
                                </w:rPr>
                              </w:pPr>
                              <w:r>
                                <w:rPr>
                                  <w:rFonts w:hint="eastAsia"/>
                                  <w:lang w:val="en-US" w:eastAsia="zh-CN"/>
                                </w:rPr>
                                <w:t>4.72</w:t>
                              </w:r>
                            </w:p>
                          </w:txbxContent>
                        </v:textbox>
                      </v:rect>
                      <v:shape id="自选图形 25" o:spid="_x0000_s1026" o:spt="32" type="#_x0000_t32" style="position:absolute;left:20796;top:201458;flip:x;height:10;width:958;" filled="f" stroked="t" coordsize="21600,21600" o:gfxdata="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UVTivQAA&#10;ANwAAAAPAAAAAAAAAAEAIAAAACIAAABkcnMvZG93bnJldi54bWxQSwECFAAUAAAACACHTuJAMy8F&#10;njsAAAA5AAAAEAAAAAAAAAABACAAAAAMAQAAZHJzL3NoYXBleG1sLnhtbFBLBQYAAAAABgAGAFsB&#10;AAC2AwAAAAA=&#10;">
                        <v:fill on="f" focussize="0,0"/>
                        <v:stroke color="#000000" joinstyle="round" dashstyle="dash"/>
                        <v:imagedata o:title=""/>
                        <o:lock v:ext="edit" aspectratio="f"/>
                      </v:shape>
                      <v:shape id="自选图形 25" o:spid="_x0000_s1026" o:spt="32" type="#_x0000_t32" style="position:absolute;left:19583;top:202023;flip:x;height:6;width:2161;" filled="f" stroked="t" coordsize="21600,21600" o:gfxdata="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g8qVvQAA&#10;ANwAAAAPAAAAAAAAAAEAIAAAACIAAABkcnMvZG93bnJldi54bWxQSwECFAAUAAAACACHTuJAMy8F&#10;njsAAAA5AAAAEAAAAAAAAAABACAAAAAMAQAAZHJzL3NoYXBleG1sLnhtbFBLBQYAAAAABgAGAFsB&#10;AAC2AwAAAAA=&#10;">
                        <v:fill on="f" focussize="0,0"/>
                        <v:stroke color="#000000" joinstyle="round" dashstyle="dash"/>
                        <v:imagedata o:title=""/>
                        <o:lock v:ext="edit" aspectratio="f"/>
                      </v:shape>
                      <v:shape id="自选图形 25" o:spid="_x0000_s1026" o:spt="32" type="#_x0000_t32" style="position:absolute;left:21734;top:201434;flip:x y;height:525;width:13;" filled="f" stroked="t" coordsize="21600,21600" o:gfxdata="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XRTK5AAAA3AAA&#10;AA8AAAAAAAAAAQAgAAAAIgAAAGRycy9kb3ducmV2LnhtbFBLAQIUABQAAAAIAIdO4kAzLwWeOwAA&#10;ADkAAAAQAAAAAAAAAAEAIAAAAAgBAABkcnMvc2hhcGV4bWwueG1sUEsFBgAAAAAGAAYAWwEAALID&#10;AAAAAA==&#10;">
                        <v:fill on="f" focussize="0,0"/>
                        <v:stroke color="#000000" joinstyle="round" dashstyle="dash"/>
                        <v:imagedata o:title=""/>
                        <o:lock v:ext="edit" aspectratio="f"/>
                      </v:shape>
                      <v:shape id="自选图形 26" o:spid="_x0000_s1026" o:spt="32" type="#_x0000_t32" style="position:absolute;left:19576;top:201671;flip:x y;height:364;width:4;" filled="f" stroked="t" coordsize="21600,21600" o:gfxdata="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plhFLsAAADc&#10;AAAADwAAAAAAAAABACAAAAAiAAAAZHJzL2Rvd25yZXYueG1sUEsBAhQAFAAAAAgAh07iQDMvBZ47&#10;AAAAOQAAABAAAAAAAAAAAQAgAAAACgEAAGRycy9zaGFwZXhtbC54bWxQSwUGAAAAAAYABgBbAQAA&#10;tAMAAAAA&#10;">
                        <v:fill on="f" focussize="0,0"/>
                        <v:stroke color="#000000" joinstyle="round" dashstyle="dash" endarrow="block"/>
                        <v:imagedata o:title=""/>
                        <o:lock v:ext="edit" aspectratio="f"/>
                      </v:shape>
                      <v:rect id="矩形 22" o:spid="_x0000_s1026" o:spt="1" style="position:absolute;left:20888;top:201155;height:328;width:577;" fillcolor="#FFFFFF" filled="t" stroked="f" coordsize="21600,21600" o:gfxdata="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PJF47sAAADc&#10;AAAADwAAAAAAAAABACAAAAAiAAAAZHJzL2Rvd25yZXYueG1sUEsBAhQAFAAAAAgAh07iQDMvBZ47&#10;AAAAOQAAABAAAAAAAAAAAQAgAAAACgEAAGRycy9zaGFwZXhtbC54bWxQSwUGAAAAAAYABgBbAQAA&#10;tAMAAAAA&#10;">
                        <v:fill on="t" opacity="0f" focussize="0,0"/>
                        <v:stroke on="f"/>
                        <v:imagedata o:title=""/>
                        <o:lock v:ext="edit" aspectratio="f"/>
                        <v:textbox inset="0mm,0mm,0mm,0mm">
                          <w:txbxContent>
                            <w:p w14:paraId="5490F8F4">
                              <w:pPr>
                                <w:pStyle w:val="22"/>
                                <w:bidi w:val="0"/>
                                <w:rPr>
                                  <w:rFonts w:hint="default"/>
                                  <w:lang w:val="en-US" w:eastAsia="zh-CN"/>
                                </w:rPr>
                              </w:pPr>
                              <w:r>
                                <w:rPr>
                                  <w:rFonts w:hint="eastAsia"/>
                                  <w:lang w:val="en-US" w:eastAsia="zh-CN"/>
                                </w:rPr>
                                <w:t>504</w:t>
                              </w:r>
                            </w:p>
                          </w:txbxContent>
                        </v:textbox>
                      </v:rect>
                      <v:rect id="矩形 6" o:spid="_x0000_s1026" o:spt="1" style="position:absolute;left:18023;top:201096;height:328;width:487;" fillcolor="#FFFFFF" filled="t" stroked="f" coordsize="21600,21600" o:gfxdata="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UMJkugAAANsA&#10;AAAPAAAAAAAAAAEAIAAAACIAAABkcnMvZG93bnJldi54bWxQSwECFAAUAAAACACHTuJAMy8FnjsA&#10;AAA5AAAAEAAAAAAAAAABACAAAAAJAQAAZHJzL3NoYXBleG1sLnhtbFBLBQYAAAAABgAGAFsBAACz&#10;AwAAAAA=&#10;">
                        <v:fill on="t" opacity="0f" focussize="0,0"/>
                        <v:stroke on="f"/>
                        <v:imagedata o:title=""/>
                        <o:lock v:ext="edit" aspectratio="f"/>
                        <v:textbox inset="0mm,0mm,0mm,0mm">
                          <w:txbxContent>
                            <w:p w14:paraId="1D8C97A8">
                              <w:pPr>
                                <w:pStyle w:val="22"/>
                                <w:bidi w:val="0"/>
                                <w:jc w:val="both"/>
                                <w:rPr>
                                  <w:rFonts w:hint="default"/>
                                  <w:lang w:val="en-US" w:eastAsia="zh-CN"/>
                                </w:rPr>
                              </w:pPr>
                              <w:r>
                                <w:rPr>
                                  <w:rFonts w:hint="eastAsia"/>
                                  <w:lang w:val="en-US" w:eastAsia="zh-CN"/>
                                </w:rPr>
                                <w:t>4.72</w:t>
                              </w:r>
                            </w:p>
                          </w:txbxContent>
                        </v:textbox>
                      </v:rect>
                      <v:shape id="自选图形 23" o:spid="_x0000_s1026" o:spt="32" type="#_x0000_t32" style="position:absolute;left:17926;top:200302;height:1126;width:0;" filled="f" stroked="t" coordsize="21600,21600" o:gfxdata="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P3X4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rect id="矩形 6" o:spid="_x0000_s1026" o:spt="1" style="position:absolute;left:18002;top:199975;height:328;width:487;" fillcolor="#FFFFFF" filled="t" stroked="f" coordsize="21600,21600" o:gfxdata="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89f+LugAAANsA&#10;AAAPAAAAAAAAAAEAIAAAACIAAABkcnMvZG93bnJldi54bWxQSwECFAAUAAAACACHTuJAMy8FnjsA&#10;AAA5AAAAEAAAAAAAAAABACAAAAAJAQAAZHJzL3NoYXBleG1sLnhtbFBLBQYAAAAABgAGAFsBAACz&#10;AwAAAAA=&#10;">
                        <v:fill on="t" opacity="0f" focussize="0,0"/>
                        <v:stroke on="f"/>
                        <v:imagedata o:title=""/>
                        <o:lock v:ext="edit" aspectratio="f"/>
                        <v:textbox inset="0mm,0mm,0mm,0mm">
                          <w:txbxContent>
                            <w:p w14:paraId="0BE1A1C9">
                              <w:pPr>
                                <w:pStyle w:val="22"/>
                                <w:bidi w:val="0"/>
                                <w:jc w:val="both"/>
                                <w:rPr>
                                  <w:rFonts w:hint="default"/>
                                  <w:lang w:val="en-US" w:eastAsia="zh-CN"/>
                                </w:rPr>
                              </w:pPr>
                              <w:r>
                                <w:rPr>
                                  <w:rFonts w:hint="eastAsia"/>
                                  <w:lang w:val="en-US" w:eastAsia="zh-CN"/>
                                </w:rPr>
                                <w:t>2.53</w:t>
                              </w:r>
                            </w:p>
                          </w:txbxContent>
                        </v:textbox>
                      </v:rect>
                      <w10:wrap type="none"/>
                      <w10:anchorlock/>
                    </v:group>
                  </w:pict>
                </mc:Fallback>
              </mc:AlternateContent>
            </w:r>
          </w:p>
          <w:p w14:paraId="610B0643">
            <w:pPr>
              <w:pStyle w:val="21"/>
              <w:bidi w:val="0"/>
              <w:rPr>
                <w:rFonts w:hAnsi="宋体"/>
                <w:b/>
                <w:color w:val="0000FF"/>
              </w:rPr>
            </w:pPr>
            <w:r>
              <w:rPr>
                <w:color w:val="auto"/>
              </w:rPr>
              <w:t>图2-</w:t>
            </w:r>
            <w:r>
              <w:rPr>
                <w:rFonts w:hint="eastAsia"/>
                <w:color w:val="auto"/>
                <w:lang w:val="en-US" w:eastAsia="zh-CN"/>
              </w:rPr>
              <w:t xml:space="preserve">1 </w:t>
            </w:r>
            <w:r>
              <w:rPr>
                <w:rFonts w:hint="eastAsia"/>
                <w:color w:val="auto"/>
              </w:rPr>
              <w:t xml:space="preserve"> </w:t>
            </w:r>
            <w:r>
              <w:rPr>
                <w:color w:val="auto"/>
              </w:rPr>
              <w:t>本项目</w:t>
            </w:r>
            <w:r>
              <w:rPr>
                <w:rFonts w:hint="eastAsia"/>
                <w:color w:val="auto"/>
              </w:rPr>
              <w:t>建成后用水</w:t>
            </w:r>
            <w:r>
              <w:rPr>
                <w:color w:val="auto"/>
              </w:rPr>
              <w:t>平衡图（单位：t/d）</w:t>
            </w:r>
          </w:p>
        </w:tc>
      </w:tr>
      <w:tr w14:paraId="393B03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682" w:type="dxa"/>
            <w:noWrap w:val="0"/>
            <w:vAlign w:val="center"/>
          </w:tcPr>
          <w:p w14:paraId="10C531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FF"/>
                <w:lang w:val="en-US" w:eastAsia="zh-CN"/>
              </w:rPr>
            </w:pPr>
            <w:r>
              <w:rPr>
                <w:color w:val="auto"/>
                <w:lang w:val="en-US" w:eastAsia="zh-CN"/>
              </w:rPr>
              <w:t>工艺流程和产排污环节</w:t>
            </w:r>
          </w:p>
        </w:tc>
        <w:tc>
          <w:tcPr>
            <w:tcW w:w="8406" w:type="dxa"/>
            <w:noWrap w:val="0"/>
            <w:vAlign w:val="top"/>
          </w:tcPr>
          <w:p w14:paraId="59C4418E">
            <w:pPr>
              <w:bidi w:val="0"/>
              <w:rPr>
                <w:b/>
                <w:bCs/>
                <w:color w:val="auto"/>
              </w:rPr>
            </w:pPr>
            <w:r>
              <w:rPr>
                <w:b/>
                <w:bCs/>
                <w:color w:val="auto"/>
              </w:rPr>
              <w:t>营运期</w:t>
            </w:r>
          </w:p>
          <w:p w14:paraId="6BB3A19A">
            <w:pPr>
              <w:bidi w:val="0"/>
              <w:rPr>
                <w:rFonts w:hint="eastAsia"/>
                <w:color w:val="auto"/>
              </w:rPr>
            </w:pPr>
            <w:r>
              <w:rPr>
                <w:rFonts w:hint="eastAsia"/>
                <w:color w:val="auto"/>
              </w:rPr>
              <w:t>本项目主要</w:t>
            </w:r>
            <w:r>
              <w:rPr>
                <w:rFonts w:hint="eastAsia"/>
                <w:color w:val="auto"/>
                <w:lang w:val="en-US" w:eastAsia="zh-CN"/>
              </w:rPr>
              <w:t>外购塑料粒子PP与色母粒子或塑料粒子PE与色母粒子混料后进行加热熔融挤出生产塑料管材，生产产品不涉及表面涂装工序</w:t>
            </w:r>
            <w:r>
              <w:rPr>
                <w:rFonts w:hint="eastAsia"/>
                <w:color w:val="auto"/>
              </w:rPr>
              <w:t>。</w:t>
            </w:r>
          </w:p>
          <w:p w14:paraId="3E8561CB">
            <w:pPr>
              <w:bidi w:val="0"/>
              <w:rPr>
                <w:rFonts w:hint="eastAsia"/>
                <w:b/>
                <w:bCs/>
                <w:color w:val="auto"/>
              </w:rPr>
            </w:pPr>
            <w:r>
              <w:rPr>
                <w:rFonts w:hint="eastAsia"/>
                <w:b/>
                <w:bCs/>
                <w:color w:val="auto"/>
                <w:lang w:val="en-US" w:eastAsia="zh-CN"/>
              </w:rPr>
              <w:t>（1）</w:t>
            </w:r>
            <w:r>
              <w:rPr>
                <w:rFonts w:hint="eastAsia"/>
                <w:b/>
                <w:bCs/>
                <w:color w:val="auto"/>
              </w:rPr>
              <w:t>生产工艺流程：</w:t>
            </w:r>
          </w:p>
          <w:p w14:paraId="71B17E34">
            <w:pPr>
              <w:ind w:left="0" w:leftChars="0" w:firstLine="0" w:firstLineChars="0"/>
              <w:jc w:val="center"/>
              <w:rPr>
                <w:b/>
                <w:color w:val="0000FF"/>
                <w:szCs w:val="21"/>
              </w:rPr>
            </w:pPr>
            <w:r>
              <w:rPr>
                <w:color w:val="0000FF"/>
                <w:sz w:val="21"/>
              </w:rPr>
              <mc:AlternateContent>
                <mc:Choice Requires="wpg">
                  <w:drawing>
                    <wp:inline distT="0" distB="0" distL="114300" distR="114300">
                      <wp:extent cx="3154045" cy="4618990"/>
                      <wp:effectExtent l="4445" t="0" r="0" b="10160"/>
                      <wp:docPr id="2" name="组合 2"/>
                      <wp:cNvGraphicFramePr/>
                      <a:graphic xmlns:a="http://schemas.openxmlformats.org/drawingml/2006/main">
                        <a:graphicData uri="http://schemas.microsoft.com/office/word/2010/wordprocessingGroup">
                          <wpg:wgp>
                            <wpg:cNvGrpSpPr/>
                            <wpg:grpSpPr>
                              <a:xfrm>
                                <a:off x="0" y="0"/>
                                <a:ext cx="3153871" cy="4618821"/>
                                <a:chOff x="9988" y="464495"/>
                                <a:chExt cx="5178" cy="7629"/>
                              </a:xfrm>
                            </wpg:grpSpPr>
                            <wps:wsp>
                              <wps:cNvPr id="59" name="矩形 625"/>
                              <wps:cNvSpPr/>
                              <wps:spPr>
                                <a:xfrm>
                                  <a:off x="12056" y="464495"/>
                                  <a:ext cx="1420" cy="422"/>
                                </a:xfrm>
                                <a:prstGeom prst="rect">
                                  <a:avLst/>
                                </a:prstGeom>
                                <a:noFill/>
                                <a:ln>
                                  <a:noFill/>
                                </a:ln>
                              </wps:spPr>
                              <wps:txbx>
                                <w:txbxContent>
                                  <w:p w14:paraId="6C2020F3">
                                    <w:pPr>
                                      <w:pStyle w:val="22"/>
                                      <w:bidi w:val="0"/>
                                      <w:rPr>
                                        <w:rFonts w:hint="default"/>
                                        <w:lang w:val="en-US" w:eastAsia="zh-CN"/>
                                      </w:rPr>
                                    </w:pPr>
                                    <w:r>
                                      <w:rPr>
                                        <w:rFonts w:hint="eastAsia"/>
                                        <w:lang w:val="en-US" w:eastAsia="zh-CN"/>
                                      </w:rPr>
                                      <w:t>PP/PE、色母</w:t>
                                    </w:r>
                                  </w:p>
                                </w:txbxContent>
                              </wps:txbx>
                              <wps:bodyPr wrap="square" upright="1"/>
                            </wps:wsp>
                            <wps:wsp>
                              <wps:cNvPr id="63" name="矩形 629"/>
                              <wps:cNvSpPr/>
                              <wps:spPr>
                                <a:xfrm>
                                  <a:off x="13737" y="467100"/>
                                  <a:ext cx="836" cy="414"/>
                                </a:xfrm>
                                <a:prstGeom prst="rect">
                                  <a:avLst/>
                                </a:prstGeom>
                                <a:solidFill>
                                  <a:srgbClr val="FFFFFF">
                                    <a:alpha val="0"/>
                                  </a:srgbClr>
                                </a:solidFill>
                                <a:ln w="9525" cap="flat" cmpd="sng">
                                  <a:solidFill>
                                    <a:srgbClr val="FFFFFF"/>
                                  </a:solidFill>
                                  <a:prstDash val="solid"/>
                                  <a:miter/>
                                  <a:headEnd type="none" w="med" len="med"/>
                                  <a:tailEnd type="none" w="med" len="med"/>
                                </a:ln>
                              </wps:spPr>
                              <wps:txbx>
                                <w:txbxContent>
                                  <w:p w14:paraId="1CB7B5AB">
                                    <w:pPr>
                                      <w:pStyle w:val="22"/>
                                      <w:bidi w:val="0"/>
                                      <w:rPr>
                                        <w:rFonts w:hint="default" w:eastAsia="宋体"/>
                                        <w:vertAlign w:val="baseline"/>
                                        <w:lang w:val="en-US" w:eastAsia="zh-CN"/>
                                      </w:rPr>
                                    </w:pPr>
                                    <w:r>
                                      <w:rPr>
                                        <w:rFonts w:hint="eastAsia"/>
                                        <w:vertAlign w:val="baseline"/>
                                        <w:lang w:val="en-US" w:eastAsia="zh-CN"/>
                                      </w:rPr>
                                      <w:t>N</w:t>
                                    </w:r>
                                    <w:r>
                                      <w:rPr>
                                        <w:rFonts w:hint="eastAsia"/>
                                        <w:vertAlign w:val="subscript"/>
                                        <w:lang w:val="en-US" w:eastAsia="zh-CN"/>
                                      </w:rPr>
                                      <w:t>2</w:t>
                                    </w:r>
                                  </w:p>
                                </w:txbxContent>
                              </wps:txbx>
                              <wps:bodyPr wrap="square" upright="1"/>
                            </wps:wsp>
                            <wps:wsp>
                              <wps:cNvPr id="119" name="自选图形 609"/>
                              <wps:cNvCnPr/>
                              <wps:spPr>
                                <a:xfrm>
                                  <a:off x="12766" y="464887"/>
                                  <a:ext cx="0" cy="440"/>
                                </a:xfrm>
                                <a:prstGeom prst="straightConnector1">
                                  <a:avLst/>
                                </a:prstGeom>
                                <a:ln w="9525" cap="flat" cmpd="sng">
                                  <a:solidFill>
                                    <a:srgbClr val="000000"/>
                                  </a:solidFill>
                                  <a:prstDash val="solid"/>
                                  <a:headEnd type="none" w="med" len="med"/>
                                  <a:tailEnd type="triangle" w="med" len="med"/>
                                </a:ln>
                              </wps:spPr>
                              <wps:bodyPr/>
                            </wps:wsp>
                            <wps:wsp>
                              <wps:cNvPr id="120" name="矩形 630"/>
                              <wps:cNvSpPr/>
                              <wps:spPr>
                                <a:xfrm>
                                  <a:off x="12331" y="465319"/>
                                  <a:ext cx="864" cy="438"/>
                                </a:xfrm>
                                <a:prstGeom prst="rect">
                                  <a:avLst/>
                                </a:prstGeom>
                                <a:noFill/>
                                <a:ln w="9525" cap="flat" cmpd="sng">
                                  <a:solidFill>
                                    <a:srgbClr val="000000"/>
                                  </a:solidFill>
                                  <a:prstDash val="solid"/>
                                  <a:miter/>
                                  <a:headEnd type="none" w="med" len="med"/>
                                  <a:tailEnd type="none" w="med" len="med"/>
                                </a:ln>
                              </wps:spPr>
                              <wps:txbx>
                                <w:txbxContent>
                                  <w:p w14:paraId="52F28F4B">
                                    <w:pPr>
                                      <w:pStyle w:val="22"/>
                                      <w:bidi w:val="0"/>
                                      <w:rPr>
                                        <w:rFonts w:hint="eastAsia"/>
                                        <w:lang w:val="en-US" w:eastAsia="zh-CN"/>
                                      </w:rPr>
                                    </w:pPr>
                                    <w:r>
                                      <w:rPr>
                                        <w:rFonts w:hint="eastAsia"/>
                                        <w:lang w:val="en-US" w:eastAsia="zh-CN"/>
                                      </w:rPr>
                                      <w:t>上料</w:t>
                                    </w:r>
                                  </w:p>
                                </w:txbxContent>
                              </wps:txbx>
                              <wps:bodyPr wrap="square" upright="1"/>
                            </wps:wsp>
                            <wps:wsp>
                              <wps:cNvPr id="121" name="自选图形 609"/>
                              <wps:cNvCnPr/>
                              <wps:spPr>
                                <a:xfrm>
                                  <a:off x="12771" y="465772"/>
                                  <a:ext cx="0" cy="440"/>
                                </a:xfrm>
                                <a:prstGeom prst="straightConnector1">
                                  <a:avLst/>
                                </a:prstGeom>
                                <a:ln w="9525" cap="flat" cmpd="sng">
                                  <a:solidFill>
                                    <a:srgbClr val="000000"/>
                                  </a:solidFill>
                                  <a:prstDash val="solid"/>
                                  <a:headEnd type="none" w="med" len="med"/>
                                  <a:tailEnd type="triangle" w="med" len="med"/>
                                </a:ln>
                              </wps:spPr>
                              <wps:bodyPr/>
                            </wps:wsp>
                            <wps:wsp>
                              <wps:cNvPr id="122" name="矩形 630"/>
                              <wps:cNvSpPr/>
                              <wps:spPr>
                                <a:xfrm>
                                  <a:off x="12316" y="466210"/>
                                  <a:ext cx="910" cy="438"/>
                                </a:xfrm>
                                <a:prstGeom prst="rect">
                                  <a:avLst/>
                                </a:prstGeom>
                                <a:noFill/>
                                <a:ln w="9525" cap="flat" cmpd="sng">
                                  <a:solidFill>
                                    <a:srgbClr val="000000"/>
                                  </a:solidFill>
                                  <a:prstDash val="solid"/>
                                  <a:miter/>
                                  <a:headEnd type="none" w="med" len="med"/>
                                  <a:tailEnd type="none" w="med" len="med"/>
                                </a:ln>
                              </wps:spPr>
                              <wps:txbx>
                                <w:txbxContent>
                                  <w:p w14:paraId="264E7B1E">
                                    <w:pPr>
                                      <w:pStyle w:val="22"/>
                                      <w:bidi w:val="0"/>
                                      <w:rPr>
                                        <w:rFonts w:hint="default"/>
                                        <w:lang w:val="en-US" w:eastAsia="zh-CN"/>
                                      </w:rPr>
                                    </w:pPr>
                                    <w:r>
                                      <w:rPr>
                                        <w:rFonts w:hint="eastAsia"/>
                                        <w:lang w:val="en-US" w:eastAsia="zh-CN"/>
                                      </w:rPr>
                                      <w:t>烘干</w:t>
                                    </w:r>
                                  </w:p>
                                </w:txbxContent>
                              </wps:txbx>
                              <wps:bodyPr wrap="square" upright="1"/>
                            </wps:wsp>
                            <wps:wsp>
                              <wps:cNvPr id="123" name="自选图形 609"/>
                              <wps:cNvCnPr/>
                              <wps:spPr>
                                <a:xfrm>
                                  <a:off x="12777" y="466652"/>
                                  <a:ext cx="0" cy="410"/>
                                </a:xfrm>
                                <a:prstGeom prst="straightConnector1">
                                  <a:avLst/>
                                </a:prstGeom>
                                <a:ln w="9525" cap="flat" cmpd="sng">
                                  <a:solidFill>
                                    <a:srgbClr val="000000"/>
                                  </a:solidFill>
                                  <a:prstDash val="solid"/>
                                  <a:headEnd type="none" w="med" len="med"/>
                                  <a:tailEnd type="triangle" w="med" len="med"/>
                                </a:ln>
                              </wps:spPr>
                              <wps:bodyPr/>
                            </wps:wsp>
                            <wps:wsp>
                              <wps:cNvPr id="124" name="矩形 630"/>
                              <wps:cNvSpPr/>
                              <wps:spPr>
                                <a:xfrm>
                                  <a:off x="12343" y="467061"/>
                                  <a:ext cx="869" cy="438"/>
                                </a:xfrm>
                                <a:prstGeom prst="rect">
                                  <a:avLst/>
                                </a:prstGeom>
                                <a:noFill/>
                                <a:ln w="9525" cap="flat" cmpd="sng">
                                  <a:solidFill>
                                    <a:srgbClr val="000000"/>
                                  </a:solidFill>
                                  <a:prstDash val="solid"/>
                                  <a:miter/>
                                  <a:headEnd type="none" w="med" len="med"/>
                                  <a:tailEnd type="none" w="med" len="med"/>
                                </a:ln>
                              </wps:spPr>
                              <wps:txbx>
                                <w:txbxContent>
                                  <w:p w14:paraId="0AE12709">
                                    <w:pPr>
                                      <w:pStyle w:val="22"/>
                                      <w:bidi w:val="0"/>
                                      <w:rPr>
                                        <w:rFonts w:hint="eastAsia"/>
                                        <w:lang w:val="en-US" w:eastAsia="zh-CN"/>
                                      </w:rPr>
                                    </w:pPr>
                                    <w:r>
                                      <w:rPr>
                                        <w:rFonts w:hint="eastAsia"/>
                                        <w:lang w:val="en-US" w:eastAsia="zh-CN"/>
                                      </w:rPr>
                                      <w:t>混料</w:t>
                                    </w:r>
                                  </w:p>
                                </w:txbxContent>
                              </wps:txbx>
                              <wps:bodyPr wrap="square" upright="1"/>
                            </wps:wsp>
                            <wps:wsp>
                              <wps:cNvPr id="125" name="自选图形 613"/>
                              <wps:cNvCnPr/>
                              <wps:spPr>
                                <a:xfrm flipH="1">
                                  <a:off x="12767" y="467494"/>
                                  <a:ext cx="5" cy="488"/>
                                </a:xfrm>
                                <a:prstGeom prst="straightConnector1">
                                  <a:avLst/>
                                </a:prstGeom>
                                <a:ln w="9525" cap="flat" cmpd="sng">
                                  <a:solidFill>
                                    <a:srgbClr val="000000"/>
                                  </a:solidFill>
                                  <a:prstDash val="solid"/>
                                  <a:headEnd type="none" w="med" len="med"/>
                                  <a:tailEnd type="triangle" w="med" len="med"/>
                                </a:ln>
                              </wps:spPr>
                              <wps:bodyPr/>
                            </wps:wsp>
                            <wps:wsp>
                              <wps:cNvPr id="129" name="自选图形 619"/>
                              <wps:cNvCnPr/>
                              <wps:spPr>
                                <a:xfrm>
                                  <a:off x="13159" y="465532"/>
                                  <a:ext cx="595" cy="1"/>
                                </a:xfrm>
                                <a:prstGeom prst="straightConnector1">
                                  <a:avLst/>
                                </a:prstGeom>
                                <a:ln w="0" cap="flat" cmpd="sng">
                                  <a:solidFill>
                                    <a:srgbClr val="000000"/>
                                  </a:solidFill>
                                  <a:prstDash val="sysDot"/>
                                  <a:headEnd type="none" w="med" len="med"/>
                                  <a:tailEnd type="triangle" w="med" len="med"/>
                                </a:ln>
                              </wps:spPr>
                              <wps:bodyPr/>
                            </wps:wsp>
                            <wps:wsp>
                              <wps:cNvPr id="135" name="矩形 622"/>
                              <wps:cNvSpPr/>
                              <wps:spPr>
                                <a:xfrm>
                                  <a:off x="13659" y="465310"/>
                                  <a:ext cx="1110" cy="426"/>
                                </a:xfrm>
                                <a:prstGeom prst="rect">
                                  <a:avLst/>
                                </a:prstGeom>
                                <a:solidFill>
                                  <a:srgbClr val="FFFFFF">
                                    <a:alpha val="0"/>
                                  </a:srgbClr>
                                </a:solidFill>
                                <a:ln w="9525" cap="flat" cmpd="sng">
                                  <a:noFill/>
                                  <a:prstDash val="solid"/>
                                  <a:miter/>
                                  <a:headEnd type="none" w="med" len="med"/>
                                  <a:tailEnd type="none" w="med" len="med"/>
                                </a:ln>
                              </wps:spPr>
                              <wps:txbx>
                                <w:txbxContent>
                                  <w:p w14:paraId="6FBA9560">
                                    <w:pPr>
                                      <w:pStyle w:val="22"/>
                                      <w:bidi w:val="0"/>
                                      <w:jc w:val="both"/>
                                      <w:rPr>
                                        <w:rFonts w:hint="default" w:eastAsia="宋体"/>
                                        <w:lang w:val="en-US" w:eastAsia="zh-CN"/>
                                      </w:rPr>
                                    </w:pPr>
                                    <w:r>
                                      <w:rPr>
                                        <w:rFonts w:hint="eastAsia"/>
                                        <w:vertAlign w:val="baseline"/>
                                        <w:lang w:val="en-US" w:eastAsia="zh-CN"/>
                                      </w:rPr>
                                      <w:t>N</w:t>
                                    </w:r>
                                    <w:r>
                                      <w:rPr>
                                        <w:rFonts w:hint="eastAsia"/>
                                        <w:vertAlign w:val="subscript"/>
                                        <w:lang w:val="en-US" w:eastAsia="zh-CN"/>
                                      </w:rPr>
                                      <w:t>1、</w:t>
                                    </w:r>
                                    <w:r>
                                      <w:rPr>
                                        <w:rFonts w:hint="eastAsia"/>
                                        <w:vertAlign w:val="baseline"/>
                                        <w:lang w:val="en-US" w:eastAsia="zh-CN"/>
                                      </w:rPr>
                                      <w:t>G</w:t>
                                    </w:r>
                                    <w:r>
                                      <w:rPr>
                                        <w:rFonts w:hint="eastAsia"/>
                                        <w:vertAlign w:val="subscript"/>
                                        <w:lang w:val="en-US" w:eastAsia="zh-CN"/>
                                      </w:rPr>
                                      <w:t>1</w:t>
                                    </w:r>
                                  </w:p>
                                </w:txbxContent>
                              </wps:txbx>
                              <wps:bodyPr wrap="square" upright="1"/>
                            </wps:wsp>
                            <wps:wsp>
                              <wps:cNvPr id="150" name="自选图形 613"/>
                              <wps:cNvCnPr/>
                              <wps:spPr>
                                <a:xfrm>
                                  <a:off x="12778" y="469363"/>
                                  <a:ext cx="2" cy="485"/>
                                </a:xfrm>
                                <a:prstGeom prst="straightConnector1">
                                  <a:avLst/>
                                </a:prstGeom>
                                <a:ln w="9525" cap="flat" cmpd="sng">
                                  <a:solidFill>
                                    <a:srgbClr val="000000"/>
                                  </a:solidFill>
                                  <a:prstDash val="solid"/>
                                  <a:headEnd type="none" w="med" len="med"/>
                                  <a:tailEnd type="triangle" w="med" len="med"/>
                                </a:ln>
                              </wps:spPr>
                              <wps:bodyPr/>
                            </wps:wsp>
                            <wps:wsp>
                              <wps:cNvPr id="61" name="自选图形 619"/>
                              <wps:cNvCnPr/>
                              <wps:spPr>
                                <a:xfrm>
                                  <a:off x="13209" y="467333"/>
                                  <a:ext cx="595" cy="1"/>
                                </a:xfrm>
                                <a:prstGeom prst="straightConnector1">
                                  <a:avLst/>
                                </a:prstGeom>
                                <a:ln w="0" cap="flat" cmpd="sng">
                                  <a:solidFill>
                                    <a:srgbClr val="000000"/>
                                  </a:solidFill>
                                  <a:prstDash val="sysDot"/>
                                  <a:headEnd type="none" w="med" len="med"/>
                                  <a:tailEnd type="triangle" w="med" len="med"/>
                                </a:ln>
                              </wps:spPr>
                              <wps:bodyPr/>
                            </wps:wsp>
                            <wps:wsp>
                              <wps:cNvPr id="62" name="自选图形 619"/>
                              <wps:cNvCnPr/>
                              <wps:spPr>
                                <a:xfrm>
                                  <a:off x="13244" y="466432"/>
                                  <a:ext cx="595" cy="1"/>
                                </a:xfrm>
                                <a:prstGeom prst="straightConnector1">
                                  <a:avLst/>
                                </a:prstGeom>
                                <a:ln w="0" cap="flat" cmpd="sng">
                                  <a:solidFill>
                                    <a:srgbClr val="000000"/>
                                  </a:solidFill>
                                  <a:prstDash val="sysDot"/>
                                  <a:headEnd type="none" w="med" len="med"/>
                                  <a:tailEnd type="triangle" w="med" len="med"/>
                                </a:ln>
                              </wps:spPr>
                              <wps:bodyPr/>
                            </wps:wsp>
                            <wps:wsp>
                              <wps:cNvPr id="75" name="矩形 622"/>
                              <wps:cNvSpPr/>
                              <wps:spPr>
                                <a:xfrm>
                                  <a:off x="13885" y="466205"/>
                                  <a:ext cx="850" cy="448"/>
                                </a:xfrm>
                                <a:prstGeom prst="rect">
                                  <a:avLst/>
                                </a:prstGeom>
                                <a:solidFill>
                                  <a:srgbClr val="FFFFFF">
                                    <a:alpha val="0"/>
                                  </a:srgbClr>
                                </a:solidFill>
                                <a:ln w="9525" cap="flat" cmpd="sng">
                                  <a:noFill/>
                                  <a:prstDash val="solid"/>
                                  <a:miter/>
                                  <a:headEnd type="none" w="med" len="med"/>
                                  <a:tailEnd type="none" w="med" len="med"/>
                                </a:ln>
                              </wps:spPr>
                              <wps:txbx>
                                <w:txbxContent>
                                  <w:p w14:paraId="1C6EAB8D">
                                    <w:pPr>
                                      <w:pStyle w:val="22"/>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2</w:t>
                                    </w:r>
                                  </w:p>
                                </w:txbxContent>
                              </wps:txbx>
                              <wps:bodyPr wrap="square" upright="1"/>
                            </wps:wsp>
                            <wps:wsp>
                              <wps:cNvPr id="76" name="矩形 630"/>
                              <wps:cNvSpPr/>
                              <wps:spPr>
                                <a:xfrm>
                                  <a:off x="12116" y="467990"/>
                                  <a:ext cx="1250" cy="438"/>
                                </a:xfrm>
                                <a:prstGeom prst="rect">
                                  <a:avLst/>
                                </a:prstGeom>
                                <a:noFill/>
                                <a:ln w="9525" cap="flat" cmpd="sng">
                                  <a:solidFill>
                                    <a:srgbClr val="000000"/>
                                  </a:solidFill>
                                  <a:prstDash val="solid"/>
                                  <a:miter/>
                                  <a:headEnd type="none" w="med" len="med"/>
                                  <a:tailEnd type="none" w="med" len="med"/>
                                </a:ln>
                              </wps:spPr>
                              <wps:txbx>
                                <w:txbxContent>
                                  <w:p w14:paraId="23F671BC">
                                    <w:pPr>
                                      <w:pStyle w:val="22"/>
                                      <w:bidi w:val="0"/>
                                      <w:rPr>
                                        <w:rFonts w:hint="default"/>
                                        <w:lang w:val="en-US" w:eastAsia="zh-CN"/>
                                      </w:rPr>
                                    </w:pPr>
                                    <w:r>
                                      <w:rPr>
                                        <w:rFonts w:hint="eastAsia"/>
                                        <w:lang w:val="en-US" w:eastAsia="zh-CN"/>
                                      </w:rPr>
                                      <w:t>熔融挤出</w:t>
                                    </w:r>
                                  </w:p>
                                </w:txbxContent>
                              </wps:txbx>
                              <wps:bodyPr wrap="square" upright="1"/>
                            </wps:wsp>
                            <wps:wsp>
                              <wps:cNvPr id="77" name="自选图形 619"/>
                              <wps:cNvCnPr/>
                              <wps:spPr>
                                <a:xfrm>
                                  <a:off x="13374" y="468203"/>
                                  <a:ext cx="594" cy="1"/>
                                </a:xfrm>
                                <a:prstGeom prst="straightConnector1">
                                  <a:avLst/>
                                </a:prstGeom>
                                <a:ln w="0" cap="flat" cmpd="sng">
                                  <a:solidFill>
                                    <a:srgbClr val="000000"/>
                                  </a:solidFill>
                                  <a:prstDash val="sysDot"/>
                                  <a:headEnd type="none" w="med" len="med"/>
                                  <a:tailEnd type="triangle" w="med" len="med"/>
                                </a:ln>
                              </wps:spPr>
                              <wps:bodyPr/>
                            </wps:wsp>
                            <wps:wsp>
                              <wps:cNvPr id="78" name="矩形 629"/>
                              <wps:cNvSpPr/>
                              <wps:spPr>
                                <a:xfrm>
                                  <a:off x="13834" y="467988"/>
                                  <a:ext cx="1332" cy="414"/>
                                </a:xfrm>
                                <a:prstGeom prst="rect">
                                  <a:avLst/>
                                </a:prstGeom>
                                <a:solidFill>
                                  <a:srgbClr val="FFFFFF">
                                    <a:alpha val="0"/>
                                  </a:srgbClr>
                                </a:solidFill>
                                <a:ln w="9525" cap="flat" cmpd="sng">
                                  <a:noFill/>
                                  <a:prstDash val="solid"/>
                                  <a:miter/>
                                  <a:headEnd type="none" w="med" len="med"/>
                                  <a:tailEnd type="none" w="med" len="med"/>
                                </a:ln>
                              </wps:spPr>
                              <wps:txbx>
                                <w:txbxContent>
                                  <w:p w14:paraId="30A817FA">
                                    <w:pPr>
                                      <w:pStyle w:val="22"/>
                                      <w:bidi w:val="0"/>
                                      <w:rPr>
                                        <w:rFonts w:hint="default" w:eastAsia="宋体"/>
                                        <w:vertAlign w:val="baseline"/>
                                        <w:lang w:val="en-US" w:eastAsia="zh-CN"/>
                                      </w:rPr>
                                    </w:pPr>
                                    <w:r>
                                      <w:rPr>
                                        <w:rFonts w:hint="eastAsia"/>
                                      </w:rPr>
                                      <w:t>G</w:t>
                                    </w:r>
                                    <w:r>
                                      <w:rPr>
                                        <w:rFonts w:hint="eastAsia"/>
                                        <w:vertAlign w:val="subscript"/>
                                        <w:lang w:val="en-US" w:eastAsia="zh-CN"/>
                                      </w:rPr>
                                      <w:t>3、</w:t>
                                    </w:r>
                                    <w:r>
                                      <w:rPr>
                                        <w:rFonts w:hint="eastAsia"/>
                                        <w:vertAlign w:val="baseline"/>
                                        <w:lang w:val="en-US" w:eastAsia="zh-CN"/>
                                      </w:rPr>
                                      <w:t>N</w:t>
                                    </w:r>
                                    <w:r>
                                      <w:rPr>
                                        <w:rFonts w:hint="eastAsia"/>
                                        <w:vertAlign w:val="subscript"/>
                                        <w:lang w:val="en-US" w:eastAsia="zh-CN"/>
                                      </w:rPr>
                                      <w:t>3、</w:t>
                                    </w:r>
                                    <w:r>
                                      <w:rPr>
                                        <w:rFonts w:hint="eastAsia"/>
                                        <w:vertAlign w:val="baseline"/>
                                        <w:lang w:val="en-US" w:eastAsia="zh-CN"/>
                                      </w:rPr>
                                      <w:t>S</w:t>
                                    </w:r>
                                    <w:r>
                                      <w:rPr>
                                        <w:rFonts w:hint="eastAsia"/>
                                        <w:vertAlign w:val="subscript"/>
                                        <w:lang w:val="en-US" w:eastAsia="zh-CN"/>
                                      </w:rPr>
                                      <w:t>1</w:t>
                                    </w:r>
                                  </w:p>
                                </w:txbxContent>
                              </wps:txbx>
                              <wps:bodyPr wrap="square" upright="1"/>
                            </wps:wsp>
                            <wps:wsp>
                              <wps:cNvPr id="80" name="自选图形 613"/>
                              <wps:cNvCnPr/>
                              <wps:spPr>
                                <a:xfrm flipH="1">
                                  <a:off x="12779" y="468441"/>
                                  <a:ext cx="5" cy="488"/>
                                </a:xfrm>
                                <a:prstGeom prst="straightConnector1">
                                  <a:avLst/>
                                </a:prstGeom>
                                <a:ln w="9525" cap="flat" cmpd="sng">
                                  <a:solidFill>
                                    <a:srgbClr val="000000"/>
                                  </a:solidFill>
                                  <a:prstDash val="solid"/>
                                  <a:headEnd type="none" w="med" len="med"/>
                                  <a:tailEnd type="triangle" w="med" len="med"/>
                                </a:ln>
                              </wps:spPr>
                              <wps:bodyPr/>
                            </wps:wsp>
                            <wps:wsp>
                              <wps:cNvPr id="81" name="矩形 630"/>
                              <wps:cNvSpPr/>
                              <wps:spPr>
                                <a:xfrm>
                                  <a:off x="12133" y="468926"/>
                                  <a:ext cx="1246" cy="436"/>
                                </a:xfrm>
                                <a:prstGeom prst="rect">
                                  <a:avLst/>
                                </a:prstGeom>
                                <a:noFill/>
                                <a:ln w="9525" cap="flat" cmpd="sng">
                                  <a:solidFill>
                                    <a:srgbClr val="000000"/>
                                  </a:solidFill>
                                  <a:prstDash val="solid"/>
                                  <a:miter/>
                                  <a:headEnd type="none" w="med" len="med"/>
                                  <a:tailEnd type="none" w="med" len="med"/>
                                </a:ln>
                              </wps:spPr>
                              <wps:txbx>
                                <w:txbxContent>
                                  <w:p w14:paraId="2EEED212">
                                    <w:pPr>
                                      <w:pStyle w:val="22"/>
                                      <w:bidi w:val="0"/>
                                      <w:rPr>
                                        <w:rFonts w:hint="eastAsia"/>
                                        <w:lang w:val="en-US" w:eastAsia="zh-CN"/>
                                      </w:rPr>
                                    </w:pPr>
                                    <w:r>
                                      <w:rPr>
                                        <w:rFonts w:hint="eastAsia"/>
                                        <w:lang w:val="en-US" w:eastAsia="zh-CN"/>
                                      </w:rPr>
                                      <w:t>冷却成型牵引</w:t>
                                    </w:r>
                                  </w:p>
                                </w:txbxContent>
                              </wps:txbx>
                              <wps:bodyPr wrap="square" upright="1"/>
                            </wps:wsp>
                            <wps:wsp>
                              <wps:cNvPr id="82" name="矩形 629"/>
                              <wps:cNvSpPr/>
                              <wps:spPr>
                                <a:xfrm>
                                  <a:off x="13822" y="469798"/>
                                  <a:ext cx="1055" cy="414"/>
                                </a:xfrm>
                                <a:prstGeom prst="rect">
                                  <a:avLst/>
                                </a:prstGeom>
                                <a:solidFill>
                                  <a:srgbClr val="FFFFFF">
                                    <a:alpha val="0"/>
                                  </a:srgbClr>
                                </a:solidFill>
                                <a:ln w="9525" cap="flat" cmpd="sng">
                                  <a:noFill/>
                                  <a:prstDash val="solid"/>
                                  <a:miter/>
                                  <a:headEnd type="none" w="med" len="med"/>
                                  <a:tailEnd type="none" w="med" len="med"/>
                                </a:ln>
                              </wps:spPr>
                              <wps:txbx>
                                <w:txbxContent>
                                  <w:p w14:paraId="62A6302D">
                                    <w:pPr>
                                      <w:pStyle w:val="22"/>
                                      <w:bidi w:val="0"/>
                                      <w:jc w:val="both"/>
                                      <w:rPr>
                                        <w:rFonts w:hint="default" w:eastAsia="宋体"/>
                                        <w:vertAlign w:val="baseline"/>
                                        <w:lang w:val="en-US" w:eastAsia="zh-CN"/>
                                      </w:rPr>
                                    </w:pPr>
                                    <w:r>
                                      <w:rPr>
                                        <w:rFonts w:hint="eastAsia"/>
                                        <w:lang w:val="en-US" w:eastAsia="zh-CN"/>
                                      </w:rPr>
                                      <w:t>S</w:t>
                                    </w:r>
                                    <w:r>
                                      <w:rPr>
                                        <w:rFonts w:hint="eastAsia"/>
                                        <w:vertAlign w:val="subscript"/>
                                        <w:lang w:val="en-US" w:eastAsia="zh-CN"/>
                                      </w:rPr>
                                      <w:t>2、</w:t>
                                    </w:r>
                                    <w:r>
                                      <w:rPr>
                                        <w:rFonts w:hint="eastAsia"/>
                                        <w:vertAlign w:val="baseline"/>
                                        <w:lang w:val="en-US" w:eastAsia="zh-CN"/>
                                      </w:rPr>
                                      <w:t>N</w:t>
                                    </w:r>
                                    <w:r>
                                      <w:rPr>
                                        <w:rFonts w:hint="eastAsia"/>
                                        <w:vertAlign w:val="subscript"/>
                                        <w:lang w:val="en-US" w:eastAsia="zh-CN"/>
                                      </w:rPr>
                                      <w:t>4</w:t>
                                    </w:r>
                                  </w:p>
                                </w:txbxContent>
                              </wps:txbx>
                              <wps:bodyPr wrap="square" upright="1"/>
                            </wps:wsp>
                            <wps:wsp>
                              <wps:cNvPr id="83" name="矩形 630"/>
                              <wps:cNvSpPr/>
                              <wps:spPr>
                                <a:xfrm>
                                  <a:off x="12328" y="469846"/>
                                  <a:ext cx="868" cy="438"/>
                                </a:xfrm>
                                <a:prstGeom prst="rect">
                                  <a:avLst/>
                                </a:prstGeom>
                                <a:noFill/>
                                <a:ln w="9525" cap="flat" cmpd="sng">
                                  <a:solidFill>
                                    <a:srgbClr val="000000"/>
                                  </a:solidFill>
                                  <a:prstDash val="solid"/>
                                  <a:miter/>
                                  <a:headEnd type="none" w="med" len="med"/>
                                  <a:tailEnd type="none" w="med" len="med"/>
                                </a:ln>
                              </wps:spPr>
                              <wps:txbx>
                                <w:txbxContent>
                                  <w:p w14:paraId="058B363E">
                                    <w:pPr>
                                      <w:pStyle w:val="22"/>
                                      <w:bidi w:val="0"/>
                                      <w:rPr>
                                        <w:rFonts w:hint="default"/>
                                        <w:lang w:val="en-US" w:eastAsia="zh-CN"/>
                                      </w:rPr>
                                    </w:pPr>
                                    <w:r>
                                      <w:rPr>
                                        <w:rFonts w:hint="eastAsia"/>
                                        <w:lang w:val="en-US" w:eastAsia="zh-CN"/>
                                      </w:rPr>
                                      <w:t>切割</w:t>
                                    </w:r>
                                  </w:p>
                                </w:txbxContent>
                              </wps:txbx>
                              <wps:bodyPr wrap="square" upright="1"/>
                            </wps:wsp>
                            <wps:wsp>
                              <wps:cNvPr id="10" name="矩形 630"/>
                              <wps:cNvSpPr/>
                              <wps:spPr>
                                <a:xfrm>
                                  <a:off x="9988" y="469012"/>
                                  <a:ext cx="1593" cy="298"/>
                                </a:xfrm>
                                <a:prstGeom prst="rect">
                                  <a:avLst/>
                                </a:prstGeom>
                                <a:noFill/>
                                <a:ln w="9525" cap="flat" cmpd="sng">
                                  <a:solidFill>
                                    <a:srgbClr val="000000"/>
                                  </a:solidFill>
                                  <a:prstDash val="solid"/>
                                  <a:miter/>
                                  <a:headEnd type="none" w="med" len="med"/>
                                  <a:tailEnd type="none" w="med" len="med"/>
                                </a:ln>
                              </wps:spPr>
                              <wps:txbx>
                                <w:txbxContent>
                                  <w:p w14:paraId="1EA4F627">
                                    <w:pPr>
                                      <w:pStyle w:val="22"/>
                                      <w:bidi w:val="0"/>
                                      <w:jc w:val="both"/>
                                      <w:rPr>
                                        <w:rFonts w:hint="default"/>
                                        <w:lang w:val="en-US" w:eastAsia="zh-CN"/>
                                      </w:rPr>
                                    </w:pPr>
                                    <w:r>
                                      <w:rPr>
                                        <w:rFonts w:hint="eastAsia"/>
                                        <w:lang w:val="en-US" w:eastAsia="zh-CN"/>
                                      </w:rPr>
                                      <w:t>循环冷却水系统</w:t>
                                    </w:r>
                                  </w:p>
                                </w:txbxContent>
                              </wps:txbx>
                              <wps:bodyPr wrap="square" lIns="0" tIns="0" rIns="0" bIns="0" upright="1"/>
                            </wps:wsp>
                            <wps:wsp>
                              <wps:cNvPr id="25" name="自选图形 613"/>
                              <wps:cNvCnPr/>
                              <wps:spPr>
                                <a:xfrm>
                                  <a:off x="12770" y="471205"/>
                                  <a:ext cx="2" cy="488"/>
                                </a:xfrm>
                                <a:prstGeom prst="straightConnector1">
                                  <a:avLst/>
                                </a:prstGeom>
                                <a:ln w="9525" cap="flat" cmpd="sng">
                                  <a:solidFill>
                                    <a:srgbClr val="000000"/>
                                  </a:solidFill>
                                  <a:prstDash val="solid"/>
                                  <a:headEnd type="none" w="med" len="med"/>
                                  <a:tailEnd type="triangle" w="med" len="med"/>
                                </a:ln>
                              </wps:spPr>
                              <wps:bodyPr/>
                            </wps:wsp>
                            <wps:wsp>
                              <wps:cNvPr id="41" name="矩形 630"/>
                              <wps:cNvSpPr/>
                              <wps:spPr>
                                <a:xfrm>
                                  <a:off x="12319" y="470776"/>
                                  <a:ext cx="867" cy="437"/>
                                </a:xfrm>
                                <a:prstGeom prst="rect">
                                  <a:avLst/>
                                </a:prstGeom>
                                <a:noFill/>
                                <a:ln w="9525" cap="flat" cmpd="sng">
                                  <a:solidFill>
                                    <a:srgbClr val="000000"/>
                                  </a:solidFill>
                                  <a:prstDash val="solid"/>
                                  <a:miter/>
                                  <a:headEnd type="none" w="med" len="med"/>
                                  <a:tailEnd type="none" w="med" len="med"/>
                                </a:ln>
                              </wps:spPr>
                              <wps:txbx>
                                <w:txbxContent>
                                  <w:p w14:paraId="0AECAC75">
                                    <w:pPr>
                                      <w:pStyle w:val="22"/>
                                      <w:bidi w:val="0"/>
                                      <w:rPr>
                                        <w:rFonts w:hint="default"/>
                                        <w:lang w:val="en-US" w:eastAsia="zh-CN"/>
                                      </w:rPr>
                                    </w:pPr>
                                    <w:r>
                                      <w:rPr>
                                        <w:rFonts w:hint="eastAsia"/>
                                        <w:lang w:val="en-US" w:eastAsia="zh-CN"/>
                                      </w:rPr>
                                      <w:t>检验</w:t>
                                    </w:r>
                                  </w:p>
                                </w:txbxContent>
                              </wps:txbx>
                              <wps:bodyPr wrap="square" upright="1"/>
                            </wps:wsp>
                            <wps:wsp>
                              <wps:cNvPr id="45" name="自选图形 619"/>
                              <wps:cNvCnPr/>
                              <wps:spPr>
                                <a:xfrm>
                                  <a:off x="13193" y="470057"/>
                                  <a:ext cx="595" cy="1"/>
                                </a:xfrm>
                                <a:prstGeom prst="straightConnector1">
                                  <a:avLst/>
                                </a:prstGeom>
                                <a:ln w="0" cap="flat" cmpd="sng">
                                  <a:solidFill>
                                    <a:srgbClr val="000000"/>
                                  </a:solidFill>
                                  <a:prstDash val="sysDot"/>
                                  <a:headEnd type="none" w="med" len="med"/>
                                  <a:tailEnd type="triangle" w="med" len="med"/>
                                </a:ln>
                              </wps:spPr>
                              <wps:bodyPr/>
                            </wps:wsp>
                            <wps:wsp>
                              <wps:cNvPr id="65" name="自选图形 613"/>
                              <wps:cNvCnPr/>
                              <wps:spPr>
                                <a:xfrm flipV="1">
                                  <a:off x="11598" y="469147"/>
                                  <a:ext cx="523" cy="6"/>
                                </a:xfrm>
                                <a:prstGeom prst="straightConnector1">
                                  <a:avLst/>
                                </a:prstGeom>
                                <a:ln w="9525" cap="flat" cmpd="sng">
                                  <a:solidFill>
                                    <a:srgbClr val="000000"/>
                                  </a:solidFill>
                                  <a:prstDash val="dash"/>
                                  <a:headEnd type="none" w="med" len="med"/>
                                  <a:tailEnd type="triangle" w="med" len="med"/>
                                </a:ln>
                              </wps:spPr>
                              <wps:bodyPr/>
                            </wps:wsp>
                            <wps:wsp>
                              <wps:cNvPr id="87" name="矩形 630"/>
                              <wps:cNvSpPr/>
                              <wps:spPr>
                                <a:xfrm>
                                  <a:off x="12345" y="471688"/>
                                  <a:ext cx="866" cy="436"/>
                                </a:xfrm>
                                <a:prstGeom prst="rect">
                                  <a:avLst/>
                                </a:prstGeom>
                                <a:noFill/>
                                <a:ln w="9525" cap="flat" cmpd="sng">
                                  <a:solidFill>
                                    <a:srgbClr val="000000"/>
                                  </a:solidFill>
                                  <a:prstDash val="solid"/>
                                  <a:miter/>
                                  <a:headEnd type="none" w="med" len="med"/>
                                  <a:tailEnd type="none" w="med" len="med"/>
                                </a:ln>
                              </wps:spPr>
                              <wps:txbx>
                                <w:txbxContent>
                                  <w:p w14:paraId="3381CDD1">
                                    <w:pPr>
                                      <w:pStyle w:val="22"/>
                                      <w:bidi w:val="0"/>
                                      <w:rPr>
                                        <w:rFonts w:hint="default"/>
                                        <w:lang w:val="en-US" w:eastAsia="zh-CN"/>
                                      </w:rPr>
                                    </w:pPr>
                                    <w:r>
                                      <w:rPr>
                                        <w:rFonts w:hint="eastAsia"/>
                                        <w:lang w:val="en-US" w:eastAsia="zh-CN"/>
                                      </w:rPr>
                                      <w:t>入库</w:t>
                                    </w:r>
                                  </w:p>
                                </w:txbxContent>
                              </wps:txbx>
                              <wps:bodyPr wrap="square" upright="1"/>
                            </wps:wsp>
                            <wps:wsp>
                              <wps:cNvPr id="88" name="自选图形 613"/>
                              <wps:cNvCnPr/>
                              <wps:spPr>
                                <a:xfrm>
                                  <a:off x="12779" y="470276"/>
                                  <a:ext cx="2" cy="488"/>
                                </a:xfrm>
                                <a:prstGeom prst="straightConnector1">
                                  <a:avLst/>
                                </a:prstGeom>
                                <a:ln w="9525" cap="flat" cmpd="sng">
                                  <a:solidFill>
                                    <a:srgbClr val="000000"/>
                                  </a:solidFill>
                                  <a:prstDash val="solid"/>
                                  <a:headEnd type="none" w="med" len="med"/>
                                  <a:tailEnd type="triangle" w="med" len="med"/>
                                </a:ln>
                              </wps:spPr>
                              <wps:bodyPr/>
                            </wps:wsp>
                            <wps:wsp>
                              <wps:cNvPr id="94" name="自选图形 619"/>
                              <wps:cNvCnPr/>
                              <wps:spPr>
                                <a:xfrm>
                                  <a:off x="13193" y="470993"/>
                                  <a:ext cx="595" cy="1"/>
                                </a:xfrm>
                                <a:prstGeom prst="straightConnector1">
                                  <a:avLst/>
                                </a:prstGeom>
                                <a:ln w="0" cap="flat" cmpd="sng">
                                  <a:solidFill>
                                    <a:srgbClr val="000000"/>
                                  </a:solidFill>
                                  <a:prstDash val="sysDot"/>
                                  <a:headEnd type="none" w="med" len="med"/>
                                  <a:tailEnd type="triangle" w="med" len="med"/>
                                </a:ln>
                              </wps:spPr>
                              <wps:bodyPr/>
                            </wps:wsp>
                            <wps:wsp>
                              <wps:cNvPr id="100" name="矩形 629"/>
                              <wps:cNvSpPr/>
                              <wps:spPr>
                                <a:xfrm>
                                  <a:off x="13740" y="470804"/>
                                  <a:ext cx="1020" cy="414"/>
                                </a:xfrm>
                                <a:prstGeom prst="rect">
                                  <a:avLst/>
                                </a:prstGeom>
                                <a:solidFill>
                                  <a:srgbClr val="FFFFFF">
                                    <a:alpha val="0"/>
                                  </a:srgbClr>
                                </a:solidFill>
                                <a:ln w="9525" cap="flat" cmpd="sng">
                                  <a:noFill/>
                                  <a:prstDash val="solid"/>
                                  <a:miter/>
                                  <a:headEnd type="none" w="med" len="med"/>
                                  <a:tailEnd type="none" w="med" len="med"/>
                                </a:ln>
                              </wps:spPr>
                              <wps:txbx>
                                <w:txbxContent>
                                  <w:p w14:paraId="1DA5EAE2">
                                    <w:pPr>
                                      <w:pStyle w:val="22"/>
                                      <w:bidi w:val="0"/>
                                      <w:jc w:val="both"/>
                                      <w:rPr>
                                        <w:rFonts w:hint="default" w:eastAsia="宋体"/>
                                        <w:vertAlign w:val="subscript"/>
                                        <w:lang w:val="en-US" w:eastAsia="zh-CN"/>
                                      </w:rPr>
                                    </w:pPr>
                                    <w:r>
                                      <w:rPr>
                                        <w:rFonts w:hint="eastAsia"/>
                                        <w:lang w:val="en-US" w:eastAsia="zh-CN"/>
                                      </w:rPr>
                                      <w:t>S</w:t>
                                    </w:r>
                                    <w:r>
                                      <w:rPr>
                                        <w:rFonts w:hint="eastAsia"/>
                                        <w:vertAlign w:val="subscript"/>
                                        <w:lang w:val="en-US" w:eastAsia="zh-CN"/>
                                      </w:rPr>
                                      <w:t>3</w:t>
                                    </w:r>
                                  </w:p>
                                </w:txbxContent>
                              </wps:txbx>
                              <wps:bodyPr wrap="square" upright="1"/>
                            </wps:wsp>
                          </wpg:wgp>
                        </a:graphicData>
                      </a:graphic>
                    </wp:inline>
                  </w:drawing>
                </mc:Choice>
                <mc:Fallback>
                  <w:pict>
                    <v:group id="_x0000_s1026" o:spid="_x0000_s1026" o:spt="203" style="height:363.7pt;width:248.35pt;" coordorigin="9988,464495" coordsize="5178,7629" o:gfxdata="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">
                      <o:lock v:ext="edit" aspectratio="f"/>
                      <v:rect id="矩形 625" o:spid="_x0000_s1026" o:spt="1" style="position:absolute;left:12056;top:464495;height:422;width:1420;" filled="f" stroked="f" coordsize="21600,21600" o:gfxdata="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2+0Tb4A&#10;AADb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6C2020F3">
                              <w:pPr>
                                <w:pStyle w:val="22"/>
                                <w:bidi w:val="0"/>
                                <w:rPr>
                                  <w:rFonts w:hint="default"/>
                                  <w:lang w:val="en-US" w:eastAsia="zh-CN"/>
                                </w:rPr>
                              </w:pPr>
                              <w:r>
                                <w:rPr>
                                  <w:rFonts w:hint="eastAsia"/>
                                  <w:lang w:val="en-US" w:eastAsia="zh-CN"/>
                                </w:rPr>
                                <w:t>PP/PE、色母</w:t>
                              </w:r>
                            </w:p>
                          </w:txbxContent>
                        </v:textbox>
                      </v:rect>
                      <v:rect id="矩形 629" o:spid="_x0000_s1026" o:spt="1" style="position:absolute;left:13737;top:467100;height:414;width:836;" fillcolor="#FFFFFF" filled="t" stroked="t" coordsize="21600,21600" o:gfxdata="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NErcS5AAAA2wAA&#10;AA8AAAAAAAAAAQAgAAAAIgAAAGRycy9kb3ducmV2LnhtbFBLAQIUABQAAAAIAIdO4kAzLwWeOwAA&#10;ADkAAAAQAAAAAAAAAAEAIAAAAAgBAABkcnMvc2hhcGV4bWwueG1sUEsFBgAAAAAGAAYAWwEAALID&#10;AAAAAA==&#10;">
                        <v:fill on="t" opacity="0f" focussize="0,0"/>
                        <v:stroke color="#FFFFFF" joinstyle="miter"/>
                        <v:imagedata o:title=""/>
                        <o:lock v:ext="edit" aspectratio="f"/>
                        <v:textbox>
                          <w:txbxContent>
                            <w:p w14:paraId="1CB7B5AB">
                              <w:pPr>
                                <w:pStyle w:val="22"/>
                                <w:bidi w:val="0"/>
                                <w:rPr>
                                  <w:rFonts w:hint="default" w:eastAsia="宋体"/>
                                  <w:vertAlign w:val="baseline"/>
                                  <w:lang w:val="en-US" w:eastAsia="zh-CN"/>
                                </w:rPr>
                              </w:pPr>
                              <w:r>
                                <w:rPr>
                                  <w:rFonts w:hint="eastAsia"/>
                                  <w:vertAlign w:val="baseline"/>
                                  <w:lang w:val="en-US" w:eastAsia="zh-CN"/>
                                </w:rPr>
                                <w:t>N</w:t>
                              </w:r>
                              <w:r>
                                <w:rPr>
                                  <w:rFonts w:hint="eastAsia"/>
                                  <w:vertAlign w:val="subscript"/>
                                  <w:lang w:val="en-US" w:eastAsia="zh-CN"/>
                                </w:rPr>
                                <w:t>2</w:t>
                              </w:r>
                            </w:p>
                          </w:txbxContent>
                        </v:textbox>
                      </v:rect>
                      <v:shape id="自选图形 609" o:spid="_x0000_s1026" o:spt="32" type="#_x0000_t32" style="position:absolute;left:12766;top:464887;height:440;width:0;" filled="f" stroked="t" coordsize="21600,21600" o:gfxdata="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6f9k+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矩形 630" o:spid="_x0000_s1026" o:spt="1" style="position:absolute;left:12331;top:465319;height:438;width:864;" filled="f" stroked="t" coordsize="21600,21600" o:gfxdata="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GodyvQAA&#10;ANw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14:paraId="52F28F4B">
                              <w:pPr>
                                <w:pStyle w:val="22"/>
                                <w:bidi w:val="0"/>
                                <w:rPr>
                                  <w:rFonts w:hint="eastAsia"/>
                                  <w:lang w:val="en-US" w:eastAsia="zh-CN"/>
                                </w:rPr>
                              </w:pPr>
                              <w:r>
                                <w:rPr>
                                  <w:rFonts w:hint="eastAsia"/>
                                  <w:lang w:val="en-US" w:eastAsia="zh-CN"/>
                                </w:rPr>
                                <w:t>上料</w:t>
                              </w:r>
                            </w:p>
                          </w:txbxContent>
                        </v:textbox>
                      </v:rect>
                      <v:shape id="自选图形 609" o:spid="_x0000_s1026" o:spt="32" type="#_x0000_t32" style="position:absolute;left:12771;top:465772;height:440;width:0;" filled="f" stroked="t" coordsize="21600,21600" o:gfxdata="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6FMPS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矩形 630" o:spid="_x0000_s1026" o:spt="1" style="position:absolute;left:12316;top:466210;height:438;width:910;" filled="f" stroked="t" coordsize="21600,21600" o:gfxdata="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IS8nrsAAADc&#10;AAAADwAAAAAAAAABACAAAAAiAAAAZHJzL2Rvd25yZXYueG1sUEsBAhQAFAAAAAgAh07iQDMvBZ47&#10;AAAAOQAAABAAAAAAAAAAAQAgAAAACgEAAGRycy9zaGFwZXhtbC54bWxQSwUGAAAAAAYABgBbAQAA&#10;tAMAAAAA&#10;">
                        <v:fill on="f" focussize="0,0"/>
                        <v:stroke color="#000000" joinstyle="miter"/>
                        <v:imagedata o:title=""/>
                        <o:lock v:ext="edit" aspectratio="f"/>
                        <v:textbox>
                          <w:txbxContent>
                            <w:p w14:paraId="264E7B1E">
                              <w:pPr>
                                <w:pStyle w:val="22"/>
                                <w:bidi w:val="0"/>
                                <w:rPr>
                                  <w:rFonts w:hint="default"/>
                                  <w:lang w:val="en-US" w:eastAsia="zh-CN"/>
                                </w:rPr>
                              </w:pPr>
                              <w:r>
                                <w:rPr>
                                  <w:rFonts w:hint="eastAsia"/>
                                  <w:lang w:val="en-US" w:eastAsia="zh-CN"/>
                                </w:rPr>
                                <w:t>烘干</w:t>
                              </w:r>
                            </w:p>
                          </w:txbxContent>
                        </v:textbox>
                      </v:rect>
                      <v:shape id="自选图形 609" o:spid="_x0000_s1026" o:spt="32" type="#_x0000_t32" style="position:absolute;left:12777;top:466652;height:410;width:0;" filled="f" stroked="t" coordsize="21600,21600" o:gfxdata="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GwsY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rect id="矩形 630" o:spid="_x0000_s1026" o:spt="1" style="position:absolute;left:12343;top:467061;height:438;width:869;" filled="f" stroked="t" coordsize="21600,21600" o:gfxdata="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ghgXG8AAAA&#10;3AAAAA8AAAAAAAAAAQAgAAAAIgAAAGRycy9kb3ducmV2LnhtbFBLAQIUABQAAAAIAIdO4kAzLwWe&#10;OwAAADkAAAAQAAAAAAAAAAEAIAAAAAsBAABkcnMvc2hhcGV4bWwueG1sUEsFBgAAAAAGAAYAWwEA&#10;ALUDAAAAAA==&#10;">
                        <v:fill on="f" focussize="0,0"/>
                        <v:stroke color="#000000" joinstyle="miter"/>
                        <v:imagedata o:title=""/>
                        <o:lock v:ext="edit" aspectratio="f"/>
                        <v:textbox>
                          <w:txbxContent>
                            <w:p w14:paraId="0AE12709">
                              <w:pPr>
                                <w:pStyle w:val="22"/>
                                <w:bidi w:val="0"/>
                                <w:rPr>
                                  <w:rFonts w:hint="eastAsia"/>
                                  <w:lang w:val="en-US" w:eastAsia="zh-CN"/>
                                </w:rPr>
                              </w:pPr>
                              <w:r>
                                <w:rPr>
                                  <w:rFonts w:hint="eastAsia"/>
                                  <w:lang w:val="en-US" w:eastAsia="zh-CN"/>
                                </w:rPr>
                                <w:t>混料</w:t>
                              </w:r>
                            </w:p>
                          </w:txbxContent>
                        </v:textbox>
                      </v:rect>
                      <v:shape id="自选图形 613" o:spid="_x0000_s1026" o:spt="32" type="#_x0000_t32" style="position:absolute;left:12767;top:467494;flip:x;height:488;width:5;" filled="f" stroked="t" coordsize="21600,21600" o:gfxdata="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vPoA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自选图形 619" o:spid="_x0000_s1026" o:spt="32" type="#_x0000_t32" style="position:absolute;left:13159;top:465532;height:1;width:595;" filled="f" stroked="t" coordsize="21600,21600" o:gfxdata="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B4/rr4A&#10;AADcAAAADwAAAAAAAAABACAAAAAiAAAAZHJzL2Rvd25yZXYueG1sUEsBAhQAFAAAAAgAh07iQDMv&#10;BZ47AAAAOQAAABAAAAAAAAAAAQAgAAAADQEAAGRycy9zaGFwZXhtbC54bWxQSwUGAAAAAAYABgBb&#10;AQAAtwMAAAAA&#10;">
                        <v:fill on="f" focussize="0,0"/>
                        <v:stroke weight="0pt" color="#000000" joinstyle="round" dashstyle="1 1" endarrow="block"/>
                        <v:imagedata o:title=""/>
                        <o:lock v:ext="edit" aspectratio="f"/>
                      </v:shape>
                      <v:rect id="矩形 622" o:spid="_x0000_s1026" o:spt="1" style="position:absolute;left:13659;top:465310;height:426;width:1110;" fillcolor="#FFFFFF" filled="t" stroked="f" coordsize="21600,21600" o:gfxdata="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XQ4tbsAAADc&#10;AAAADwAAAAAAAAABACAAAAAiAAAAZHJzL2Rvd25yZXYueG1sUEsBAhQAFAAAAAgAh07iQDMvBZ47&#10;AAAAOQAAABAAAAAAAAAAAQAgAAAACgEAAGRycy9zaGFwZXhtbC54bWxQSwUGAAAAAAYABgBbAQAA&#10;tAMAAAAA&#10;">
                        <v:fill on="t" opacity="0f" focussize="0,0"/>
                        <v:stroke on="f" joinstyle="miter"/>
                        <v:imagedata o:title=""/>
                        <o:lock v:ext="edit" aspectratio="f"/>
                        <v:textbox>
                          <w:txbxContent>
                            <w:p w14:paraId="6FBA9560">
                              <w:pPr>
                                <w:pStyle w:val="22"/>
                                <w:bidi w:val="0"/>
                                <w:jc w:val="both"/>
                                <w:rPr>
                                  <w:rFonts w:hint="default" w:eastAsia="宋体"/>
                                  <w:lang w:val="en-US" w:eastAsia="zh-CN"/>
                                </w:rPr>
                              </w:pPr>
                              <w:r>
                                <w:rPr>
                                  <w:rFonts w:hint="eastAsia"/>
                                  <w:vertAlign w:val="baseline"/>
                                  <w:lang w:val="en-US" w:eastAsia="zh-CN"/>
                                </w:rPr>
                                <w:t>N</w:t>
                              </w:r>
                              <w:r>
                                <w:rPr>
                                  <w:rFonts w:hint="eastAsia"/>
                                  <w:vertAlign w:val="subscript"/>
                                  <w:lang w:val="en-US" w:eastAsia="zh-CN"/>
                                </w:rPr>
                                <w:t>1、</w:t>
                              </w:r>
                              <w:r>
                                <w:rPr>
                                  <w:rFonts w:hint="eastAsia"/>
                                  <w:vertAlign w:val="baseline"/>
                                  <w:lang w:val="en-US" w:eastAsia="zh-CN"/>
                                </w:rPr>
                                <w:t>G</w:t>
                              </w:r>
                              <w:r>
                                <w:rPr>
                                  <w:rFonts w:hint="eastAsia"/>
                                  <w:vertAlign w:val="subscript"/>
                                  <w:lang w:val="en-US" w:eastAsia="zh-CN"/>
                                </w:rPr>
                                <w:t>1</w:t>
                              </w:r>
                            </w:p>
                          </w:txbxContent>
                        </v:textbox>
                      </v:rect>
                      <v:shape id="自选图形 613" o:spid="_x0000_s1026" o:spt="32" type="#_x0000_t32" style="position:absolute;left:12778;top:469363;height:485;width:2;" filled="f" stroked="t" coordsize="21600,21600" o:gfxdata="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z+YS&#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shape>
                      <v:shape id="自选图形 619" o:spid="_x0000_s1026" o:spt="32" type="#_x0000_t32" style="position:absolute;left:13209;top:467333;height:1;width:595;" filled="f" stroked="t" coordsize="21600,21600" o:gfxdata="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PquKy/&#10;AAAA2wAAAA8AAAAAAAAAAQAgAAAAIgAAAGRycy9kb3ducmV2LnhtbFBLAQIUABQAAAAIAIdO4kAz&#10;LwWeOwAAADkAAAAQAAAAAAAAAAEAIAAAAA4BAABkcnMvc2hhcGV4bWwueG1sUEsFBgAAAAAGAAYA&#10;WwEAALgDAAAAAA==&#10;">
                        <v:fill on="f" focussize="0,0"/>
                        <v:stroke weight="0pt" color="#000000" joinstyle="round" dashstyle="1 1" endarrow="block"/>
                        <v:imagedata o:title=""/>
                        <o:lock v:ext="edit" aspectratio="f"/>
                      </v:shape>
                      <v:shape id="自选图形 619" o:spid="_x0000_s1026" o:spt="32" type="#_x0000_t32" style="position:absolute;left:13244;top:466432;height:1;width:595;" filled="f" stroked="t" coordsize="21600,21600" o:gfxdata="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M4Jtu/&#10;AAAA2wAAAA8AAAAAAAAAAQAgAAAAIgAAAGRycy9kb3ducmV2LnhtbFBLAQIUABQAAAAIAIdO4kAz&#10;LwWeOwAAADkAAAAQAAAAAAAAAAEAIAAAAA4BAABkcnMvc2hhcGV4bWwueG1sUEsFBgAAAAAGAAYA&#10;WwEAALgDAAAAAA==&#10;">
                        <v:fill on="f" focussize="0,0"/>
                        <v:stroke weight="0pt" color="#000000" joinstyle="round" dashstyle="1 1" endarrow="block"/>
                        <v:imagedata o:title=""/>
                        <o:lock v:ext="edit" aspectratio="f"/>
                      </v:shape>
                      <v:rect id="矩形 622" o:spid="_x0000_s1026" o:spt="1" style="position:absolute;left:13885;top:466205;height:448;width:850;" fillcolor="#FFFFFF" filled="t" stroked="f" coordsize="21600,21600" o:gfxdata="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FhY5b4A&#10;AADbAAAADwAAAAAAAAABACAAAAAiAAAAZHJzL2Rvd25yZXYueG1sUEsBAhQAFAAAAAgAh07iQDMv&#10;BZ47AAAAOQAAABAAAAAAAAAAAQAgAAAADQEAAGRycy9zaGFwZXhtbC54bWxQSwUGAAAAAAYABgBb&#10;AQAAtwMAAAAA&#10;">
                        <v:fill on="t" opacity="0f" focussize="0,0"/>
                        <v:stroke on="f" joinstyle="miter"/>
                        <v:imagedata o:title=""/>
                        <o:lock v:ext="edit" aspectratio="f"/>
                        <v:textbox>
                          <w:txbxContent>
                            <w:p w14:paraId="1C6EAB8D">
                              <w:pPr>
                                <w:pStyle w:val="22"/>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2</w:t>
                              </w:r>
                            </w:p>
                          </w:txbxContent>
                        </v:textbox>
                      </v:rect>
                      <v:rect id="矩形 630" o:spid="_x0000_s1026" o:spt="1" style="position:absolute;left:12116;top:467990;height:438;width:1250;" filled="f" stroked="t" coordsize="21600,21600" o:gfxdata="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lPIQ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14:paraId="23F671BC">
                              <w:pPr>
                                <w:pStyle w:val="22"/>
                                <w:bidi w:val="0"/>
                                <w:rPr>
                                  <w:rFonts w:hint="default"/>
                                  <w:lang w:val="en-US" w:eastAsia="zh-CN"/>
                                </w:rPr>
                              </w:pPr>
                              <w:r>
                                <w:rPr>
                                  <w:rFonts w:hint="eastAsia"/>
                                  <w:lang w:val="en-US" w:eastAsia="zh-CN"/>
                                </w:rPr>
                                <w:t>熔融挤出</w:t>
                              </w:r>
                            </w:p>
                          </w:txbxContent>
                        </v:textbox>
                      </v:rect>
                      <v:shape id="自选图形 619" o:spid="_x0000_s1026" o:spt="32" type="#_x0000_t32" style="position:absolute;left:13374;top:468203;height:1;width:594;" filled="f" stroked="t" coordsize="21600,21600" o:gfxdata="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aWE56/&#10;AAAA2wAAAA8AAAAAAAAAAQAgAAAAIgAAAGRycy9kb3ducmV2LnhtbFBLAQIUABQAAAAIAIdO4kAz&#10;LwWeOwAAADkAAAAQAAAAAAAAAAEAIAAAAA4BAABkcnMvc2hhcGV4bWwueG1sUEsFBgAAAAAGAAYA&#10;WwEAALgDAAAAAA==&#10;">
                        <v:fill on="f" focussize="0,0"/>
                        <v:stroke weight="0pt" color="#000000" joinstyle="round" dashstyle="1 1" endarrow="block"/>
                        <v:imagedata o:title=""/>
                        <o:lock v:ext="edit" aspectratio="f"/>
                      </v:shape>
                      <v:rect id="矩形 629" o:spid="_x0000_s1026" o:spt="1" style="position:absolute;left:13834;top:467988;height:414;width:1332;" fillcolor="#FFFFFF" filled="t" stroked="f" coordsize="21600,21600" o:gfxdata="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pZ93u5AAAA2wAA&#10;AA8AAAAAAAAAAQAgAAAAIgAAAGRycy9kb3ducmV2LnhtbFBLAQIUABQAAAAIAIdO4kAzLwWeOwAA&#10;ADkAAAAQAAAAAAAAAAEAIAAAAAgBAABkcnMvc2hhcGV4bWwueG1sUEsFBgAAAAAGAAYAWwEAALID&#10;AAAAAA==&#10;">
                        <v:fill on="t" opacity="0f" focussize="0,0"/>
                        <v:stroke on="f" joinstyle="miter"/>
                        <v:imagedata o:title=""/>
                        <o:lock v:ext="edit" aspectratio="f"/>
                        <v:textbox>
                          <w:txbxContent>
                            <w:p w14:paraId="30A817FA">
                              <w:pPr>
                                <w:pStyle w:val="22"/>
                                <w:bidi w:val="0"/>
                                <w:rPr>
                                  <w:rFonts w:hint="default" w:eastAsia="宋体"/>
                                  <w:vertAlign w:val="baseline"/>
                                  <w:lang w:val="en-US" w:eastAsia="zh-CN"/>
                                </w:rPr>
                              </w:pPr>
                              <w:r>
                                <w:rPr>
                                  <w:rFonts w:hint="eastAsia"/>
                                </w:rPr>
                                <w:t>G</w:t>
                              </w:r>
                              <w:r>
                                <w:rPr>
                                  <w:rFonts w:hint="eastAsia"/>
                                  <w:vertAlign w:val="subscript"/>
                                  <w:lang w:val="en-US" w:eastAsia="zh-CN"/>
                                </w:rPr>
                                <w:t>3、</w:t>
                              </w:r>
                              <w:r>
                                <w:rPr>
                                  <w:rFonts w:hint="eastAsia"/>
                                  <w:vertAlign w:val="baseline"/>
                                  <w:lang w:val="en-US" w:eastAsia="zh-CN"/>
                                </w:rPr>
                                <w:t>N</w:t>
                              </w:r>
                              <w:r>
                                <w:rPr>
                                  <w:rFonts w:hint="eastAsia"/>
                                  <w:vertAlign w:val="subscript"/>
                                  <w:lang w:val="en-US" w:eastAsia="zh-CN"/>
                                </w:rPr>
                                <w:t>3、</w:t>
                              </w:r>
                              <w:r>
                                <w:rPr>
                                  <w:rFonts w:hint="eastAsia"/>
                                  <w:vertAlign w:val="baseline"/>
                                  <w:lang w:val="en-US" w:eastAsia="zh-CN"/>
                                </w:rPr>
                                <w:t>S</w:t>
                              </w:r>
                              <w:r>
                                <w:rPr>
                                  <w:rFonts w:hint="eastAsia"/>
                                  <w:vertAlign w:val="subscript"/>
                                  <w:lang w:val="en-US" w:eastAsia="zh-CN"/>
                                </w:rPr>
                                <w:t>1</w:t>
                              </w:r>
                            </w:p>
                          </w:txbxContent>
                        </v:textbox>
                      </v:rect>
                      <v:shape id="自选图形 613" o:spid="_x0000_s1026" o:spt="32" type="#_x0000_t32" style="position:absolute;left:12779;top:468441;flip:x;height:488;width:5;" filled="f" stroked="t" coordsize="21600,21600" o:gfxdata="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cp0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rect id="矩形 630" o:spid="_x0000_s1026" o:spt="1" style="position:absolute;left:12133;top:468926;height:436;width:1246;" filled="f" stroked="t" coordsize="21600,21600" o:gfxdata="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qBpD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14:paraId="2EEED212">
                              <w:pPr>
                                <w:pStyle w:val="22"/>
                                <w:bidi w:val="0"/>
                                <w:rPr>
                                  <w:rFonts w:hint="eastAsia"/>
                                  <w:lang w:val="en-US" w:eastAsia="zh-CN"/>
                                </w:rPr>
                              </w:pPr>
                              <w:r>
                                <w:rPr>
                                  <w:rFonts w:hint="eastAsia"/>
                                  <w:lang w:val="en-US" w:eastAsia="zh-CN"/>
                                </w:rPr>
                                <w:t>冷却成型牵引</w:t>
                              </w:r>
                            </w:p>
                          </w:txbxContent>
                        </v:textbox>
                      </v:rect>
                      <v:rect id="矩形 629" o:spid="_x0000_s1026" o:spt="1" style="position:absolute;left:13822;top:469798;height:414;width:1055;" fillcolor="#FFFFFF" filled="t" stroked="f" coordsize="21600,21600" o:gfxdata="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mSwtrsAAADb&#10;AAAADwAAAAAAAAABACAAAAAiAAAAZHJzL2Rvd25yZXYueG1sUEsBAhQAFAAAAAgAh07iQDMvBZ47&#10;AAAAOQAAABAAAAAAAAAAAQAgAAAACgEAAGRycy9zaGFwZXhtbC54bWxQSwUGAAAAAAYABgBbAQAA&#10;tAMAAAAA&#10;">
                        <v:fill on="t" opacity="0f" focussize="0,0"/>
                        <v:stroke on="f" joinstyle="miter"/>
                        <v:imagedata o:title=""/>
                        <o:lock v:ext="edit" aspectratio="f"/>
                        <v:textbox>
                          <w:txbxContent>
                            <w:p w14:paraId="62A6302D">
                              <w:pPr>
                                <w:pStyle w:val="22"/>
                                <w:bidi w:val="0"/>
                                <w:jc w:val="both"/>
                                <w:rPr>
                                  <w:rFonts w:hint="default" w:eastAsia="宋体"/>
                                  <w:vertAlign w:val="baseline"/>
                                  <w:lang w:val="en-US" w:eastAsia="zh-CN"/>
                                </w:rPr>
                              </w:pPr>
                              <w:r>
                                <w:rPr>
                                  <w:rFonts w:hint="eastAsia"/>
                                  <w:lang w:val="en-US" w:eastAsia="zh-CN"/>
                                </w:rPr>
                                <w:t>S</w:t>
                              </w:r>
                              <w:r>
                                <w:rPr>
                                  <w:rFonts w:hint="eastAsia"/>
                                  <w:vertAlign w:val="subscript"/>
                                  <w:lang w:val="en-US" w:eastAsia="zh-CN"/>
                                </w:rPr>
                                <w:t>2、</w:t>
                              </w:r>
                              <w:r>
                                <w:rPr>
                                  <w:rFonts w:hint="eastAsia"/>
                                  <w:vertAlign w:val="baseline"/>
                                  <w:lang w:val="en-US" w:eastAsia="zh-CN"/>
                                </w:rPr>
                                <w:t>N</w:t>
                              </w:r>
                              <w:r>
                                <w:rPr>
                                  <w:rFonts w:hint="eastAsia"/>
                                  <w:vertAlign w:val="subscript"/>
                                  <w:lang w:val="en-US" w:eastAsia="zh-CN"/>
                                </w:rPr>
                                <w:t>4</w:t>
                              </w:r>
                            </w:p>
                          </w:txbxContent>
                        </v:textbox>
                      </v:rect>
                      <v:rect id="矩形 630" o:spid="_x0000_s1026" o:spt="1" style="position:absolute;left:12328;top:469846;height:438;width:868;" filled="f" stroked="t" coordsize="21600,21600" o:gfxdata="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NiGv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14:paraId="058B363E">
                              <w:pPr>
                                <w:pStyle w:val="22"/>
                                <w:bidi w:val="0"/>
                                <w:rPr>
                                  <w:rFonts w:hint="default"/>
                                  <w:lang w:val="en-US" w:eastAsia="zh-CN"/>
                                </w:rPr>
                              </w:pPr>
                              <w:r>
                                <w:rPr>
                                  <w:rFonts w:hint="eastAsia"/>
                                  <w:lang w:val="en-US" w:eastAsia="zh-CN"/>
                                </w:rPr>
                                <w:t>切割</w:t>
                              </w:r>
                            </w:p>
                          </w:txbxContent>
                        </v:textbox>
                      </v:rect>
                      <v:rect id="矩形 630" o:spid="_x0000_s1026" o:spt="1" style="position:absolute;left:9988;top:469012;height:298;width:1593;" filled="f" stroked="t" coordsize="21600,21600" o:gfxdata="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xU7bsAAADb&#10;AAAADwAAAAAAAAABACAAAAAiAAAAZHJzL2Rvd25yZXYueG1sUEsBAhQAFAAAAAgAh07iQDMvBZ47&#10;AAAAOQAAABAAAAAAAAAAAQAgAAAACgEAAGRycy9zaGFwZXhtbC54bWxQSwUGAAAAAAYABgBbAQAA&#10;tAMAAAAA&#10;">
                        <v:fill on="f" focussize="0,0"/>
                        <v:stroke color="#000000" joinstyle="miter"/>
                        <v:imagedata o:title=""/>
                        <o:lock v:ext="edit" aspectratio="f"/>
                        <v:textbox inset="0mm,0mm,0mm,0mm">
                          <w:txbxContent>
                            <w:p w14:paraId="1EA4F627">
                              <w:pPr>
                                <w:pStyle w:val="22"/>
                                <w:bidi w:val="0"/>
                                <w:jc w:val="both"/>
                                <w:rPr>
                                  <w:rFonts w:hint="default"/>
                                  <w:lang w:val="en-US" w:eastAsia="zh-CN"/>
                                </w:rPr>
                              </w:pPr>
                              <w:r>
                                <w:rPr>
                                  <w:rFonts w:hint="eastAsia"/>
                                  <w:lang w:val="en-US" w:eastAsia="zh-CN"/>
                                </w:rPr>
                                <w:t>循环冷却水系统</w:t>
                              </w:r>
                            </w:p>
                          </w:txbxContent>
                        </v:textbox>
                      </v:rect>
                      <v:shape id="自选图形 613" o:spid="_x0000_s1026" o:spt="32" type="#_x0000_t32" style="position:absolute;left:12770;top:471205;height:488;width:2;" filled="f" stroked="t" coordsize="21600,21600" o:gfxdata="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ZeA3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ect id="矩形 630" o:spid="_x0000_s1026" o:spt="1" style="position:absolute;left:12319;top:470776;height:437;width:867;" filled="f" stroked="t" coordsize="21600,21600" o:gfxdata="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EaDZ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14:paraId="0AECAC75">
                              <w:pPr>
                                <w:pStyle w:val="22"/>
                                <w:bidi w:val="0"/>
                                <w:rPr>
                                  <w:rFonts w:hint="default"/>
                                  <w:lang w:val="en-US" w:eastAsia="zh-CN"/>
                                </w:rPr>
                              </w:pPr>
                              <w:r>
                                <w:rPr>
                                  <w:rFonts w:hint="eastAsia"/>
                                  <w:lang w:val="en-US" w:eastAsia="zh-CN"/>
                                </w:rPr>
                                <w:t>检验</w:t>
                              </w:r>
                            </w:p>
                          </w:txbxContent>
                        </v:textbox>
                      </v:rect>
                      <v:shape id="自选图形 619" o:spid="_x0000_s1026" o:spt="32" type="#_x0000_t32" style="position:absolute;left:13193;top:470057;height:1;width:595;" filled="f" stroked="t" coordsize="21600,21600" o:gfxdata="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nZOLP&#10;wAAAANsAAAAPAAAAAAAAAAEAIAAAACIAAABkcnMvZG93bnJldi54bWxQSwECFAAUAAAACACHTuJA&#10;My8FnjsAAAA5AAAAEAAAAAAAAAABACAAAAAPAQAAZHJzL3NoYXBleG1sLnhtbFBLBQYAAAAABgAG&#10;AFsBAAC5AwAAAAA=&#10;">
                        <v:fill on="f" focussize="0,0"/>
                        <v:stroke weight="0pt" color="#000000" joinstyle="round" dashstyle="1 1" endarrow="block"/>
                        <v:imagedata o:title=""/>
                        <o:lock v:ext="edit" aspectratio="f"/>
                      </v:shape>
                      <v:shape id="自选图形 613" o:spid="_x0000_s1026" o:spt="32" type="#_x0000_t32" style="position:absolute;left:11598;top:469147;flip:y;height:6;width:523;" filled="f" stroked="t" coordsize="21600,21600" o:gfxdata="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Iw6VeugAAANsA&#10;AAAPAAAAAAAAAAEAIAAAACIAAABkcnMvZG93bnJldi54bWxQSwECFAAUAAAACACHTuJAMy8FnjsA&#10;AAA5AAAAEAAAAAAAAAABACAAAAAJAQAAZHJzL3NoYXBleG1sLnhtbFBLBQYAAAAABgAGAFsBAACz&#10;AwAAAAA=&#10;">
                        <v:fill on="f" focussize="0,0"/>
                        <v:stroke color="#000000" joinstyle="round" dashstyle="dash" endarrow="block"/>
                        <v:imagedata o:title=""/>
                        <o:lock v:ext="edit" aspectratio="f"/>
                      </v:shape>
                      <v:rect id="矩形 630" o:spid="_x0000_s1026" o:spt="1" style="position:absolute;left:12345;top:471688;height:436;width:866;" filled="f" stroked="t" coordsize="21600,21600" o:gfxdata="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DSes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14:paraId="3381CDD1">
                              <w:pPr>
                                <w:pStyle w:val="22"/>
                                <w:bidi w:val="0"/>
                                <w:rPr>
                                  <w:rFonts w:hint="default"/>
                                  <w:lang w:val="en-US" w:eastAsia="zh-CN"/>
                                </w:rPr>
                              </w:pPr>
                              <w:r>
                                <w:rPr>
                                  <w:rFonts w:hint="eastAsia"/>
                                  <w:lang w:val="en-US" w:eastAsia="zh-CN"/>
                                </w:rPr>
                                <w:t>入库</w:t>
                              </w:r>
                            </w:p>
                          </w:txbxContent>
                        </v:textbox>
                      </v:rect>
                      <v:shape id="自选图形 613" o:spid="_x0000_s1026" o:spt="32" type="#_x0000_t32" style="position:absolute;left:12779;top:470276;height:488;width:2;" filled="f" stroked="t" coordsize="21600,21600" o:gfxdata="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wcH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自选图形 619" o:spid="_x0000_s1026" o:spt="32" type="#_x0000_t32" style="position:absolute;left:13193;top:470993;height:1;width:595;" filled="f" stroked="t" coordsize="21600,21600" o:gfxdata="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2SGsT&#10;wAAAANsAAAAPAAAAAAAAAAEAIAAAACIAAABkcnMvZG93bnJldi54bWxQSwECFAAUAAAACACHTuJA&#10;My8FnjsAAAA5AAAAEAAAAAAAAAABACAAAAAPAQAAZHJzL3NoYXBleG1sLnhtbFBLBQYAAAAABgAG&#10;AFsBAAC5AwAAAAA=&#10;">
                        <v:fill on="f" focussize="0,0"/>
                        <v:stroke weight="0pt" color="#000000" joinstyle="round" dashstyle="1 1" endarrow="block"/>
                        <v:imagedata o:title=""/>
                        <o:lock v:ext="edit" aspectratio="f"/>
                      </v:shape>
                      <v:rect id="矩形 629" o:spid="_x0000_s1026" o:spt="1" style="position:absolute;left:13740;top:470804;height:414;width:1020;" fillcolor="#FFFFFF" filled="t" stroked="f" coordsize="21600,21600" o:gfxdata="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29RkL4A&#10;AADcAAAADwAAAAAAAAABACAAAAAiAAAAZHJzL2Rvd25yZXYueG1sUEsBAhQAFAAAAAgAh07iQDMv&#10;BZ47AAAAOQAAABAAAAAAAAAAAQAgAAAADQEAAGRycy9zaGFwZXhtbC54bWxQSwUGAAAAAAYABgBb&#10;AQAAtwMAAAAA&#10;">
                        <v:fill on="t" opacity="0f" focussize="0,0"/>
                        <v:stroke on="f" joinstyle="miter"/>
                        <v:imagedata o:title=""/>
                        <o:lock v:ext="edit" aspectratio="f"/>
                        <v:textbox>
                          <w:txbxContent>
                            <w:p w14:paraId="1DA5EAE2">
                              <w:pPr>
                                <w:pStyle w:val="22"/>
                                <w:bidi w:val="0"/>
                                <w:jc w:val="both"/>
                                <w:rPr>
                                  <w:rFonts w:hint="default" w:eastAsia="宋体"/>
                                  <w:vertAlign w:val="subscript"/>
                                  <w:lang w:val="en-US" w:eastAsia="zh-CN"/>
                                </w:rPr>
                              </w:pPr>
                              <w:r>
                                <w:rPr>
                                  <w:rFonts w:hint="eastAsia"/>
                                  <w:lang w:val="en-US" w:eastAsia="zh-CN"/>
                                </w:rPr>
                                <w:t>S</w:t>
                              </w:r>
                              <w:r>
                                <w:rPr>
                                  <w:rFonts w:hint="eastAsia"/>
                                  <w:vertAlign w:val="subscript"/>
                                  <w:lang w:val="en-US" w:eastAsia="zh-CN"/>
                                </w:rPr>
                                <w:t>3</w:t>
                              </w:r>
                            </w:p>
                          </w:txbxContent>
                        </v:textbox>
                      </v:rect>
                      <w10:wrap type="none"/>
                      <w10:anchorlock/>
                    </v:group>
                  </w:pict>
                </mc:Fallback>
              </mc:AlternateContent>
            </w:r>
          </w:p>
          <w:p w14:paraId="05429835">
            <w:pPr>
              <w:jc w:val="center"/>
              <w:rPr>
                <w:b/>
                <w:color w:val="auto"/>
                <w:szCs w:val="20"/>
              </w:rPr>
            </w:pPr>
            <w:r>
              <w:rPr>
                <w:b/>
                <w:color w:val="auto"/>
                <w:szCs w:val="21"/>
              </w:rPr>
              <w:t>图</w:t>
            </w:r>
            <w:r>
              <w:rPr>
                <w:rFonts w:hint="eastAsia"/>
                <w:b/>
                <w:color w:val="auto"/>
                <w:szCs w:val="21"/>
              </w:rPr>
              <w:t>2-</w:t>
            </w:r>
            <w:r>
              <w:rPr>
                <w:rFonts w:hint="eastAsia"/>
                <w:b/>
                <w:color w:val="auto"/>
                <w:szCs w:val="21"/>
                <w:lang w:val="en-US" w:eastAsia="zh-CN"/>
              </w:rPr>
              <w:t xml:space="preserve">2 </w:t>
            </w:r>
            <w:r>
              <w:rPr>
                <w:rFonts w:hint="eastAsia"/>
                <w:b/>
                <w:color w:val="auto"/>
                <w:szCs w:val="21"/>
              </w:rPr>
              <w:t xml:space="preserve"> </w:t>
            </w:r>
            <w:r>
              <w:rPr>
                <w:rFonts w:hint="eastAsia"/>
                <w:b/>
                <w:color w:val="auto"/>
                <w:szCs w:val="21"/>
                <w:lang w:val="en-US" w:eastAsia="zh-CN"/>
              </w:rPr>
              <w:t>塑料管材</w:t>
            </w:r>
            <w:r>
              <w:rPr>
                <w:b/>
                <w:color w:val="auto"/>
                <w:szCs w:val="20"/>
              </w:rPr>
              <w:t>生产工艺流程及产污节点图</w:t>
            </w:r>
          </w:p>
          <w:p w14:paraId="24D02176">
            <w:pPr>
              <w:bidi w:val="0"/>
              <w:rPr>
                <w:b/>
                <w:bCs/>
                <w:color w:val="auto"/>
              </w:rPr>
            </w:pPr>
            <w:r>
              <w:rPr>
                <w:b/>
                <w:bCs/>
                <w:color w:val="auto"/>
              </w:rPr>
              <w:t>工艺流程说明：</w:t>
            </w:r>
          </w:p>
          <w:p w14:paraId="1B0E1660">
            <w:pPr>
              <w:bidi w:val="0"/>
              <w:rPr>
                <w:rFonts w:hint="eastAsia"/>
                <w:color w:val="auto"/>
                <w:lang w:val="en-US" w:eastAsia="zh-CN"/>
              </w:rPr>
            </w:pPr>
            <w:r>
              <w:rPr>
                <w:rFonts w:hint="eastAsia"/>
                <w:color w:val="auto"/>
                <w:lang w:val="en-US" w:eastAsia="zh-CN"/>
              </w:rPr>
              <w:t>本项目所生产管材采用外购新料PP或PE与塑料色母粒子进行混料、熔融挤出、冷却成型、切割、检验后入库存放，后期外售。</w:t>
            </w:r>
          </w:p>
          <w:p w14:paraId="38CE5AB2">
            <w:pPr>
              <w:bidi w:val="0"/>
              <w:rPr>
                <w:rFonts w:hint="eastAsia" w:eastAsia="宋体"/>
                <w:b w:val="0"/>
                <w:bCs w:val="0"/>
                <w:color w:val="auto"/>
                <w:lang w:val="en-US" w:eastAsia="zh-CN"/>
              </w:rPr>
            </w:pPr>
            <w:r>
              <w:rPr>
                <w:rFonts w:hint="eastAsia"/>
                <w:b/>
                <w:bCs/>
                <w:color w:val="auto"/>
                <w:lang w:val="en-US" w:eastAsia="zh-CN"/>
              </w:rPr>
              <w:t>上料</w:t>
            </w:r>
            <w:r>
              <w:rPr>
                <w:rFonts w:hint="eastAsia"/>
                <w:b w:val="0"/>
                <w:bCs w:val="0"/>
                <w:color w:val="auto"/>
                <w:lang w:val="en-US" w:eastAsia="zh-CN"/>
              </w:rPr>
              <w:t>：根据产品要求，选用PP塑料粒子或者PE塑料粒子与色母颗粒进行配比，色母粒子掺比≤2%。外购原料叉车运至原料库内暂存，人工拆包上料至集中供料系统料斗，集中供料系统经管道将塑料粒子密闭输送至挤出机料斗内。本项目所使用塑料粒子、色母粒子粒径在5mm左右，因此上料环节产生少量粉尘。输送环节产生</w:t>
            </w:r>
            <w:r>
              <w:rPr>
                <w:rFonts w:hint="eastAsia"/>
                <w:b w:val="0"/>
                <w:bCs w:val="0"/>
                <w:color w:val="auto"/>
                <w:lang w:val="en-US"/>
              </w:rPr>
              <w:t>机械噪声N</w:t>
            </w:r>
            <w:r>
              <w:rPr>
                <w:rFonts w:hint="eastAsia"/>
                <w:b w:val="0"/>
                <w:bCs w:val="0"/>
                <w:color w:val="auto"/>
                <w:vertAlign w:val="subscript"/>
                <w:lang w:val="en-US"/>
              </w:rPr>
              <w:t>1</w:t>
            </w:r>
            <w:r>
              <w:rPr>
                <w:rFonts w:hint="eastAsia"/>
                <w:b w:val="0"/>
                <w:bCs w:val="0"/>
                <w:color w:val="auto"/>
                <w:vertAlign w:val="subscript"/>
                <w:lang w:val="en-US" w:eastAsia="zh-CN"/>
              </w:rPr>
              <w:t>。</w:t>
            </w:r>
          </w:p>
          <w:p w14:paraId="57BBABE2">
            <w:pPr>
              <w:bidi w:val="0"/>
              <w:rPr>
                <w:rFonts w:hint="default" w:ascii="Times New Roman" w:hAnsi="Times New Roman" w:eastAsia="宋体" w:cs="Times New Roman"/>
                <w:b w:val="0"/>
                <w:bCs w:val="0"/>
                <w:color w:val="auto"/>
                <w:lang w:val="en-US" w:eastAsia="zh-CN"/>
              </w:rPr>
            </w:pPr>
            <w:r>
              <w:rPr>
                <w:rFonts w:hint="eastAsia" w:ascii="Times New Roman" w:hAnsi="Times New Roman" w:eastAsia="宋体" w:cs="Times New Roman"/>
                <w:b/>
                <w:bCs/>
                <w:color w:val="auto"/>
                <w:lang w:val="en-US" w:eastAsia="zh-CN"/>
              </w:rPr>
              <w:t>烘干</w:t>
            </w:r>
            <w:r>
              <w:rPr>
                <w:rFonts w:hint="eastAsia" w:ascii="Times New Roman" w:hAnsi="Times New Roman" w:eastAsia="宋体" w:cs="Times New Roman"/>
                <w:b w:val="0"/>
                <w:bCs w:val="0"/>
                <w:color w:val="auto"/>
                <w:lang w:val="en-US" w:eastAsia="zh-CN"/>
              </w:rPr>
              <w:t>：PE塑料粒子在混料前需要进行烘干，防止塑料粒子吸潮，80℃进行烘干一小时，后输送至混料漏斗内。烘干环节产生G</w:t>
            </w:r>
            <w:r>
              <w:rPr>
                <w:rFonts w:hint="eastAsia" w:ascii="Times New Roman" w:hAnsi="Times New Roman" w:eastAsia="宋体" w:cs="Times New Roman"/>
                <w:b w:val="0"/>
                <w:bCs w:val="0"/>
                <w:color w:val="auto"/>
                <w:vertAlign w:val="subscript"/>
                <w:lang w:val="en-US" w:eastAsia="zh-CN"/>
              </w:rPr>
              <w:t>2</w:t>
            </w:r>
            <w:r>
              <w:rPr>
                <w:rFonts w:hint="eastAsia" w:ascii="Times New Roman" w:hAnsi="Times New Roman" w:eastAsia="宋体" w:cs="Times New Roman"/>
                <w:b w:val="0"/>
                <w:bCs w:val="0"/>
                <w:color w:val="auto"/>
                <w:lang w:val="en-US" w:eastAsia="zh-CN"/>
              </w:rPr>
              <w:t>水蒸气</w:t>
            </w:r>
            <w:r>
              <w:rPr>
                <w:rFonts w:hint="eastAsia" w:cs="Times New Roman"/>
                <w:b w:val="0"/>
                <w:bCs w:val="0"/>
                <w:color w:val="auto"/>
                <w:lang w:val="en-US" w:eastAsia="zh-CN"/>
              </w:rPr>
              <w:t>向</w:t>
            </w:r>
            <w:r>
              <w:rPr>
                <w:rFonts w:hint="eastAsia" w:ascii="Times New Roman" w:hAnsi="Times New Roman" w:eastAsia="宋体" w:cs="Times New Roman"/>
                <w:b w:val="0"/>
                <w:bCs w:val="0"/>
                <w:color w:val="auto"/>
                <w:lang w:val="en-US" w:eastAsia="zh-CN"/>
              </w:rPr>
              <w:t>车间内逸散。</w:t>
            </w:r>
          </w:p>
          <w:p w14:paraId="5452BAD7">
            <w:pPr>
              <w:autoSpaceDE w:val="0"/>
              <w:autoSpaceDN w:val="0"/>
              <w:spacing w:line="360" w:lineRule="auto"/>
              <w:ind w:firstLine="482" w:firstLineChars="200"/>
              <w:jc w:val="left"/>
              <w:rPr>
                <w:rFonts w:hint="eastAsia"/>
                <w:szCs w:val="21"/>
              </w:rPr>
            </w:pPr>
            <w:r>
              <w:rPr>
                <w:rFonts w:hint="eastAsia"/>
                <w:b/>
                <w:bCs/>
                <w:color w:val="auto"/>
                <w:lang w:val="en-US" w:eastAsia="zh-CN"/>
              </w:rPr>
              <w:t>混料</w:t>
            </w:r>
            <w:r>
              <w:rPr>
                <w:rFonts w:hint="eastAsia"/>
                <w:b w:val="0"/>
                <w:bCs w:val="0"/>
                <w:color w:val="auto"/>
                <w:lang w:val="en-US" w:eastAsia="zh-CN"/>
              </w:rPr>
              <w:t>：</w:t>
            </w:r>
            <w:r>
              <w:rPr>
                <w:rFonts w:hint="eastAsia"/>
                <w:szCs w:val="21"/>
              </w:rPr>
              <w:t>通过计量系统的原料进入封闭的高速混料机中快速打散、混合。在高速混合的同时，物料通过摩擦作用升温，使物料混合均匀。混合完成的物料落入密闭储料斗内，由螺杆推入双螺杆挤出机内。项目混合工序为密闭过程，不产生粉尘外逸，此工序产生机械噪声N</w:t>
            </w:r>
            <w:r>
              <w:rPr>
                <w:rFonts w:hint="eastAsia"/>
                <w:szCs w:val="21"/>
                <w:vertAlign w:val="subscript"/>
              </w:rPr>
              <w:t>2</w:t>
            </w:r>
            <w:r>
              <w:rPr>
                <w:rFonts w:hint="eastAsia"/>
                <w:szCs w:val="21"/>
              </w:rPr>
              <w:t>。</w:t>
            </w:r>
          </w:p>
          <w:p w14:paraId="0A6A3FA9">
            <w:pPr>
              <w:spacing w:line="360" w:lineRule="auto"/>
              <w:ind w:firstLine="482" w:firstLineChars="200"/>
              <w:rPr>
                <w:szCs w:val="21"/>
              </w:rPr>
            </w:pPr>
            <w:r>
              <w:rPr>
                <w:rFonts w:hint="eastAsia"/>
                <w:b/>
                <w:bCs/>
                <w:color w:val="auto"/>
                <w:lang w:val="en-US" w:eastAsia="zh-CN"/>
              </w:rPr>
              <w:t>挤出</w:t>
            </w:r>
            <w:r>
              <w:rPr>
                <w:rFonts w:hint="eastAsia"/>
                <w:b/>
                <w:bCs/>
                <w:color w:val="auto"/>
                <w:lang w:val="en-US"/>
              </w:rPr>
              <w:t>：</w:t>
            </w:r>
            <w:r>
              <w:rPr>
                <w:rFonts w:hint="eastAsia"/>
                <w:szCs w:val="21"/>
              </w:rPr>
              <w:t>物料经密闭管路负压送入挤出机核心部位，利用挤出机辊筒之间的挤压力作用，使物料发生塑性流动变形，随着物料在料筒内随螺杆的输送过程继续加热，熔融的物料量逐渐增多，而未熔融物料量相应减少，大约在挤出机压缩段的结束处，全部物料都转变为黏流态，再经过挤出机均化段的均化作用物料温度均匀，最后螺杆将熔融物料定量、定压、定温地挤入机头。本项目挤出环节所采用的热能为电能，四条生产线均可生产PP和PE</w:t>
            </w:r>
            <w:r>
              <w:rPr>
                <w:rFonts w:hint="eastAsia"/>
                <w:szCs w:val="21"/>
                <w:lang w:val="en-US" w:eastAsia="zh-CN"/>
              </w:rPr>
              <w:t>塑料管材</w:t>
            </w:r>
            <w:r>
              <w:rPr>
                <w:rFonts w:hint="eastAsia"/>
                <w:szCs w:val="21"/>
              </w:rPr>
              <w:t>。调节设备温度和模具压力等参数：</w:t>
            </w:r>
            <w:r>
              <w:rPr>
                <w:szCs w:val="21"/>
              </w:rPr>
              <w:t>PP加热温度180~300℃、模具温度20~80℃、料管温度220~ 270℃、喷出料温度210~280℃、射出压力400~1000kg/cm</w:t>
            </w:r>
            <w:r>
              <w:rPr>
                <w:szCs w:val="21"/>
                <w:vertAlign w:val="superscript"/>
              </w:rPr>
              <w:t>2</w:t>
            </w:r>
            <w:r>
              <w:rPr>
                <w:szCs w:val="21"/>
              </w:rPr>
              <w:t>、最低操作温度200℃。料筒温度控制在180~300℃，模具温度通常为20~70℃；</w:t>
            </w:r>
            <w:r>
              <w:rPr>
                <w:rFonts w:hint="eastAsia"/>
                <w:szCs w:val="21"/>
              </w:rPr>
              <w:t>PE：</w:t>
            </w:r>
            <w:r>
              <w:rPr>
                <w:szCs w:val="21"/>
              </w:rPr>
              <w:t>加热温度180~</w:t>
            </w:r>
            <w:r>
              <w:rPr>
                <w:rFonts w:hint="eastAsia"/>
                <w:szCs w:val="21"/>
              </w:rPr>
              <w:t>22</w:t>
            </w:r>
            <w:r>
              <w:rPr>
                <w:szCs w:val="21"/>
              </w:rPr>
              <w:t>0℃、模具温度</w:t>
            </w:r>
            <w:r>
              <w:rPr>
                <w:rFonts w:hint="eastAsia"/>
                <w:szCs w:val="21"/>
              </w:rPr>
              <w:t>4</w:t>
            </w:r>
            <w:r>
              <w:rPr>
                <w:szCs w:val="21"/>
              </w:rPr>
              <w:t>0~</w:t>
            </w:r>
            <w:r>
              <w:rPr>
                <w:rFonts w:hint="eastAsia"/>
                <w:szCs w:val="21"/>
              </w:rPr>
              <w:t>7</w:t>
            </w:r>
            <w:r>
              <w:rPr>
                <w:szCs w:val="21"/>
              </w:rPr>
              <w:t>0℃、料管温度220~270℃、喷出料温度210~280℃、射出压力</w:t>
            </w:r>
            <w:r>
              <w:rPr>
                <w:rFonts w:hint="eastAsia"/>
                <w:szCs w:val="21"/>
              </w:rPr>
              <w:t>80</w:t>
            </w:r>
            <w:r>
              <w:rPr>
                <w:szCs w:val="21"/>
              </w:rPr>
              <w:t xml:space="preserve">~ </w:t>
            </w:r>
            <w:r>
              <w:rPr>
                <w:rFonts w:hint="eastAsia"/>
                <w:szCs w:val="21"/>
              </w:rPr>
              <w:t>130MP</w:t>
            </w:r>
            <w:r>
              <w:rPr>
                <w:szCs w:val="21"/>
              </w:rPr>
              <w:t>、最低操作温度200℃。</w:t>
            </w:r>
            <w:r>
              <w:rPr>
                <w:rFonts w:hint="eastAsia"/>
                <w:szCs w:val="21"/>
              </w:rPr>
              <w:t>物料经过无网模具最终制成具有一定断面尺寸规格和规定断面几何形状的线条</w:t>
            </w:r>
            <w:r>
              <w:rPr>
                <w:rFonts w:hint="eastAsia"/>
                <w:szCs w:val="21"/>
                <w:lang w:val="en-US" w:eastAsia="zh-CN"/>
              </w:rPr>
              <w:t>经过机头处挤出。</w:t>
            </w:r>
            <w:r>
              <w:t>熔融</w:t>
            </w:r>
            <w:r>
              <w:rPr>
                <w:rFonts w:hint="eastAsia"/>
              </w:rPr>
              <w:t>过程设备上带有圆形排气孔排放有机废气</w:t>
            </w:r>
            <w:r>
              <w:rPr>
                <w:rFonts w:hint="eastAsia"/>
                <w:bCs/>
              </w:rPr>
              <w:t>、</w:t>
            </w:r>
            <w:r>
              <w:rPr>
                <w:bCs/>
              </w:rPr>
              <w:t>挤出工序</w:t>
            </w:r>
            <w:r>
              <w:rPr>
                <w:rFonts w:hint="eastAsia"/>
                <w:szCs w:val="21"/>
              </w:rPr>
              <w:t>产生有机废气G</w:t>
            </w:r>
            <w:r>
              <w:rPr>
                <w:rFonts w:hint="eastAsia"/>
                <w:szCs w:val="21"/>
                <w:vertAlign w:val="subscript"/>
                <w:lang w:val="en-US" w:eastAsia="zh-CN"/>
              </w:rPr>
              <w:t>3</w:t>
            </w:r>
            <w:r>
              <w:rPr>
                <w:rFonts w:hint="eastAsia"/>
                <w:szCs w:val="21"/>
              </w:rPr>
              <w:t>、机头废料S</w:t>
            </w:r>
            <w:r>
              <w:rPr>
                <w:rFonts w:hint="eastAsia"/>
                <w:szCs w:val="21"/>
                <w:vertAlign w:val="subscript"/>
              </w:rPr>
              <w:t>1</w:t>
            </w:r>
            <w:r>
              <w:rPr>
                <w:rFonts w:hint="eastAsia"/>
                <w:szCs w:val="21"/>
              </w:rPr>
              <w:t>。</w:t>
            </w:r>
          </w:p>
          <w:p w14:paraId="2A4BB61D">
            <w:pPr>
              <w:bidi w:val="0"/>
              <w:rPr>
                <w:rFonts w:hint="eastAsia"/>
                <w:color w:val="auto"/>
                <w:szCs w:val="21"/>
              </w:rPr>
            </w:pPr>
            <w:r>
              <w:rPr>
                <w:rFonts w:hint="eastAsia"/>
                <w:b/>
                <w:bCs/>
                <w:color w:val="auto"/>
                <w:lang w:val="en-US" w:eastAsia="zh-CN"/>
              </w:rPr>
              <w:t>冷却定型</w:t>
            </w:r>
            <w:r>
              <w:rPr>
                <w:rFonts w:hint="eastAsia"/>
                <w:b/>
                <w:bCs/>
                <w:color w:val="auto"/>
                <w:lang w:val="en-US"/>
              </w:rPr>
              <w:t>：</w:t>
            </w:r>
            <w:r>
              <w:rPr>
                <w:rFonts w:hint="eastAsia"/>
                <w:color w:val="auto"/>
                <w:szCs w:val="21"/>
              </w:rPr>
              <w:t>物料经过无网模具</w:t>
            </w:r>
            <w:r>
              <w:rPr>
                <w:rFonts w:hint="eastAsia"/>
                <w:color w:val="auto"/>
                <w:szCs w:val="21"/>
                <w:lang w:val="en-US" w:eastAsia="zh-CN"/>
              </w:rPr>
              <w:t>后通过定径套冷却定型（冷却水间接夹套冷却），</w:t>
            </w:r>
            <w:r>
              <w:rPr>
                <w:rFonts w:hint="eastAsia"/>
                <w:color w:val="auto"/>
                <w:szCs w:val="21"/>
              </w:rPr>
              <w:t>加热采用电加热，机头处连接水槽，挤出的高温</w:t>
            </w:r>
            <w:r>
              <w:rPr>
                <w:rFonts w:hint="eastAsia"/>
                <w:color w:val="auto"/>
                <w:szCs w:val="21"/>
                <w:lang w:val="en-US" w:eastAsia="zh-CN"/>
              </w:rPr>
              <w:t>管材</w:t>
            </w:r>
            <w:r>
              <w:rPr>
                <w:rFonts w:hint="eastAsia"/>
                <w:color w:val="auto"/>
                <w:szCs w:val="21"/>
              </w:rPr>
              <w:t>在水槽中通过水直接冷却降温定型，冷却水经水泵打入回水管道，进入冷却池中，通过冷却塔冷却后再重新利用，该冷却水循环使用，定期添加，每年排放一次。型材经冷却成型，并通过牵引将其牵出。</w:t>
            </w:r>
          </w:p>
          <w:p w14:paraId="4BA4F950">
            <w:pPr>
              <w:pStyle w:val="30"/>
              <w:spacing w:line="360" w:lineRule="auto"/>
              <w:ind w:firstLine="422" w:firstLineChars="200"/>
              <w:jc w:val="left"/>
              <w:rPr>
                <w:rFonts w:hint="default"/>
                <w:bCs/>
                <w:color w:val="auto"/>
                <w:sz w:val="24"/>
                <w:szCs w:val="32"/>
                <w:lang w:val="en-US" w:eastAsia="zh-CN"/>
              </w:rPr>
            </w:pPr>
            <w:r>
              <w:rPr>
                <w:rFonts w:hint="eastAsia"/>
                <w:b/>
                <w:bCs/>
                <w:color w:val="auto"/>
                <w:lang w:val="en-US" w:eastAsia="zh-CN"/>
              </w:rPr>
              <w:t>牵引</w:t>
            </w:r>
            <w:r>
              <w:rPr>
                <w:rFonts w:hint="eastAsia"/>
                <w:b/>
                <w:bCs/>
                <w:color w:val="auto"/>
              </w:rPr>
              <w:t>：</w:t>
            </w:r>
            <w:r>
              <w:rPr>
                <w:rFonts w:hint="eastAsia"/>
                <w:bCs/>
                <w:color w:val="auto"/>
                <w:sz w:val="24"/>
                <w:szCs w:val="32"/>
              </w:rPr>
              <w:t>将</w:t>
            </w:r>
            <w:r>
              <w:rPr>
                <w:rFonts w:hint="eastAsia"/>
                <w:bCs/>
                <w:color w:val="auto"/>
                <w:sz w:val="24"/>
                <w:szCs w:val="32"/>
                <w:lang w:val="en-US" w:eastAsia="zh-CN"/>
              </w:rPr>
              <w:t>成型后的管材</w:t>
            </w:r>
            <w:r>
              <w:rPr>
                <w:rFonts w:hint="eastAsia"/>
                <w:bCs/>
                <w:color w:val="auto"/>
                <w:sz w:val="24"/>
                <w:szCs w:val="32"/>
              </w:rPr>
              <w:t>通过牵引</w:t>
            </w:r>
            <w:r>
              <w:rPr>
                <w:rFonts w:hint="eastAsia"/>
                <w:bCs/>
                <w:color w:val="auto"/>
                <w:sz w:val="24"/>
                <w:szCs w:val="32"/>
                <w:lang w:val="en-US" w:eastAsia="zh-CN"/>
              </w:rPr>
              <w:t>机</w:t>
            </w:r>
            <w:r>
              <w:rPr>
                <w:rFonts w:hint="eastAsia"/>
                <w:bCs/>
                <w:color w:val="auto"/>
                <w:sz w:val="24"/>
                <w:szCs w:val="32"/>
              </w:rPr>
              <w:t>牵引</w:t>
            </w:r>
            <w:r>
              <w:rPr>
                <w:rFonts w:hint="eastAsia"/>
                <w:bCs/>
                <w:color w:val="auto"/>
                <w:sz w:val="24"/>
                <w:szCs w:val="32"/>
                <w:lang w:val="en-US" w:eastAsia="zh-CN"/>
              </w:rPr>
              <w:t>至切割台面，牵引速度为</w:t>
            </w:r>
            <w:r>
              <w:rPr>
                <w:rFonts w:hint="eastAsia"/>
              </w:rPr>
              <w:t>11.2</w:t>
            </w:r>
            <w:r>
              <w:rPr>
                <w:rFonts w:hint="eastAsia"/>
                <w:lang w:val="en-US" w:eastAsia="zh-CN"/>
              </w:rPr>
              <w:t>m/min</w:t>
            </w:r>
            <w:r>
              <w:rPr>
                <w:rFonts w:hint="eastAsia"/>
                <w:bCs/>
                <w:color w:val="auto"/>
                <w:sz w:val="24"/>
                <w:szCs w:val="32"/>
                <w:lang w:val="en-US" w:eastAsia="zh-CN"/>
              </w:rPr>
              <w:t>。该过程产生设备噪声及切割边角料S</w:t>
            </w:r>
            <w:r>
              <w:rPr>
                <w:rFonts w:hint="eastAsia"/>
                <w:bCs/>
                <w:color w:val="auto"/>
                <w:sz w:val="24"/>
                <w:szCs w:val="32"/>
                <w:vertAlign w:val="subscript"/>
                <w:lang w:val="en-US" w:eastAsia="zh-CN"/>
              </w:rPr>
              <w:t>2</w:t>
            </w:r>
            <w:r>
              <w:rPr>
                <w:rFonts w:hint="eastAsia"/>
                <w:bCs/>
                <w:color w:val="auto"/>
                <w:sz w:val="24"/>
                <w:szCs w:val="32"/>
                <w:lang w:val="en-US" w:eastAsia="zh-CN"/>
              </w:rPr>
              <w:t>。</w:t>
            </w:r>
          </w:p>
          <w:p w14:paraId="1EE8DBC4">
            <w:pPr>
              <w:bidi w:val="0"/>
              <w:rPr>
                <w:rFonts w:hint="eastAsia"/>
                <w:color w:val="auto"/>
              </w:rPr>
            </w:pPr>
            <w:r>
              <w:rPr>
                <w:rFonts w:hint="eastAsia"/>
                <w:b/>
                <w:bCs/>
                <w:color w:val="auto"/>
                <w:lang w:val="en-US" w:eastAsia="zh-CN"/>
              </w:rPr>
              <w:t>检验、入库：</w:t>
            </w:r>
            <w:r>
              <w:rPr>
                <w:rFonts w:hint="eastAsia" w:ascii="Times New Roman" w:hAnsi="Times New Roman" w:eastAsia="宋体" w:cs="Times New Roman"/>
                <w:color w:val="auto"/>
                <w:lang w:val="en-US" w:eastAsia="zh-CN"/>
              </w:rPr>
              <w:t>切割成型的管材人工进行规格尺寸测量，目视检查管材的外观，合格产品包装入库外售，</w:t>
            </w:r>
            <w:r>
              <w:rPr>
                <w:rFonts w:hint="eastAsia"/>
                <w:color w:val="auto"/>
                <w:lang w:val="en-US" w:eastAsia="zh-CN"/>
              </w:rPr>
              <w:t>不合格产品收集用于破碎工序。</w:t>
            </w:r>
            <w:r>
              <w:rPr>
                <w:rFonts w:hint="eastAsia"/>
                <w:color w:val="auto"/>
              </w:rPr>
              <w:t>此工序会产生</w:t>
            </w:r>
            <w:r>
              <w:rPr>
                <w:rFonts w:hint="eastAsia"/>
                <w:color w:val="auto"/>
                <w:lang w:val="en-US" w:eastAsia="zh-CN"/>
              </w:rPr>
              <w:t>不合格产品S</w:t>
            </w:r>
            <w:r>
              <w:rPr>
                <w:rFonts w:hint="eastAsia"/>
                <w:color w:val="auto"/>
                <w:vertAlign w:val="subscript"/>
                <w:lang w:val="en-US" w:eastAsia="zh-CN"/>
              </w:rPr>
              <w:t>3</w:t>
            </w:r>
            <w:r>
              <w:rPr>
                <w:rFonts w:hint="eastAsia"/>
                <w:color w:val="auto"/>
              </w:rPr>
              <w:t>。</w:t>
            </w:r>
          </w:p>
          <w:p w14:paraId="08760BAC">
            <w:pPr>
              <w:bidi w:val="0"/>
              <w:rPr>
                <w:color w:val="auto"/>
              </w:rPr>
            </w:pPr>
            <w:r>
              <w:rPr>
                <w:color w:val="auto"/>
              </w:rPr>
              <w:t>主要污染工序：</w:t>
            </w:r>
          </w:p>
          <w:p w14:paraId="0B7D6526">
            <w:pPr>
              <w:bidi w:val="0"/>
              <w:rPr>
                <w:color w:val="auto"/>
              </w:rPr>
            </w:pPr>
            <w:r>
              <w:rPr>
                <w:rFonts w:hint="eastAsia"/>
                <w:color w:val="auto"/>
              </w:rPr>
              <w:t>根据建设项目工艺流程，本项目建设完成后主要污染源及产生的污染物如下：</w:t>
            </w:r>
          </w:p>
          <w:p w14:paraId="53262CA9">
            <w:pPr>
              <w:pStyle w:val="21"/>
              <w:bidi w:val="0"/>
              <w:rPr>
                <w:color w:val="auto"/>
              </w:rPr>
            </w:pPr>
          </w:p>
          <w:p w14:paraId="1F8B3786">
            <w:pPr>
              <w:pStyle w:val="21"/>
              <w:bidi w:val="0"/>
              <w:rPr>
                <w:color w:val="auto"/>
              </w:rPr>
            </w:pPr>
          </w:p>
          <w:p w14:paraId="0C1CA76A">
            <w:pPr>
              <w:pStyle w:val="21"/>
              <w:bidi w:val="0"/>
              <w:rPr>
                <w:color w:val="auto"/>
              </w:rPr>
            </w:pPr>
            <w:r>
              <w:rPr>
                <w:color w:val="auto"/>
              </w:rPr>
              <w:t>表</w:t>
            </w:r>
            <w:r>
              <w:rPr>
                <w:rFonts w:hint="eastAsia"/>
                <w:color w:val="auto"/>
              </w:rPr>
              <w:t>2-</w:t>
            </w:r>
            <w:r>
              <w:rPr>
                <w:rFonts w:hint="eastAsia"/>
                <w:color w:val="auto"/>
                <w:lang w:val="en-US" w:eastAsia="zh-CN"/>
              </w:rPr>
              <w:t xml:space="preserve">8 </w:t>
            </w:r>
            <w:r>
              <w:rPr>
                <w:color w:val="auto"/>
              </w:rPr>
              <w:t xml:space="preserve"> 主要产</w:t>
            </w:r>
            <w:r>
              <w:rPr>
                <w:rFonts w:hint="eastAsia"/>
                <w:color w:val="auto"/>
                <w:lang w:val="en-US" w:eastAsia="zh-CN"/>
              </w:rPr>
              <w:t>污</w:t>
            </w:r>
            <w:r>
              <w:rPr>
                <w:color w:val="auto"/>
              </w:rPr>
              <w:t>环节和排污特征</w:t>
            </w:r>
          </w:p>
          <w:tbl>
            <w:tblPr>
              <w:tblStyle w:val="12"/>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553"/>
              <w:gridCol w:w="1147"/>
              <w:gridCol w:w="2308"/>
              <w:gridCol w:w="3098"/>
              <w:gridCol w:w="1057"/>
            </w:tblGrid>
            <w:tr w14:paraId="6B29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noWrap w:val="0"/>
                  <w:vAlign w:val="center"/>
                </w:tcPr>
                <w:p w14:paraId="0BB6FCCB">
                  <w:pPr>
                    <w:pStyle w:val="22"/>
                    <w:bidi w:val="0"/>
                    <w:rPr>
                      <w:b/>
                      <w:bCs/>
                      <w:color w:val="auto"/>
                    </w:rPr>
                  </w:pPr>
                  <w:r>
                    <w:rPr>
                      <w:b/>
                      <w:bCs/>
                      <w:color w:val="auto"/>
                    </w:rPr>
                    <w:t>类别</w:t>
                  </w:r>
                </w:p>
              </w:tc>
              <w:tc>
                <w:tcPr>
                  <w:tcW w:w="1147" w:type="dxa"/>
                  <w:noWrap w:val="0"/>
                  <w:vAlign w:val="center"/>
                </w:tcPr>
                <w:p w14:paraId="46308D3D">
                  <w:pPr>
                    <w:pStyle w:val="22"/>
                    <w:bidi w:val="0"/>
                    <w:rPr>
                      <w:b/>
                      <w:bCs/>
                      <w:color w:val="auto"/>
                    </w:rPr>
                  </w:pPr>
                  <w:r>
                    <w:rPr>
                      <w:b/>
                      <w:bCs/>
                      <w:color w:val="auto"/>
                    </w:rPr>
                    <w:t>产生工序</w:t>
                  </w:r>
                </w:p>
              </w:tc>
              <w:tc>
                <w:tcPr>
                  <w:tcW w:w="2308" w:type="dxa"/>
                  <w:noWrap w:val="0"/>
                  <w:vAlign w:val="center"/>
                </w:tcPr>
                <w:p w14:paraId="798A11A8">
                  <w:pPr>
                    <w:pStyle w:val="22"/>
                    <w:bidi w:val="0"/>
                    <w:rPr>
                      <w:b/>
                      <w:bCs/>
                      <w:color w:val="auto"/>
                    </w:rPr>
                  </w:pPr>
                  <w:r>
                    <w:rPr>
                      <w:b/>
                      <w:bCs/>
                      <w:color w:val="auto"/>
                    </w:rPr>
                    <w:t>污染物</w:t>
                  </w:r>
                </w:p>
              </w:tc>
              <w:tc>
                <w:tcPr>
                  <w:tcW w:w="3098" w:type="dxa"/>
                  <w:noWrap w:val="0"/>
                  <w:vAlign w:val="center"/>
                </w:tcPr>
                <w:p w14:paraId="0D6A758C">
                  <w:pPr>
                    <w:pStyle w:val="22"/>
                    <w:bidi w:val="0"/>
                    <w:rPr>
                      <w:b/>
                      <w:bCs/>
                      <w:color w:val="auto"/>
                    </w:rPr>
                  </w:pPr>
                  <w:r>
                    <w:rPr>
                      <w:rFonts w:hint="eastAsia"/>
                      <w:b/>
                      <w:bCs/>
                      <w:color w:val="auto"/>
                    </w:rPr>
                    <w:t>处理措施</w:t>
                  </w:r>
                </w:p>
              </w:tc>
              <w:tc>
                <w:tcPr>
                  <w:tcW w:w="1057" w:type="dxa"/>
                  <w:noWrap w:val="0"/>
                  <w:vAlign w:val="center"/>
                </w:tcPr>
                <w:p w14:paraId="0EA4BA79">
                  <w:pPr>
                    <w:pStyle w:val="22"/>
                    <w:bidi w:val="0"/>
                    <w:rPr>
                      <w:b/>
                      <w:bCs/>
                      <w:color w:val="auto"/>
                    </w:rPr>
                  </w:pPr>
                  <w:r>
                    <w:rPr>
                      <w:b/>
                      <w:bCs/>
                      <w:color w:val="auto"/>
                    </w:rPr>
                    <w:t>排放方式</w:t>
                  </w:r>
                </w:p>
              </w:tc>
            </w:tr>
            <w:tr w14:paraId="35824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restart"/>
                  <w:noWrap w:val="0"/>
                  <w:vAlign w:val="center"/>
                </w:tcPr>
                <w:p w14:paraId="502A48AD">
                  <w:pPr>
                    <w:pStyle w:val="22"/>
                    <w:bidi w:val="0"/>
                    <w:rPr>
                      <w:color w:val="auto"/>
                    </w:rPr>
                  </w:pPr>
                  <w:r>
                    <w:rPr>
                      <w:color w:val="auto"/>
                    </w:rPr>
                    <w:t>废气</w:t>
                  </w:r>
                </w:p>
              </w:tc>
              <w:tc>
                <w:tcPr>
                  <w:tcW w:w="1147" w:type="dxa"/>
                  <w:noWrap w:val="0"/>
                  <w:vAlign w:val="center"/>
                </w:tcPr>
                <w:p w14:paraId="5BFA22EB">
                  <w:pPr>
                    <w:pStyle w:val="22"/>
                    <w:bidi w:val="0"/>
                    <w:rPr>
                      <w:rFonts w:hint="default"/>
                      <w:color w:val="auto"/>
                      <w:lang w:val="en-US" w:eastAsia="zh-CN"/>
                    </w:rPr>
                  </w:pPr>
                  <w:r>
                    <w:rPr>
                      <w:rFonts w:hint="eastAsia"/>
                      <w:color w:val="auto"/>
                      <w:lang w:val="en-US" w:eastAsia="zh-CN"/>
                    </w:rPr>
                    <w:t>上料</w:t>
                  </w:r>
                </w:p>
              </w:tc>
              <w:tc>
                <w:tcPr>
                  <w:tcW w:w="2308" w:type="dxa"/>
                  <w:noWrap w:val="0"/>
                  <w:vAlign w:val="center"/>
                </w:tcPr>
                <w:p w14:paraId="3BBA1E18">
                  <w:pPr>
                    <w:pStyle w:val="22"/>
                    <w:bidi w:val="0"/>
                    <w:rPr>
                      <w:rFonts w:hint="default"/>
                      <w:color w:val="auto"/>
                      <w:lang w:val="en-US" w:eastAsia="zh-CN"/>
                    </w:rPr>
                  </w:pPr>
                  <w:r>
                    <w:rPr>
                      <w:rFonts w:hint="eastAsia"/>
                      <w:color w:val="auto"/>
                    </w:rPr>
                    <w:t>G</w:t>
                  </w:r>
                  <w:r>
                    <w:rPr>
                      <w:rFonts w:hint="eastAsia"/>
                      <w:color w:val="auto"/>
                      <w:vertAlign w:val="subscript"/>
                    </w:rPr>
                    <w:t>1</w:t>
                  </w:r>
                  <w:r>
                    <w:rPr>
                      <w:rFonts w:hint="eastAsia"/>
                      <w:color w:val="auto"/>
                      <w:lang w:val="en-US" w:eastAsia="zh-CN"/>
                    </w:rPr>
                    <w:t>粉尘</w:t>
                  </w:r>
                </w:p>
              </w:tc>
              <w:tc>
                <w:tcPr>
                  <w:tcW w:w="3098" w:type="dxa"/>
                  <w:noWrap w:val="0"/>
                  <w:vAlign w:val="center"/>
                </w:tcPr>
                <w:p w14:paraId="46D6D526">
                  <w:pPr>
                    <w:pStyle w:val="22"/>
                    <w:bidi w:val="0"/>
                    <w:rPr>
                      <w:rFonts w:hint="default"/>
                      <w:color w:val="auto"/>
                      <w:lang w:val="en-US" w:eastAsia="zh-CN"/>
                    </w:rPr>
                  </w:pPr>
                  <w:r>
                    <w:rPr>
                      <w:rFonts w:hint="eastAsia"/>
                      <w:color w:val="auto"/>
                      <w:lang w:val="en-US" w:eastAsia="zh-CN"/>
                    </w:rPr>
                    <w:t>密闭原料库上料，选用塑料粒子粒径较大，车间地面干法清洁，料斗上方安装集气罩收集经布袋除尘器处理经15m排气筒DA002排放</w:t>
                  </w:r>
                </w:p>
              </w:tc>
              <w:tc>
                <w:tcPr>
                  <w:tcW w:w="1057" w:type="dxa"/>
                  <w:noWrap w:val="0"/>
                  <w:vAlign w:val="center"/>
                </w:tcPr>
                <w:p w14:paraId="46723A4D">
                  <w:pPr>
                    <w:pStyle w:val="22"/>
                    <w:bidi w:val="0"/>
                    <w:rPr>
                      <w:color w:val="auto"/>
                    </w:rPr>
                  </w:pPr>
                  <w:r>
                    <w:rPr>
                      <w:rFonts w:hint="eastAsia"/>
                      <w:color w:val="auto"/>
                      <w:lang w:val="en-US" w:eastAsia="zh-CN"/>
                    </w:rPr>
                    <w:t>有</w:t>
                  </w:r>
                  <w:r>
                    <w:rPr>
                      <w:rFonts w:hint="eastAsia"/>
                      <w:color w:val="auto"/>
                    </w:rPr>
                    <w:t>组织</w:t>
                  </w:r>
                </w:p>
              </w:tc>
            </w:tr>
            <w:tr w14:paraId="7C610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563316C4">
                  <w:pPr>
                    <w:pStyle w:val="22"/>
                    <w:bidi w:val="0"/>
                    <w:rPr>
                      <w:color w:val="auto"/>
                    </w:rPr>
                  </w:pPr>
                </w:p>
              </w:tc>
              <w:tc>
                <w:tcPr>
                  <w:tcW w:w="1147" w:type="dxa"/>
                  <w:noWrap w:val="0"/>
                  <w:vAlign w:val="center"/>
                </w:tcPr>
                <w:p w14:paraId="42F748F8">
                  <w:pPr>
                    <w:pStyle w:val="22"/>
                    <w:bidi w:val="0"/>
                    <w:rPr>
                      <w:rFonts w:hint="default"/>
                      <w:color w:val="auto"/>
                      <w:lang w:val="en-US" w:eastAsia="zh-CN"/>
                    </w:rPr>
                  </w:pPr>
                  <w:r>
                    <w:rPr>
                      <w:rFonts w:hint="eastAsia"/>
                      <w:color w:val="auto"/>
                      <w:lang w:val="en-US" w:eastAsia="zh-CN"/>
                    </w:rPr>
                    <w:t>边角料、不合格品破碎</w:t>
                  </w:r>
                </w:p>
              </w:tc>
              <w:tc>
                <w:tcPr>
                  <w:tcW w:w="2308" w:type="dxa"/>
                  <w:noWrap w:val="0"/>
                  <w:vAlign w:val="center"/>
                </w:tcPr>
                <w:p w14:paraId="627E4A6D">
                  <w:pPr>
                    <w:pStyle w:val="22"/>
                    <w:bidi w:val="0"/>
                    <w:rPr>
                      <w:rFonts w:hint="eastAsia"/>
                      <w:color w:val="auto"/>
                    </w:rPr>
                  </w:pPr>
                  <w:r>
                    <w:rPr>
                      <w:rFonts w:hint="eastAsia"/>
                      <w:color w:val="auto"/>
                      <w:lang w:val="en-US" w:eastAsia="zh-CN"/>
                    </w:rPr>
                    <w:t>粉尘</w:t>
                  </w:r>
                </w:p>
              </w:tc>
              <w:tc>
                <w:tcPr>
                  <w:tcW w:w="3098" w:type="dxa"/>
                  <w:noWrap w:val="0"/>
                  <w:vAlign w:val="center"/>
                </w:tcPr>
                <w:p w14:paraId="33FBB182">
                  <w:pPr>
                    <w:pStyle w:val="22"/>
                    <w:bidi w:val="0"/>
                    <w:rPr>
                      <w:rFonts w:hint="default"/>
                      <w:color w:val="auto"/>
                      <w:lang w:val="en-US" w:eastAsia="zh-CN"/>
                    </w:rPr>
                  </w:pPr>
                  <w:r>
                    <w:rPr>
                      <w:rFonts w:hint="eastAsia"/>
                      <w:color w:val="auto"/>
                      <w:lang w:val="en-US" w:eastAsia="zh-CN"/>
                    </w:rPr>
                    <w:t>边角料、不合格品进行撕碎成小块后人工送入破碎机料斗，密闭破碎，破碎粉尘经密闭收集并入布袋除尘器处理后经15m排气筒DA002排放</w:t>
                  </w:r>
                </w:p>
              </w:tc>
              <w:tc>
                <w:tcPr>
                  <w:tcW w:w="1057" w:type="dxa"/>
                  <w:noWrap w:val="0"/>
                  <w:vAlign w:val="center"/>
                </w:tcPr>
                <w:p w14:paraId="6F34C211">
                  <w:pPr>
                    <w:pStyle w:val="22"/>
                    <w:bidi w:val="0"/>
                    <w:rPr>
                      <w:rFonts w:hint="eastAsia"/>
                      <w:color w:val="auto"/>
                      <w:lang w:val="en-US" w:eastAsia="zh-CN"/>
                    </w:rPr>
                  </w:pPr>
                  <w:r>
                    <w:rPr>
                      <w:rFonts w:hint="eastAsia"/>
                      <w:color w:val="auto"/>
                      <w:lang w:val="en-US" w:eastAsia="zh-CN"/>
                    </w:rPr>
                    <w:t>有</w:t>
                  </w:r>
                  <w:r>
                    <w:rPr>
                      <w:rFonts w:hint="eastAsia"/>
                      <w:color w:val="auto"/>
                    </w:rPr>
                    <w:t>组织</w:t>
                  </w:r>
                </w:p>
              </w:tc>
            </w:tr>
            <w:tr w14:paraId="11DB2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43A83C3C">
                  <w:pPr>
                    <w:pStyle w:val="22"/>
                    <w:bidi w:val="0"/>
                    <w:rPr>
                      <w:color w:val="auto"/>
                    </w:rPr>
                  </w:pPr>
                </w:p>
              </w:tc>
              <w:tc>
                <w:tcPr>
                  <w:tcW w:w="1147" w:type="dxa"/>
                  <w:noWrap w:val="0"/>
                  <w:vAlign w:val="center"/>
                </w:tcPr>
                <w:p w14:paraId="30B8CA73">
                  <w:pPr>
                    <w:pStyle w:val="22"/>
                    <w:bidi w:val="0"/>
                    <w:rPr>
                      <w:rFonts w:hint="default"/>
                      <w:color w:val="auto"/>
                      <w:lang w:val="en-US" w:eastAsia="zh-CN"/>
                    </w:rPr>
                  </w:pPr>
                  <w:r>
                    <w:rPr>
                      <w:rFonts w:hint="eastAsia"/>
                      <w:color w:val="auto"/>
                      <w:lang w:val="en-US" w:eastAsia="zh-CN"/>
                    </w:rPr>
                    <w:t>烘干</w:t>
                  </w:r>
                </w:p>
              </w:tc>
              <w:tc>
                <w:tcPr>
                  <w:tcW w:w="2308" w:type="dxa"/>
                  <w:noWrap w:val="0"/>
                  <w:vAlign w:val="center"/>
                </w:tcPr>
                <w:p w14:paraId="420AB9EC">
                  <w:pPr>
                    <w:pStyle w:val="22"/>
                    <w:bidi w:val="0"/>
                    <w:rPr>
                      <w:rFonts w:hint="eastAsia"/>
                      <w:color w:val="auto"/>
                    </w:rPr>
                  </w:pPr>
                  <w:r>
                    <w:rPr>
                      <w:rFonts w:hint="eastAsia"/>
                      <w:color w:val="auto"/>
                    </w:rPr>
                    <w:t>G</w:t>
                  </w:r>
                  <w:r>
                    <w:rPr>
                      <w:rFonts w:hint="eastAsia"/>
                      <w:color w:val="auto"/>
                      <w:vertAlign w:val="subscript"/>
                      <w:lang w:val="en-US" w:eastAsia="zh-CN"/>
                    </w:rPr>
                    <w:t>2</w:t>
                  </w:r>
                  <w:r>
                    <w:rPr>
                      <w:rFonts w:hint="eastAsia"/>
                      <w:color w:val="auto"/>
                      <w:vertAlign w:val="baseline"/>
                      <w:lang w:val="en-US" w:eastAsia="zh-CN"/>
                    </w:rPr>
                    <w:t>水蒸气</w:t>
                  </w:r>
                </w:p>
              </w:tc>
              <w:tc>
                <w:tcPr>
                  <w:tcW w:w="3098" w:type="dxa"/>
                  <w:noWrap w:val="0"/>
                  <w:vAlign w:val="center"/>
                </w:tcPr>
                <w:p w14:paraId="4E797F28">
                  <w:pPr>
                    <w:pStyle w:val="22"/>
                    <w:bidi w:val="0"/>
                    <w:rPr>
                      <w:rFonts w:hint="default"/>
                      <w:color w:val="auto"/>
                      <w:lang w:val="en-US" w:eastAsia="zh-CN"/>
                    </w:rPr>
                  </w:pPr>
                  <w:r>
                    <w:rPr>
                      <w:rFonts w:hint="eastAsia"/>
                      <w:color w:val="auto"/>
                      <w:lang w:val="en-US" w:eastAsia="zh-CN"/>
                    </w:rPr>
                    <w:t>/</w:t>
                  </w:r>
                </w:p>
              </w:tc>
              <w:tc>
                <w:tcPr>
                  <w:tcW w:w="1057" w:type="dxa"/>
                  <w:noWrap w:val="0"/>
                  <w:vAlign w:val="center"/>
                </w:tcPr>
                <w:p w14:paraId="121962F9">
                  <w:pPr>
                    <w:pStyle w:val="22"/>
                    <w:bidi w:val="0"/>
                    <w:rPr>
                      <w:rFonts w:hint="eastAsia"/>
                      <w:color w:val="auto"/>
                      <w:lang w:val="en-US" w:eastAsia="zh-CN"/>
                    </w:rPr>
                  </w:pPr>
                  <w:r>
                    <w:rPr>
                      <w:rFonts w:hint="eastAsia"/>
                      <w:color w:val="auto"/>
                      <w:lang w:val="en-US" w:eastAsia="zh-CN"/>
                    </w:rPr>
                    <w:t>无</w:t>
                  </w:r>
                  <w:r>
                    <w:rPr>
                      <w:rFonts w:hint="eastAsia"/>
                      <w:color w:val="auto"/>
                    </w:rPr>
                    <w:t>组织</w:t>
                  </w:r>
                </w:p>
              </w:tc>
            </w:tr>
            <w:tr w14:paraId="3F85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785" w:hRule="atLeast"/>
                <w:jc w:val="center"/>
              </w:trPr>
              <w:tc>
                <w:tcPr>
                  <w:tcW w:w="553" w:type="dxa"/>
                  <w:vMerge w:val="continue"/>
                  <w:noWrap w:val="0"/>
                  <w:vAlign w:val="center"/>
                </w:tcPr>
                <w:p w14:paraId="52D5DC87">
                  <w:pPr>
                    <w:pStyle w:val="22"/>
                    <w:bidi w:val="0"/>
                    <w:rPr>
                      <w:color w:val="0000FF"/>
                    </w:rPr>
                  </w:pPr>
                </w:p>
              </w:tc>
              <w:tc>
                <w:tcPr>
                  <w:tcW w:w="1147" w:type="dxa"/>
                  <w:noWrap w:val="0"/>
                  <w:vAlign w:val="center"/>
                </w:tcPr>
                <w:p w14:paraId="5CF5BC40">
                  <w:pPr>
                    <w:pStyle w:val="22"/>
                    <w:bidi w:val="0"/>
                    <w:rPr>
                      <w:rFonts w:hint="default"/>
                      <w:color w:val="auto"/>
                      <w:lang w:val="en-US" w:eastAsia="zh-CN"/>
                    </w:rPr>
                  </w:pPr>
                  <w:r>
                    <w:rPr>
                      <w:rFonts w:hint="eastAsia"/>
                      <w:color w:val="auto"/>
                      <w:lang w:val="en-US" w:eastAsia="zh-CN"/>
                    </w:rPr>
                    <w:t>熔融挤出</w:t>
                  </w:r>
                </w:p>
              </w:tc>
              <w:tc>
                <w:tcPr>
                  <w:tcW w:w="2308" w:type="dxa"/>
                  <w:noWrap w:val="0"/>
                  <w:vAlign w:val="center"/>
                </w:tcPr>
                <w:p w14:paraId="143F054B">
                  <w:pPr>
                    <w:pStyle w:val="22"/>
                    <w:bidi w:val="0"/>
                    <w:rPr>
                      <w:rFonts w:hint="default"/>
                      <w:color w:val="auto"/>
                      <w:lang w:val="en-US" w:eastAsia="zh-CN"/>
                    </w:rPr>
                  </w:pPr>
                  <w:r>
                    <w:rPr>
                      <w:rFonts w:hint="eastAsia"/>
                      <w:color w:val="auto"/>
                    </w:rPr>
                    <w:t>G</w:t>
                  </w:r>
                  <w:r>
                    <w:rPr>
                      <w:rFonts w:hint="eastAsia"/>
                      <w:color w:val="auto"/>
                      <w:vertAlign w:val="subscript"/>
                      <w:lang w:val="en-US" w:eastAsia="zh-CN"/>
                    </w:rPr>
                    <w:t>3</w:t>
                  </w:r>
                  <w:r>
                    <w:rPr>
                      <w:rFonts w:hint="eastAsia"/>
                      <w:color w:val="auto"/>
                      <w:lang w:val="en-US" w:eastAsia="zh-CN"/>
                    </w:rPr>
                    <w:t>有机废气（非甲烷总烃）</w:t>
                  </w:r>
                </w:p>
              </w:tc>
              <w:tc>
                <w:tcPr>
                  <w:tcW w:w="3098" w:type="dxa"/>
                  <w:noWrap w:val="0"/>
                  <w:vAlign w:val="center"/>
                </w:tcPr>
                <w:p w14:paraId="15971977">
                  <w:pPr>
                    <w:pStyle w:val="22"/>
                    <w:bidi w:val="0"/>
                    <w:rPr>
                      <w:rFonts w:hint="default"/>
                      <w:color w:val="auto"/>
                      <w:lang w:val="en-US"/>
                    </w:rPr>
                  </w:pPr>
                  <w:r>
                    <w:rPr>
                      <w:rFonts w:hint="eastAsia"/>
                      <w:color w:val="auto"/>
                      <w:lang w:val="en-US" w:eastAsia="zh-CN"/>
                    </w:rPr>
                    <w:t>二级活性炭吸附装置+15m排气筒DA001排放</w:t>
                  </w:r>
                </w:p>
              </w:tc>
              <w:tc>
                <w:tcPr>
                  <w:tcW w:w="1057" w:type="dxa"/>
                  <w:noWrap w:val="0"/>
                  <w:vAlign w:val="center"/>
                </w:tcPr>
                <w:p w14:paraId="7D433DD0">
                  <w:pPr>
                    <w:pStyle w:val="22"/>
                    <w:bidi w:val="0"/>
                    <w:rPr>
                      <w:color w:val="auto"/>
                    </w:rPr>
                  </w:pPr>
                  <w:r>
                    <w:rPr>
                      <w:rFonts w:hint="eastAsia"/>
                      <w:color w:val="auto"/>
                      <w:lang w:val="en-US" w:eastAsia="zh-CN"/>
                    </w:rPr>
                    <w:t>有</w:t>
                  </w:r>
                  <w:r>
                    <w:rPr>
                      <w:rFonts w:hint="eastAsia"/>
                      <w:color w:val="auto"/>
                    </w:rPr>
                    <w:t>组织</w:t>
                  </w:r>
                </w:p>
              </w:tc>
            </w:tr>
            <w:tr w14:paraId="5C78F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noWrap w:val="0"/>
                  <w:vAlign w:val="center"/>
                </w:tcPr>
                <w:p w14:paraId="50DB7C5E">
                  <w:pPr>
                    <w:pStyle w:val="22"/>
                    <w:bidi w:val="0"/>
                    <w:rPr>
                      <w:color w:val="auto"/>
                    </w:rPr>
                  </w:pPr>
                  <w:r>
                    <w:rPr>
                      <w:rFonts w:hint="eastAsia"/>
                      <w:color w:val="auto"/>
                    </w:rPr>
                    <w:t>噪声</w:t>
                  </w:r>
                </w:p>
              </w:tc>
              <w:tc>
                <w:tcPr>
                  <w:tcW w:w="1147" w:type="dxa"/>
                  <w:noWrap w:val="0"/>
                  <w:vAlign w:val="center"/>
                </w:tcPr>
                <w:p w14:paraId="5809795B">
                  <w:pPr>
                    <w:pStyle w:val="22"/>
                    <w:bidi w:val="0"/>
                    <w:rPr>
                      <w:rFonts w:hint="eastAsia"/>
                      <w:color w:val="auto"/>
                    </w:rPr>
                  </w:pPr>
                  <w:r>
                    <w:rPr>
                      <w:rFonts w:hint="eastAsia"/>
                      <w:color w:val="auto"/>
                    </w:rPr>
                    <w:t>设备运行</w:t>
                  </w:r>
                </w:p>
              </w:tc>
              <w:tc>
                <w:tcPr>
                  <w:tcW w:w="2308" w:type="dxa"/>
                  <w:noWrap w:val="0"/>
                  <w:vAlign w:val="center"/>
                </w:tcPr>
                <w:p w14:paraId="7140B809">
                  <w:pPr>
                    <w:pStyle w:val="22"/>
                    <w:bidi w:val="0"/>
                    <w:rPr>
                      <w:rFonts w:hint="eastAsia"/>
                      <w:color w:val="auto"/>
                    </w:rPr>
                  </w:pPr>
                  <w:r>
                    <w:rPr>
                      <w:rFonts w:hint="eastAsia"/>
                      <w:color w:val="auto"/>
                    </w:rPr>
                    <w:t>噪声</w:t>
                  </w:r>
                </w:p>
              </w:tc>
              <w:tc>
                <w:tcPr>
                  <w:tcW w:w="3098" w:type="dxa"/>
                  <w:noWrap w:val="0"/>
                  <w:vAlign w:val="center"/>
                </w:tcPr>
                <w:p w14:paraId="72EFA6E5">
                  <w:pPr>
                    <w:pStyle w:val="22"/>
                    <w:bidi w:val="0"/>
                    <w:rPr>
                      <w:rFonts w:hint="eastAsia"/>
                      <w:color w:val="auto"/>
                    </w:rPr>
                  </w:pPr>
                  <w:r>
                    <w:rPr>
                      <w:rFonts w:hint="eastAsia"/>
                      <w:color w:val="auto"/>
                    </w:rPr>
                    <w:t>隔声、消声</w:t>
                  </w:r>
                </w:p>
              </w:tc>
              <w:tc>
                <w:tcPr>
                  <w:tcW w:w="1057" w:type="dxa"/>
                  <w:noWrap w:val="0"/>
                  <w:vAlign w:val="center"/>
                </w:tcPr>
                <w:p w14:paraId="49A34B77">
                  <w:pPr>
                    <w:pStyle w:val="22"/>
                    <w:bidi w:val="0"/>
                    <w:rPr>
                      <w:rFonts w:hint="eastAsia"/>
                      <w:color w:val="auto"/>
                    </w:rPr>
                  </w:pPr>
                  <w:r>
                    <w:rPr>
                      <w:rFonts w:hint="eastAsia"/>
                      <w:color w:val="auto"/>
                    </w:rPr>
                    <w:t>/</w:t>
                  </w:r>
                </w:p>
              </w:tc>
            </w:tr>
            <w:tr w14:paraId="0037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restart"/>
                  <w:noWrap w:val="0"/>
                  <w:vAlign w:val="center"/>
                </w:tcPr>
                <w:p w14:paraId="0A283DF9">
                  <w:pPr>
                    <w:pStyle w:val="22"/>
                    <w:bidi w:val="0"/>
                    <w:rPr>
                      <w:rFonts w:hint="eastAsia"/>
                      <w:color w:val="auto"/>
                      <w:lang w:val="en-US" w:eastAsia="zh-CN"/>
                    </w:rPr>
                  </w:pPr>
                  <w:r>
                    <w:rPr>
                      <w:rFonts w:hint="eastAsia"/>
                      <w:color w:val="auto"/>
                      <w:lang w:val="en-US" w:eastAsia="zh-CN"/>
                    </w:rPr>
                    <w:t>废水</w:t>
                  </w:r>
                </w:p>
              </w:tc>
              <w:tc>
                <w:tcPr>
                  <w:tcW w:w="1147" w:type="dxa"/>
                  <w:noWrap w:val="0"/>
                  <w:vAlign w:val="center"/>
                </w:tcPr>
                <w:p w14:paraId="2C9781C5">
                  <w:pPr>
                    <w:pStyle w:val="22"/>
                    <w:bidi w:val="0"/>
                    <w:rPr>
                      <w:rFonts w:hint="default"/>
                      <w:color w:val="auto"/>
                      <w:lang w:val="en-US" w:eastAsia="zh-CN"/>
                    </w:rPr>
                  </w:pPr>
                  <w:r>
                    <w:rPr>
                      <w:rFonts w:hint="eastAsia"/>
                      <w:color w:val="auto"/>
                      <w:lang w:val="en-US" w:eastAsia="zh-CN"/>
                    </w:rPr>
                    <w:t>员工生活</w:t>
                  </w:r>
                </w:p>
              </w:tc>
              <w:tc>
                <w:tcPr>
                  <w:tcW w:w="2308" w:type="dxa"/>
                  <w:noWrap w:val="0"/>
                  <w:vAlign w:val="center"/>
                </w:tcPr>
                <w:p w14:paraId="6BD4BDFF">
                  <w:pPr>
                    <w:pStyle w:val="22"/>
                    <w:bidi w:val="0"/>
                    <w:rPr>
                      <w:rFonts w:hint="default"/>
                      <w:color w:val="auto"/>
                      <w:lang w:val="en-US" w:eastAsia="zh-CN"/>
                    </w:rPr>
                  </w:pPr>
                  <w:r>
                    <w:rPr>
                      <w:rFonts w:hint="eastAsia"/>
                      <w:color w:val="auto"/>
                      <w:lang w:val="en-US" w:eastAsia="zh-CN"/>
                    </w:rPr>
                    <w:t>pH、COD、BOD</w:t>
                  </w:r>
                  <w:r>
                    <w:rPr>
                      <w:rFonts w:hint="eastAsia"/>
                      <w:color w:val="auto"/>
                      <w:vertAlign w:val="subscript"/>
                      <w:lang w:val="en-US" w:eastAsia="zh-CN"/>
                    </w:rPr>
                    <w:t>5</w:t>
                  </w:r>
                  <w:r>
                    <w:rPr>
                      <w:rFonts w:hint="eastAsia"/>
                      <w:color w:val="auto"/>
                      <w:lang w:val="en-US" w:eastAsia="zh-CN"/>
                    </w:rPr>
                    <w:t>、氨氮、SS、总磷、总氮</w:t>
                  </w:r>
                </w:p>
              </w:tc>
              <w:tc>
                <w:tcPr>
                  <w:tcW w:w="3098" w:type="dxa"/>
                  <w:noWrap w:val="0"/>
                  <w:vAlign w:val="center"/>
                </w:tcPr>
                <w:p w14:paraId="79D2AD53">
                  <w:pPr>
                    <w:pStyle w:val="22"/>
                    <w:bidi w:val="0"/>
                    <w:rPr>
                      <w:rFonts w:hint="default"/>
                      <w:color w:val="auto"/>
                      <w:lang w:val="en-US" w:eastAsia="zh-CN"/>
                    </w:rPr>
                  </w:pPr>
                  <w:r>
                    <w:rPr>
                      <w:rFonts w:hint="eastAsia"/>
                      <w:color w:val="auto"/>
                      <w:lang w:val="en-US" w:eastAsia="zh-CN"/>
                    </w:rPr>
                    <w:t>员工生活污水经化粪池处理进入安徽（淮南）现代煤化工产业园园区污水处理厂</w:t>
                  </w:r>
                </w:p>
              </w:tc>
              <w:tc>
                <w:tcPr>
                  <w:tcW w:w="1057" w:type="dxa"/>
                  <w:noWrap w:val="0"/>
                  <w:vAlign w:val="center"/>
                </w:tcPr>
                <w:p w14:paraId="6B74E911">
                  <w:pPr>
                    <w:pStyle w:val="22"/>
                    <w:bidi w:val="0"/>
                    <w:rPr>
                      <w:rFonts w:hint="default"/>
                      <w:color w:val="auto"/>
                      <w:lang w:val="en-US" w:eastAsia="zh-CN"/>
                    </w:rPr>
                  </w:pPr>
                  <w:r>
                    <w:rPr>
                      <w:rFonts w:hint="eastAsia"/>
                      <w:color w:val="auto"/>
                      <w:lang w:val="en-US" w:eastAsia="zh-CN"/>
                    </w:rPr>
                    <w:t>间接排放</w:t>
                  </w:r>
                </w:p>
              </w:tc>
            </w:tr>
            <w:tr w14:paraId="3850A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851" w:hRule="atLeast"/>
                <w:jc w:val="center"/>
              </w:trPr>
              <w:tc>
                <w:tcPr>
                  <w:tcW w:w="553" w:type="dxa"/>
                  <w:vMerge w:val="continue"/>
                  <w:noWrap w:val="0"/>
                  <w:vAlign w:val="center"/>
                </w:tcPr>
                <w:p w14:paraId="334CEE80">
                  <w:pPr>
                    <w:pStyle w:val="22"/>
                    <w:bidi w:val="0"/>
                    <w:rPr>
                      <w:rFonts w:hint="eastAsia"/>
                      <w:color w:val="auto"/>
                      <w:lang w:val="en-US" w:eastAsia="zh-CN"/>
                    </w:rPr>
                  </w:pPr>
                </w:p>
              </w:tc>
              <w:tc>
                <w:tcPr>
                  <w:tcW w:w="1147" w:type="dxa"/>
                  <w:noWrap w:val="0"/>
                  <w:vAlign w:val="center"/>
                </w:tcPr>
                <w:p w14:paraId="7C0B9AEE">
                  <w:pPr>
                    <w:pStyle w:val="22"/>
                    <w:bidi w:val="0"/>
                    <w:rPr>
                      <w:rFonts w:hint="default"/>
                      <w:color w:val="auto"/>
                      <w:lang w:val="en-US" w:eastAsia="zh-CN"/>
                    </w:rPr>
                  </w:pPr>
                  <w:r>
                    <w:rPr>
                      <w:rFonts w:hint="eastAsia"/>
                      <w:color w:val="auto"/>
                      <w:lang w:val="en-US" w:eastAsia="zh-CN"/>
                    </w:rPr>
                    <w:t>循环冷却水</w:t>
                  </w:r>
                </w:p>
              </w:tc>
              <w:tc>
                <w:tcPr>
                  <w:tcW w:w="2308" w:type="dxa"/>
                  <w:noWrap w:val="0"/>
                  <w:vAlign w:val="center"/>
                </w:tcPr>
                <w:p w14:paraId="5AD921D5">
                  <w:pPr>
                    <w:pStyle w:val="22"/>
                    <w:bidi w:val="0"/>
                    <w:rPr>
                      <w:rFonts w:hint="eastAsia"/>
                      <w:color w:val="auto"/>
                      <w:lang w:val="en-US" w:eastAsia="zh-CN"/>
                    </w:rPr>
                  </w:pPr>
                  <w:r>
                    <w:rPr>
                      <w:rFonts w:hint="eastAsia"/>
                      <w:color w:val="auto"/>
                      <w:lang w:val="en-US" w:eastAsia="zh-CN"/>
                    </w:rPr>
                    <w:t>COD、SS</w:t>
                  </w:r>
                </w:p>
              </w:tc>
              <w:tc>
                <w:tcPr>
                  <w:tcW w:w="3098" w:type="dxa"/>
                  <w:noWrap w:val="0"/>
                  <w:vAlign w:val="center"/>
                </w:tcPr>
                <w:p w14:paraId="47773D0F">
                  <w:pPr>
                    <w:pStyle w:val="22"/>
                    <w:bidi w:val="0"/>
                    <w:rPr>
                      <w:rFonts w:hint="default"/>
                      <w:color w:val="auto"/>
                      <w:lang w:val="en-US" w:eastAsia="zh-CN"/>
                    </w:rPr>
                  </w:pPr>
                  <w:r>
                    <w:rPr>
                      <w:rFonts w:hint="eastAsia"/>
                      <w:color w:val="auto"/>
                      <w:lang w:val="en-US" w:eastAsia="zh-CN"/>
                    </w:rPr>
                    <w:t>定期补充新鲜水，循环使用</w:t>
                  </w:r>
                </w:p>
              </w:tc>
              <w:tc>
                <w:tcPr>
                  <w:tcW w:w="1057" w:type="dxa"/>
                  <w:noWrap w:val="0"/>
                  <w:vAlign w:val="center"/>
                </w:tcPr>
                <w:p w14:paraId="61A5759B">
                  <w:pPr>
                    <w:pStyle w:val="22"/>
                    <w:bidi w:val="0"/>
                    <w:rPr>
                      <w:rFonts w:hint="eastAsia"/>
                      <w:color w:val="auto"/>
                      <w:lang w:val="en-US" w:eastAsia="zh-CN"/>
                    </w:rPr>
                  </w:pPr>
                  <w:r>
                    <w:rPr>
                      <w:rFonts w:hint="eastAsia"/>
                      <w:color w:val="auto"/>
                      <w:lang w:val="en-US" w:eastAsia="zh-CN"/>
                    </w:rPr>
                    <w:t>不排放</w:t>
                  </w:r>
                </w:p>
              </w:tc>
            </w:tr>
            <w:tr w14:paraId="3BF81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85" w:hRule="atLeast"/>
                <w:jc w:val="center"/>
              </w:trPr>
              <w:tc>
                <w:tcPr>
                  <w:tcW w:w="553" w:type="dxa"/>
                  <w:vMerge w:val="restart"/>
                  <w:noWrap w:val="0"/>
                  <w:vAlign w:val="center"/>
                </w:tcPr>
                <w:p w14:paraId="2721E694">
                  <w:pPr>
                    <w:pStyle w:val="22"/>
                    <w:bidi w:val="0"/>
                    <w:rPr>
                      <w:rFonts w:hint="eastAsia"/>
                      <w:color w:val="auto"/>
                    </w:rPr>
                  </w:pPr>
                  <w:r>
                    <w:rPr>
                      <w:color w:val="auto"/>
                    </w:rPr>
                    <w:t>固废</w:t>
                  </w:r>
                </w:p>
              </w:tc>
              <w:tc>
                <w:tcPr>
                  <w:tcW w:w="1147" w:type="dxa"/>
                  <w:noWrap w:val="0"/>
                  <w:vAlign w:val="center"/>
                </w:tcPr>
                <w:p w14:paraId="6A0A874F">
                  <w:pPr>
                    <w:pStyle w:val="22"/>
                    <w:bidi w:val="0"/>
                    <w:rPr>
                      <w:color w:val="auto"/>
                    </w:rPr>
                  </w:pPr>
                  <w:r>
                    <w:rPr>
                      <w:rFonts w:hint="eastAsia"/>
                      <w:color w:val="auto"/>
                    </w:rPr>
                    <w:t>原料使用</w:t>
                  </w:r>
                </w:p>
              </w:tc>
              <w:tc>
                <w:tcPr>
                  <w:tcW w:w="2308" w:type="dxa"/>
                  <w:noWrap w:val="0"/>
                  <w:vAlign w:val="center"/>
                </w:tcPr>
                <w:p w14:paraId="272FBCFE">
                  <w:pPr>
                    <w:pStyle w:val="22"/>
                    <w:bidi w:val="0"/>
                    <w:rPr>
                      <w:rFonts w:hint="default"/>
                      <w:color w:val="auto"/>
                      <w:lang w:val="en-US" w:eastAsia="zh-CN"/>
                    </w:rPr>
                  </w:pPr>
                  <w:r>
                    <w:rPr>
                      <w:rFonts w:hint="eastAsia"/>
                      <w:color w:val="auto"/>
                      <w:lang w:val="en-US" w:eastAsia="zh-CN"/>
                    </w:rPr>
                    <w:t>废包装材料</w:t>
                  </w:r>
                </w:p>
              </w:tc>
              <w:tc>
                <w:tcPr>
                  <w:tcW w:w="3098" w:type="dxa"/>
                  <w:noWrap w:val="0"/>
                  <w:vAlign w:val="center"/>
                </w:tcPr>
                <w:p w14:paraId="429B7EA3">
                  <w:pPr>
                    <w:pStyle w:val="22"/>
                    <w:bidi w:val="0"/>
                    <w:rPr>
                      <w:color w:val="0000FF"/>
                    </w:rPr>
                  </w:pPr>
                  <w:r>
                    <w:rPr>
                      <w:color w:val="auto"/>
                    </w:rPr>
                    <w:t>交由物资公司回收利用</w:t>
                  </w:r>
                </w:p>
              </w:tc>
              <w:tc>
                <w:tcPr>
                  <w:tcW w:w="1057" w:type="dxa"/>
                  <w:vMerge w:val="restart"/>
                  <w:noWrap w:val="0"/>
                  <w:vAlign w:val="center"/>
                </w:tcPr>
                <w:p w14:paraId="0A529174">
                  <w:pPr>
                    <w:pStyle w:val="22"/>
                    <w:bidi w:val="0"/>
                    <w:rPr>
                      <w:color w:val="0000FF"/>
                    </w:rPr>
                  </w:pPr>
                  <w:r>
                    <w:rPr>
                      <w:rFonts w:hint="eastAsia"/>
                      <w:color w:val="auto"/>
                    </w:rPr>
                    <w:t>有效处理处置，不外排</w:t>
                  </w:r>
                </w:p>
              </w:tc>
            </w:tr>
            <w:tr w14:paraId="1DA79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1F7CDA05">
                  <w:pPr>
                    <w:pStyle w:val="22"/>
                    <w:bidi w:val="0"/>
                    <w:rPr>
                      <w:color w:val="auto"/>
                    </w:rPr>
                  </w:pPr>
                </w:p>
              </w:tc>
              <w:tc>
                <w:tcPr>
                  <w:tcW w:w="1147" w:type="dxa"/>
                  <w:noWrap w:val="0"/>
                  <w:vAlign w:val="center"/>
                </w:tcPr>
                <w:p w14:paraId="08C7080F">
                  <w:pPr>
                    <w:pStyle w:val="22"/>
                    <w:bidi w:val="0"/>
                    <w:rPr>
                      <w:rFonts w:hint="eastAsia"/>
                      <w:color w:val="auto"/>
                      <w:lang w:val="en-US" w:eastAsia="zh-CN"/>
                    </w:rPr>
                  </w:pPr>
                  <w:r>
                    <w:rPr>
                      <w:rFonts w:hint="eastAsia"/>
                      <w:color w:val="auto"/>
                      <w:lang w:val="en-US" w:eastAsia="zh-CN"/>
                    </w:rPr>
                    <w:t>切割</w:t>
                  </w:r>
                </w:p>
              </w:tc>
              <w:tc>
                <w:tcPr>
                  <w:tcW w:w="2308" w:type="dxa"/>
                  <w:noWrap w:val="0"/>
                  <w:vAlign w:val="center"/>
                </w:tcPr>
                <w:p w14:paraId="084ED75C">
                  <w:pPr>
                    <w:pStyle w:val="22"/>
                    <w:bidi w:val="0"/>
                    <w:rPr>
                      <w:rFonts w:hint="default"/>
                      <w:color w:val="auto"/>
                      <w:lang w:val="en-US" w:eastAsia="zh-CN"/>
                    </w:rPr>
                  </w:pPr>
                  <w:r>
                    <w:rPr>
                      <w:rFonts w:hint="eastAsia"/>
                      <w:color w:val="auto"/>
                      <w:lang w:val="en-US" w:eastAsia="zh-CN"/>
                    </w:rPr>
                    <w:t>边角料</w:t>
                  </w:r>
                </w:p>
              </w:tc>
              <w:tc>
                <w:tcPr>
                  <w:tcW w:w="3098" w:type="dxa"/>
                  <w:vMerge w:val="restart"/>
                  <w:noWrap w:val="0"/>
                  <w:vAlign w:val="center"/>
                </w:tcPr>
                <w:p w14:paraId="3BBED960">
                  <w:pPr>
                    <w:pStyle w:val="22"/>
                    <w:bidi w:val="0"/>
                    <w:rPr>
                      <w:rFonts w:hint="default" w:eastAsia="宋体"/>
                      <w:color w:val="0000FF"/>
                      <w:lang w:val="en-US" w:eastAsia="zh-CN"/>
                    </w:rPr>
                  </w:pPr>
                  <w:r>
                    <w:rPr>
                      <w:rFonts w:hint="eastAsia"/>
                      <w:color w:val="auto"/>
                      <w:lang w:val="en-US" w:eastAsia="zh-CN"/>
                    </w:rPr>
                    <w:t>收集后破碎回用于上料工序</w:t>
                  </w:r>
                </w:p>
              </w:tc>
              <w:tc>
                <w:tcPr>
                  <w:tcW w:w="1057" w:type="dxa"/>
                  <w:vMerge w:val="continue"/>
                  <w:noWrap w:val="0"/>
                  <w:vAlign w:val="center"/>
                </w:tcPr>
                <w:p w14:paraId="2C4B0CCE">
                  <w:pPr>
                    <w:pStyle w:val="22"/>
                    <w:bidi w:val="0"/>
                    <w:rPr>
                      <w:rFonts w:hint="eastAsia"/>
                      <w:color w:val="0000FF"/>
                    </w:rPr>
                  </w:pPr>
                </w:p>
              </w:tc>
            </w:tr>
            <w:tr w14:paraId="47047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4E664309">
                  <w:pPr>
                    <w:pStyle w:val="22"/>
                    <w:bidi w:val="0"/>
                    <w:rPr>
                      <w:color w:val="auto"/>
                    </w:rPr>
                  </w:pPr>
                </w:p>
              </w:tc>
              <w:tc>
                <w:tcPr>
                  <w:tcW w:w="1147" w:type="dxa"/>
                  <w:noWrap w:val="0"/>
                  <w:vAlign w:val="center"/>
                </w:tcPr>
                <w:p w14:paraId="42BF3240">
                  <w:pPr>
                    <w:pStyle w:val="22"/>
                    <w:bidi w:val="0"/>
                    <w:rPr>
                      <w:rFonts w:hint="default"/>
                      <w:color w:val="auto"/>
                      <w:lang w:val="en-US" w:eastAsia="zh-CN"/>
                    </w:rPr>
                  </w:pPr>
                  <w:r>
                    <w:rPr>
                      <w:rFonts w:hint="eastAsia"/>
                      <w:color w:val="auto"/>
                      <w:lang w:val="en-US" w:eastAsia="zh-CN"/>
                    </w:rPr>
                    <w:t>检验</w:t>
                  </w:r>
                </w:p>
              </w:tc>
              <w:tc>
                <w:tcPr>
                  <w:tcW w:w="2308" w:type="dxa"/>
                  <w:noWrap w:val="0"/>
                  <w:vAlign w:val="center"/>
                </w:tcPr>
                <w:p w14:paraId="736626A8">
                  <w:pPr>
                    <w:pStyle w:val="22"/>
                    <w:bidi w:val="0"/>
                    <w:rPr>
                      <w:rFonts w:hint="default"/>
                      <w:color w:val="auto"/>
                      <w:lang w:val="en-US" w:eastAsia="zh-CN"/>
                    </w:rPr>
                  </w:pPr>
                  <w:r>
                    <w:rPr>
                      <w:rFonts w:hint="eastAsia"/>
                      <w:color w:val="auto"/>
                      <w:lang w:val="en-US" w:eastAsia="zh-CN"/>
                    </w:rPr>
                    <w:t>不合格产品</w:t>
                  </w:r>
                </w:p>
              </w:tc>
              <w:tc>
                <w:tcPr>
                  <w:tcW w:w="3098" w:type="dxa"/>
                  <w:vMerge w:val="continue"/>
                  <w:noWrap w:val="0"/>
                  <w:vAlign w:val="center"/>
                </w:tcPr>
                <w:p w14:paraId="4C73E870">
                  <w:pPr>
                    <w:pStyle w:val="22"/>
                    <w:bidi w:val="0"/>
                    <w:rPr>
                      <w:rFonts w:hint="eastAsia"/>
                      <w:color w:val="0000FF"/>
                    </w:rPr>
                  </w:pPr>
                </w:p>
              </w:tc>
              <w:tc>
                <w:tcPr>
                  <w:tcW w:w="1057" w:type="dxa"/>
                  <w:vMerge w:val="continue"/>
                  <w:noWrap w:val="0"/>
                  <w:vAlign w:val="center"/>
                </w:tcPr>
                <w:p w14:paraId="512EC371">
                  <w:pPr>
                    <w:pStyle w:val="22"/>
                    <w:bidi w:val="0"/>
                    <w:rPr>
                      <w:rFonts w:hint="eastAsia"/>
                      <w:color w:val="0000FF"/>
                    </w:rPr>
                  </w:pPr>
                </w:p>
              </w:tc>
            </w:tr>
            <w:tr w14:paraId="287BC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1295A307">
                  <w:pPr>
                    <w:pStyle w:val="22"/>
                    <w:bidi w:val="0"/>
                    <w:rPr>
                      <w:color w:val="auto"/>
                    </w:rPr>
                  </w:pPr>
                </w:p>
              </w:tc>
              <w:tc>
                <w:tcPr>
                  <w:tcW w:w="1147" w:type="dxa"/>
                  <w:noWrap w:val="0"/>
                  <w:vAlign w:val="center"/>
                </w:tcPr>
                <w:p w14:paraId="76BB2334">
                  <w:pPr>
                    <w:pStyle w:val="22"/>
                    <w:bidi w:val="0"/>
                    <w:rPr>
                      <w:rFonts w:hint="default"/>
                      <w:color w:val="auto"/>
                      <w:lang w:val="en-US" w:eastAsia="zh-CN"/>
                    </w:rPr>
                  </w:pPr>
                  <w:r>
                    <w:rPr>
                      <w:rFonts w:hint="eastAsia"/>
                      <w:color w:val="auto"/>
                      <w:lang w:val="en-US" w:eastAsia="zh-CN"/>
                    </w:rPr>
                    <w:t>熔融挤出</w:t>
                  </w:r>
                </w:p>
              </w:tc>
              <w:tc>
                <w:tcPr>
                  <w:tcW w:w="2308" w:type="dxa"/>
                  <w:noWrap w:val="0"/>
                  <w:vAlign w:val="center"/>
                </w:tcPr>
                <w:p w14:paraId="02DEB415">
                  <w:pPr>
                    <w:pStyle w:val="22"/>
                    <w:bidi w:val="0"/>
                    <w:rPr>
                      <w:rFonts w:hint="default"/>
                      <w:color w:val="auto"/>
                      <w:lang w:val="en-US" w:eastAsia="zh-CN"/>
                    </w:rPr>
                  </w:pPr>
                  <w:r>
                    <w:rPr>
                      <w:rFonts w:hint="eastAsia"/>
                      <w:color w:val="auto"/>
                      <w:lang w:val="en-US" w:eastAsia="zh-CN"/>
                    </w:rPr>
                    <w:t>废机头滤网</w:t>
                  </w:r>
                </w:p>
              </w:tc>
              <w:tc>
                <w:tcPr>
                  <w:tcW w:w="3098" w:type="dxa"/>
                  <w:noWrap w:val="0"/>
                  <w:vAlign w:val="center"/>
                </w:tcPr>
                <w:p w14:paraId="7CE7A525">
                  <w:pPr>
                    <w:pStyle w:val="22"/>
                    <w:bidi w:val="0"/>
                    <w:rPr>
                      <w:rFonts w:hint="eastAsia"/>
                      <w:color w:val="0000FF"/>
                      <w:lang w:val="en-US" w:eastAsia="zh-CN"/>
                    </w:rPr>
                  </w:pPr>
                  <w:r>
                    <w:rPr>
                      <w:color w:val="auto"/>
                    </w:rPr>
                    <w:t>交由物资公司回收利用</w:t>
                  </w:r>
                </w:p>
              </w:tc>
              <w:tc>
                <w:tcPr>
                  <w:tcW w:w="1057" w:type="dxa"/>
                  <w:vMerge w:val="continue"/>
                  <w:noWrap w:val="0"/>
                  <w:vAlign w:val="center"/>
                </w:tcPr>
                <w:p w14:paraId="6FB54B46">
                  <w:pPr>
                    <w:pStyle w:val="22"/>
                    <w:bidi w:val="0"/>
                    <w:rPr>
                      <w:rFonts w:hint="eastAsia"/>
                      <w:color w:val="0000FF"/>
                    </w:rPr>
                  </w:pPr>
                </w:p>
              </w:tc>
            </w:tr>
            <w:tr w14:paraId="16873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23" w:hRule="atLeast"/>
                <w:jc w:val="center"/>
              </w:trPr>
              <w:tc>
                <w:tcPr>
                  <w:tcW w:w="553" w:type="dxa"/>
                  <w:vMerge w:val="continue"/>
                  <w:noWrap w:val="0"/>
                  <w:vAlign w:val="center"/>
                </w:tcPr>
                <w:p w14:paraId="0A90C217">
                  <w:pPr>
                    <w:pStyle w:val="22"/>
                    <w:bidi w:val="0"/>
                    <w:rPr>
                      <w:color w:val="auto"/>
                    </w:rPr>
                  </w:pPr>
                </w:p>
              </w:tc>
              <w:tc>
                <w:tcPr>
                  <w:tcW w:w="1147" w:type="dxa"/>
                  <w:noWrap w:val="0"/>
                  <w:vAlign w:val="center"/>
                </w:tcPr>
                <w:p w14:paraId="485E478A">
                  <w:pPr>
                    <w:pStyle w:val="22"/>
                    <w:bidi w:val="0"/>
                    <w:rPr>
                      <w:rFonts w:hint="default"/>
                      <w:color w:val="auto"/>
                      <w:lang w:val="en-US" w:eastAsia="zh-CN"/>
                    </w:rPr>
                  </w:pPr>
                  <w:r>
                    <w:rPr>
                      <w:rFonts w:hint="eastAsia"/>
                      <w:color w:val="auto"/>
                      <w:lang w:val="en-US" w:eastAsia="zh-CN"/>
                    </w:rPr>
                    <w:t>设备维护</w:t>
                  </w:r>
                </w:p>
              </w:tc>
              <w:tc>
                <w:tcPr>
                  <w:tcW w:w="2308" w:type="dxa"/>
                  <w:noWrap w:val="0"/>
                  <w:vAlign w:val="center"/>
                </w:tcPr>
                <w:p w14:paraId="445B3DD0">
                  <w:pPr>
                    <w:pStyle w:val="22"/>
                    <w:bidi w:val="0"/>
                    <w:rPr>
                      <w:rFonts w:hint="default"/>
                      <w:color w:val="auto"/>
                      <w:lang w:val="en-US" w:eastAsia="zh-CN"/>
                    </w:rPr>
                  </w:pPr>
                  <w:r>
                    <w:rPr>
                      <w:rFonts w:hint="eastAsia"/>
                      <w:color w:val="auto"/>
                      <w:lang w:val="en-US" w:eastAsia="zh-CN"/>
                    </w:rPr>
                    <w:t>废机油、废液压油、废机油桶、含油抹布、手套</w:t>
                  </w:r>
                </w:p>
              </w:tc>
              <w:tc>
                <w:tcPr>
                  <w:tcW w:w="3098" w:type="dxa"/>
                  <w:noWrap w:val="0"/>
                  <w:vAlign w:val="center"/>
                </w:tcPr>
                <w:p w14:paraId="0796D037">
                  <w:pPr>
                    <w:pStyle w:val="22"/>
                    <w:bidi w:val="0"/>
                    <w:rPr>
                      <w:rFonts w:hint="eastAsia"/>
                      <w:color w:val="auto"/>
                      <w:lang w:val="en-US" w:eastAsia="zh-CN"/>
                    </w:rPr>
                  </w:pPr>
                  <w:r>
                    <w:rPr>
                      <w:rFonts w:hint="eastAsia"/>
                      <w:color w:val="auto"/>
                      <w:lang w:val="en-US" w:eastAsia="zh-CN"/>
                    </w:rPr>
                    <w:t>收集暂存，定期交由资质单位处置</w:t>
                  </w:r>
                </w:p>
              </w:tc>
              <w:tc>
                <w:tcPr>
                  <w:tcW w:w="1057" w:type="dxa"/>
                  <w:vMerge w:val="continue"/>
                  <w:noWrap w:val="0"/>
                  <w:vAlign w:val="center"/>
                </w:tcPr>
                <w:p w14:paraId="587C444F">
                  <w:pPr>
                    <w:pStyle w:val="22"/>
                    <w:bidi w:val="0"/>
                    <w:rPr>
                      <w:rFonts w:hint="eastAsia"/>
                      <w:color w:val="0000FF"/>
                    </w:rPr>
                  </w:pPr>
                </w:p>
              </w:tc>
            </w:tr>
            <w:tr w14:paraId="78CC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62C4B2F7">
                  <w:pPr>
                    <w:pStyle w:val="22"/>
                    <w:bidi w:val="0"/>
                    <w:rPr>
                      <w:color w:val="auto"/>
                    </w:rPr>
                  </w:pPr>
                </w:p>
              </w:tc>
              <w:tc>
                <w:tcPr>
                  <w:tcW w:w="1147" w:type="dxa"/>
                  <w:noWrap w:val="0"/>
                  <w:vAlign w:val="center"/>
                </w:tcPr>
                <w:p w14:paraId="2A52369B">
                  <w:pPr>
                    <w:pStyle w:val="22"/>
                    <w:bidi w:val="0"/>
                    <w:rPr>
                      <w:rFonts w:hint="default"/>
                      <w:color w:val="auto"/>
                      <w:lang w:val="en-US" w:eastAsia="zh-CN"/>
                    </w:rPr>
                  </w:pPr>
                  <w:r>
                    <w:rPr>
                      <w:rFonts w:hint="eastAsia"/>
                      <w:color w:val="auto"/>
                      <w:lang w:val="en-US" w:eastAsia="zh-CN"/>
                    </w:rPr>
                    <w:t>废气处理</w:t>
                  </w:r>
                </w:p>
              </w:tc>
              <w:tc>
                <w:tcPr>
                  <w:tcW w:w="2308" w:type="dxa"/>
                  <w:noWrap w:val="0"/>
                  <w:vAlign w:val="center"/>
                </w:tcPr>
                <w:p w14:paraId="783E865A">
                  <w:pPr>
                    <w:pStyle w:val="22"/>
                    <w:bidi w:val="0"/>
                    <w:rPr>
                      <w:rFonts w:hint="default"/>
                      <w:color w:val="auto"/>
                      <w:lang w:val="en-US" w:eastAsia="zh-CN"/>
                    </w:rPr>
                  </w:pPr>
                  <w:r>
                    <w:rPr>
                      <w:rFonts w:hint="eastAsia"/>
                      <w:color w:val="auto"/>
                      <w:lang w:val="en-US" w:eastAsia="zh-CN"/>
                    </w:rPr>
                    <w:t>废活性炭</w:t>
                  </w:r>
                </w:p>
              </w:tc>
              <w:tc>
                <w:tcPr>
                  <w:tcW w:w="3098" w:type="dxa"/>
                  <w:noWrap w:val="0"/>
                  <w:vAlign w:val="center"/>
                </w:tcPr>
                <w:p w14:paraId="12F408D4">
                  <w:pPr>
                    <w:pStyle w:val="22"/>
                    <w:bidi w:val="0"/>
                    <w:rPr>
                      <w:rFonts w:hint="eastAsia"/>
                      <w:color w:val="auto"/>
                      <w:lang w:val="en-US" w:eastAsia="zh-CN"/>
                    </w:rPr>
                  </w:pPr>
                  <w:r>
                    <w:rPr>
                      <w:rFonts w:hint="eastAsia"/>
                      <w:color w:val="auto"/>
                      <w:lang w:val="en-US" w:eastAsia="zh-CN"/>
                    </w:rPr>
                    <w:t>收集暂存，定期交由资质单位处置</w:t>
                  </w:r>
                </w:p>
              </w:tc>
              <w:tc>
                <w:tcPr>
                  <w:tcW w:w="1057" w:type="dxa"/>
                  <w:vMerge w:val="continue"/>
                  <w:noWrap w:val="0"/>
                  <w:vAlign w:val="center"/>
                </w:tcPr>
                <w:p w14:paraId="58604492">
                  <w:pPr>
                    <w:pStyle w:val="22"/>
                    <w:bidi w:val="0"/>
                    <w:rPr>
                      <w:rFonts w:hint="eastAsia"/>
                      <w:color w:val="0000FF"/>
                    </w:rPr>
                  </w:pPr>
                </w:p>
              </w:tc>
            </w:tr>
          </w:tbl>
          <w:p w14:paraId="22AC5EE7">
            <w:pPr>
              <w:ind w:left="0" w:leftChars="0" w:firstLine="0" w:firstLineChars="0"/>
              <w:rPr>
                <w:b/>
                <w:bCs/>
                <w:color w:val="0000FF"/>
                <w:sz w:val="21"/>
                <w:szCs w:val="21"/>
              </w:rPr>
            </w:pPr>
          </w:p>
        </w:tc>
      </w:tr>
      <w:tr w14:paraId="33C23B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0" w:hRule="atLeast"/>
          <w:jc w:val="center"/>
        </w:trPr>
        <w:tc>
          <w:tcPr>
            <w:tcW w:w="682" w:type="dxa"/>
            <w:noWrap w:val="0"/>
            <w:vAlign w:val="center"/>
          </w:tcPr>
          <w:p w14:paraId="1AD91A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lang w:val="en-US" w:eastAsia="zh-CN"/>
              </w:rPr>
            </w:pPr>
            <w:r>
              <w:rPr>
                <w:color w:val="auto"/>
                <w:lang w:val="en-US" w:eastAsia="zh-CN"/>
              </w:rPr>
              <w:t>与项目有关原有环境污染问题</w:t>
            </w:r>
          </w:p>
        </w:tc>
        <w:tc>
          <w:tcPr>
            <w:tcW w:w="8406" w:type="dxa"/>
            <w:noWrap w:val="0"/>
            <w:vAlign w:val="top"/>
          </w:tcPr>
          <w:p w14:paraId="40921A86">
            <w:pPr>
              <w:bidi w:val="0"/>
              <w:rPr>
                <w:rFonts w:hint="eastAsia"/>
                <w:color w:val="auto"/>
              </w:rPr>
            </w:pPr>
            <w:r>
              <w:rPr>
                <w:rFonts w:hint="eastAsia"/>
                <w:color w:val="auto"/>
              </w:rPr>
              <w:t>本项目位于安徽省淮南市潘集区经济开发区（北区）2号厂房，系</w:t>
            </w:r>
            <w:r>
              <w:rPr>
                <w:rFonts w:hint="eastAsia"/>
                <w:color w:val="auto"/>
                <w:lang w:val="en-US" w:eastAsia="zh-CN"/>
              </w:rPr>
              <w:t>租赁</w:t>
            </w:r>
            <w:r>
              <w:rPr>
                <w:rFonts w:hint="eastAsia"/>
                <w:color w:val="auto"/>
              </w:rPr>
              <w:t>安徽省淮南市潘集区经济开发区（北区）</w:t>
            </w:r>
            <w:r>
              <w:rPr>
                <w:rFonts w:hint="eastAsia"/>
                <w:color w:val="auto"/>
                <w:lang w:val="en-US" w:eastAsia="zh-CN"/>
              </w:rPr>
              <w:t>现有闲置厂房进行项目生产建设，目前厂房为空置厂房，本项目</w:t>
            </w:r>
            <w:r>
              <w:rPr>
                <w:rFonts w:hint="eastAsia"/>
                <w:color w:val="auto"/>
              </w:rPr>
              <w:t>为新建项目，不存在与本项目有关的原有污染情况和环境问题。</w:t>
            </w:r>
          </w:p>
        </w:tc>
      </w:tr>
    </w:tbl>
    <w:p w14:paraId="1739DB38">
      <w:pPr>
        <w:bidi w:val="0"/>
        <w:rPr>
          <w:color w:val="0000FF"/>
        </w:rPr>
        <w:sectPr>
          <w:pgSz w:w="11906" w:h="16838"/>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699836A5">
      <w:pPr>
        <w:pStyle w:val="3"/>
        <w:bidi w:val="0"/>
        <w:rPr>
          <w:color w:val="auto"/>
        </w:rPr>
      </w:pPr>
      <w:r>
        <w:rPr>
          <w:color w:val="auto"/>
        </w:rPr>
        <w:t>三、区域环境质量现状、环境保护目标及评价标准</w:t>
      </w:r>
    </w:p>
    <w:tbl>
      <w:tblPr>
        <w:tblStyle w:val="12"/>
        <w:tblW w:w="90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3" w:type="dxa"/>
          <w:bottom w:w="0" w:type="dxa"/>
          <w:right w:w="23" w:type="dxa"/>
        </w:tblCellMar>
      </w:tblPr>
      <w:tblGrid>
        <w:gridCol w:w="680"/>
        <w:gridCol w:w="8404"/>
      </w:tblGrid>
      <w:tr w14:paraId="6BFF95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1385" w:hRule="atLeast"/>
          <w:jc w:val="center"/>
        </w:trPr>
        <w:tc>
          <w:tcPr>
            <w:tcW w:w="680" w:type="dxa"/>
            <w:noWrap w:val="0"/>
            <w:vAlign w:val="center"/>
          </w:tcPr>
          <w:p w14:paraId="58A8B9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FF"/>
              </w:rPr>
            </w:pPr>
            <w:r>
              <w:rPr>
                <w:color w:val="auto"/>
              </w:rPr>
              <w:t>区域环境质量现状</w:t>
            </w:r>
          </w:p>
        </w:tc>
        <w:tc>
          <w:tcPr>
            <w:tcW w:w="8404" w:type="dxa"/>
            <w:noWrap w:val="0"/>
            <w:vAlign w:val="center"/>
          </w:tcPr>
          <w:p w14:paraId="4B01A997">
            <w:pPr>
              <w:bidi w:val="0"/>
              <w:rPr>
                <w:b/>
                <w:bCs/>
                <w:color w:val="auto"/>
              </w:rPr>
            </w:pPr>
            <w:r>
              <w:rPr>
                <w:rFonts w:hint="eastAsia"/>
                <w:b/>
                <w:bCs/>
                <w:color w:val="auto"/>
              </w:rPr>
              <w:t>1、</w:t>
            </w:r>
            <w:r>
              <w:rPr>
                <w:b/>
                <w:bCs/>
                <w:color w:val="auto"/>
              </w:rPr>
              <w:t>大气环境质量现状</w:t>
            </w:r>
          </w:p>
          <w:p w14:paraId="08F2D765">
            <w:pPr>
              <w:bidi w:val="0"/>
              <w:rPr>
                <w:color w:val="auto"/>
              </w:rPr>
            </w:pPr>
            <w:r>
              <w:rPr>
                <w:color w:val="auto"/>
              </w:rPr>
              <w:t>根据《</w:t>
            </w:r>
            <w:r>
              <w:rPr>
                <w:rFonts w:hint="eastAsia"/>
                <w:color w:val="auto"/>
              </w:rPr>
              <w:t>建设项目环境影响报告表编制技术指南（污染影响类）（试行）</w:t>
            </w:r>
            <w:r>
              <w:rPr>
                <w:color w:val="auto"/>
              </w:rPr>
              <w:t>》，</w:t>
            </w:r>
            <w:r>
              <w:rPr>
                <w:rFonts w:hint="eastAsia"/>
                <w:color w:val="auto"/>
              </w:rPr>
              <w:t>常规污染物引用与建设项目距离近的有效数据，包括近3年的规划环境影响评价的监测数据，国家、地方环境空气质量监测网数据或生态环境主管部门公开发布的质量数据等</w:t>
            </w:r>
            <w:r>
              <w:rPr>
                <w:color w:val="auto"/>
              </w:rPr>
              <w:t>。</w:t>
            </w:r>
            <w:r>
              <w:rPr>
                <w:rFonts w:hint="eastAsia"/>
                <w:color w:val="auto"/>
              </w:rPr>
              <w:t>排放国家、地方环境空气质量标准中有标准限值要求的特征污染物时，引用建设项目周边5千米范围内近3年的现有监测数据，无相关数据的选择当季主导风向下风向1个点位补充不少于3天的监测数据。</w:t>
            </w:r>
          </w:p>
          <w:p w14:paraId="170E67EE">
            <w:pPr>
              <w:bidi w:val="0"/>
              <w:rPr>
                <w:b/>
                <w:bCs/>
                <w:color w:val="auto"/>
              </w:rPr>
            </w:pPr>
            <w:r>
              <w:rPr>
                <w:rFonts w:hint="eastAsia"/>
                <w:b/>
                <w:bCs/>
                <w:color w:val="auto"/>
              </w:rPr>
              <w:t>（1）</w:t>
            </w:r>
            <w:r>
              <w:rPr>
                <w:b/>
                <w:bCs/>
                <w:color w:val="auto"/>
              </w:rPr>
              <w:t>空气质量达标区判定</w:t>
            </w:r>
          </w:p>
          <w:p w14:paraId="768CA1B1">
            <w:pPr>
              <w:bidi w:val="0"/>
              <w:rPr>
                <w:rFonts w:hint="eastAsia"/>
                <w:color w:val="auto"/>
              </w:rPr>
            </w:pPr>
            <w:r>
              <w:rPr>
                <w:rFonts w:hint="eastAsia"/>
                <w:color w:val="auto"/>
              </w:rPr>
              <w:t>根据《202</w:t>
            </w:r>
            <w:r>
              <w:rPr>
                <w:rFonts w:hint="eastAsia"/>
                <w:color w:val="auto"/>
                <w:lang w:val="en-US" w:eastAsia="zh-CN"/>
              </w:rPr>
              <w:t>4</w:t>
            </w:r>
            <w:r>
              <w:rPr>
                <w:rFonts w:hint="eastAsia"/>
                <w:color w:val="auto"/>
              </w:rPr>
              <w:t>年淮南市环境质量状况公报》，根据AQI标准六个空气质量级别的划分，2023年全市环境空气质量一级优69天，二级良225天，三级轻度污染60天，四级中度污染3天，五级重度污染4天，六级严重污染4天；全市年度环境空气达标天数比例为80.5%，与上年相比提升了1.0个百分点；全市环境空气综合指数为3.86，首要污染物主要为臭氧。细颗粒物（</w:t>
            </w:r>
            <w:r>
              <w:rPr>
                <w:rFonts w:hint="eastAsia"/>
                <w:color w:val="auto"/>
                <w:lang w:val="en-US" w:eastAsia="zh-CN"/>
              </w:rPr>
              <w:t>PM</w:t>
            </w:r>
            <w:r>
              <w:rPr>
                <w:rFonts w:hint="eastAsia"/>
                <w:color w:val="auto"/>
                <w:vertAlign w:val="subscript"/>
                <w:lang w:val="en-US" w:eastAsia="zh-CN"/>
              </w:rPr>
              <w:t>2.5</w:t>
            </w:r>
            <w:r>
              <w:rPr>
                <w:rFonts w:hint="eastAsia"/>
                <w:color w:val="auto"/>
              </w:rPr>
              <w:t>）日均浓度范围为8～252微克/立方米，日均值达标率为93.0%。年均值为38.7微克/立方米，与上年相比下降了4.4个百分点。可吸入颗粒物（</w:t>
            </w:r>
            <w:r>
              <w:rPr>
                <w:rFonts w:hint="eastAsia"/>
                <w:color w:val="auto"/>
                <w:lang w:val="en"/>
              </w:rPr>
              <w:t>PM</w:t>
            </w:r>
            <w:r>
              <w:rPr>
                <w:rFonts w:hint="eastAsia"/>
                <w:color w:val="auto"/>
                <w:vertAlign w:val="subscript"/>
                <w:lang w:val="en"/>
              </w:rPr>
              <w:t>10</w:t>
            </w:r>
            <w:r>
              <w:rPr>
                <w:rFonts w:hint="eastAsia"/>
                <w:color w:val="auto"/>
              </w:rPr>
              <w:t>）日均浓度范围为12～313微克/立方米，日均值达标率为97.6%。年均值为65.9微克/立方米，与上年相比下降了0.8个百分点。二氧化氮（NO</w:t>
            </w:r>
            <w:r>
              <w:rPr>
                <w:rFonts w:hint="eastAsia"/>
                <w:color w:val="auto"/>
                <w:vertAlign w:val="subscript"/>
              </w:rPr>
              <w:t>2</w:t>
            </w:r>
            <w:r>
              <w:rPr>
                <w:rFonts w:hint="eastAsia"/>
                <w:color w:val="auto"/>
              </w:rPr>
              <w:t>）日均浓度范围为6～70微克/立方米，日均值达标率为100%。年均浓度为21微克/立方米，与上年相比上升了10.5个百分点。二氧化硫（SO</w:t>
            </w:r>
            <w:r>
              <w:rPr>
                <w:rFonts w:hint="eastAsia"/>
                <w:color w:val="auto"/>
                <w:vertAlign w:val="subscript"/>
              </w:rPr>
              <w:t>2</w:t>
            </w:r>
            <w:r>
              <w:rPr>
                <w:rFonts w:hint="eastAsia"/>
                <w:color w:val="auto"/>
              </w:rPr>
              <w:t>）日均浓度范围为3～15微克/立方米，日均值达标率为100%。年均浓度为8微克/立方米，与上年持平。一氧化碳（CO）日均浓度范围为0.2～1.5毫克/立方米，日均值达标率为100%。日均值第95百分位数为0.7毫克/立方米，与上年相比下降了12.5个百分点。臭氧日最大8小时（O</w:t>
            </w:r>
            <w:r>
              <w:rPr>
                <w:rFonts w:hint="eastAsia"/>
                <w:color w:val="auto"/>
                <w:vertAlign w:val="subscript"/>
              </w:rPr>
              <w:t>3</w:t>
            </w:r>
            <w:r>
              <w:rPr>
                <w:rFonts w:hint="eastAsia"/>
                <w:color w:val="auto"/>
              </w:rPr>
              <w:t>-8h）滑动平均值范围为4～210微克/立方米，达标率为91.8%。日最大8小时滑动平均值第90百分位数为157微克/立方米，与上年相比上升了4.0个百分点。</w:t>
            </w:r>
          </w:p>
          <w:p w14:paraId="77C4F517">
            <w:pPr>
              <w:pStyle w:val="21"/>
              <w:keepNext w:val="0"/>
              <w:keepLines w:val="0"/>
              <w:pageBreakBefore w:val="0"/>
              <w:widowControl/>
              <w:kinsoku/>
              <w:wordWrap/>
              <w:overflowPunct/>
              <w:topLinePunct w:val="0"/>
              <w:autoSpaceDE/>
              <w:autoSpaceDN/>
              <w:bidi w:val="0"/>
              <w:adjustRightInd/>
              <w:snapToGrid/>
              <w:spacing w:before="0" w:beforeLines="0"/>
              <w:textAlignment w:val="auto"/>
              <w:rPr>
                <w:rFonts w:hint="default"/>
                <w:color w:val="auto"/>
                <w:lang w:eastAsia="zh-CN"/>
              </w:rPr>
            </w:pPr>
            <w:r>
              <w:rPr>
                <w:rFonts w:hint="default"/>
                <w:color w:val="auto"/>
              </w:rPr>
              <w:t>表3-</w:t>
            </w:r>
            <w:r>
              <w:rPr>
                <w:rFonts w:hint="eastAsia"/>
                <w:color w:val="auto"/>
                <w:lang w:val="en-US" w:eastAsia="zh-CN"/>
              </w:rPr>
              <w:t>1</w:t>
            </w:r>
            <w:r>
              <w:rPr>
                <w:rFonts w:hint="default"/>
                <w:color w:val="auto"/>
              </w:rPr>
              <w:t xml:space="preserve"> </w:t>
            </w:r>
            <w:r>
              <w:rPr>
                <w:rFonts w:hint="eastAsia"/>
                <w:color w:val="auto"/>
                <w:lang w:val="en-US" w:eastAsia="zh-CN"/>
              </w:rPr>
              <w:t xml:space="preserve"> </w:t>
            </w:r>
            <w:r>
              <w:rPr>
                <w:rFonts w:hint="default"/>
                <w:color w:val="auto"/>
              </w:rPr>
              <w:t>淮南市202</w:t>
            </w:r>
            <w:r>
              <w:rPr>
                <w:rFonts w:hint="eastAsia"/>
                <w:color w:val="auto"/>
                <w:lang w:val="en-US" w:eastAsia="zh-CN"/>
              </w:rPr>
              <w:t>4</w:t>
            </w:r>
            <w:r>
              <w:rPr>
                <w:rFonts w:hint="default"/>
                <w:color w:val="auto"/>
              </w:rPr>
              <w:t>年环境空气质量年均浓度</w:t>
            </w:r>
            <w:r>
              <w:rPr>
                <w:rFonts w:hint="default"/>
                <w:color w:val="auto"/>
                <w:lang w:eastAsia="zh-CN"/>
              </w:rPr>
              <w:t>（</w:t>
            </w:r>
            <w:r>
              <w:rPr>
                <w:rFonts w:hint="default"/>
                <w:color w:val="auto"/>
              </w:rPr>
              <w:t>单位：ug/m³</w:t>
            </w:r>
            <w:r>
              <w:rPr>
                <w:rFonts w:hint="default"/>
                <w:color w:val="auto"/>
                <w:lang w:eastAsia="zh-CN"/>
              </w:rPr>
              <w:t>）</w:t>
            </w:r>
          </w:p>
          <w:tbl>
            <w:tblPr>
              <w:tblStyle w:val="12"/>
              <w:tblW w:w="8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1934"/>
              <w:gridCol w:w="1191"/>
              <w:gridCol w:w="1225"/>
              <w:gridCol w:w="1262"/>
              <w:gridCol w:w="1637"/>
            </w:tblGrid>
            <w:tr w14:paraId="0FFC0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7" w:type="dxa"/>
                  <w:noWrap w:val="0"/>
                  <w:vAlign w:val="center"/>
                </w:tcPr>
                <w:p w14:paraId="65262DF1">
                  <w:pPr>
                    <w:pStyle w:val="22"/>
                    <w:bidi w:val="0"/>
                    <w:rPr>
                      <w:b/>
                      <w:bCs/>
                      <w:color w:val="auto"/>
                    </w:rPr>
                  </w:pPr>
                  <w:r>
                    <w:rPr>
                      <w:b/>
                      <w:bCs/>
                      <w:color w:val="auto"/>
                    </w:rPr>
                    <w:t>污染物</w:t>
                  </w:r>
                </w:p>
              </w:tc>
              <w:tc>
                <w:tcPr>
                  <w:tcW w:w="1934" w:type="dxa"/>
                  <w:noWrap w:val="0"/>
                  <w:vAlign w:val="center"/>
                </w:tcPr>
                <w:p w14:paraId="691AC6BA">
                  <w:pPr>
                    <w:pStyle w:val="22"/>
                    <w:bidi w:val="0"/>
                    <w:rPr>
                      <w:b/>
                      <w:bCs/>
                      <w:color w:val="auto"/>
                    </w:rPr>
                  </w:pPr>
                  <w:r>
                    <w:rPr>
                      <w:b/>
                      <w:bCs/>
                      <w:color w:val="auto"/>
                    </w:rPr>
                    <w:t>年评价指标</w:t>
                  </w:r>
                </w:p>
              </w:tc>
              <w:tc>
                <w:tcPr>
                  <w:tcW w:w="1191" w:type="dxa"/>
                  <w:noWrap w:val="0"/>
                  <w:vAlign w:val="center"/>
                </w:tcPr>
                <w:p w14:paraId="2B21AD8B">
                  <w:pPr>
                    <w:pStyle w:val="22"/>
                    <w:bidi w:val="0"/>
                    <w:rPr>
                      <w:b/>
                      <w:bCs/>
                      <w:color w:val="auto"/>
                    </w:rPr>
                  </w:pPr>
                  <w:r>
                    <w:rPr>
                      <w:b/>
                      <w:bCs/>
                      <w:color w:val="auto"/>
                    </w:rPr>
                    <w:t>现状浓度</w:t>
                  </w:r>
                </w:p>
              </w:tc>
              <w:tc>
                <w:tcPr>
                  <w:tcW w:w="1225" w:type="dxa"/>
                  <w:noWrap w:val="0"/>
                  <w:vAlign w:val="center"/>
                </w:tcPr>
                <w:p w14:paraId="7CBF2CF7">
                  <w:pPr>
                    <w:pStyle w:val="22"/>
                    <w:bidi w:val="0"/>
                    <w:rPr>
                      <w:b/>
                      <w:bCs/>
                      <w:color w:val="auto"/>
                    </w:rPr>
                  </w:pPr>
                  <w:r>
                    <w:rPr>
                      <w:b/>
                      <w:bCs/>
                      <w:color w:val="auto"/>
                    </w:rPr>
                    <w:t>标准值</w:t>
                  </w:r>
                </w:p>
              </w:tc>
              <w:tc>
                <w:tcPr>
                  <w:tcW w:w="1262" w:type="dxa"/>
                  <w:noWrap w:val="0"/>
                  <w:vAlign w:val="center"/>
                </w:tcPr>
                <w:p w14:paraId="0352B174">
                  <w:pPr>
                    <w:pStyle w:val="22"/>
                    <w:bidi w:val="0"/>
                    <w:rPr>
                      <w:b/>
                      <w:bCs/>
                      <w:color w:val="auto"/>
                    </w:rPr>
                  </w:pPr>
                  <w:r>
                    <w:rPr>
                      <w:b/>
                      <w:bCs/>
                      <w:color w:val="auto"/>
                    </w:rPr>
                    <w:t>占标率%</w:t>
                  </w:r>
                </w:p>
              </w:tc>
              <w:tc>
                <w:tcPr>
                  <w:tcW w:w="1637" w:type="dxa"/>
                  <w:noWrap w:val="0"/>
                  <w:vAlign w:val="center"/>
                </w:tcPr>
                <w:p w14:paraId="30DC84FC">
                  <w:pPr>
                    <w:pStyle w:val="22"/>
                    <w:bidi w:val="0"/>
                    <w:rPr>
                      <w:b/>
                      <w:bCs/>
                      <w:color w:val="auto"/>
                    </w:rPr>
                  </w:pPr>
                  <w:r>
                    <w:rPr>
                      <w:b/>
                      <w:bCs/>
                      <w:color w:val="auto"/>
                    </w:rPr>
                    <w:t>达标情况</w:t>
                  </w:r>
                </w:p>
              </w:tc>
            </w:tr>
            <w:tr w14:paraId="6E7A3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7" w:type="dxa"/>
                  <w:noWrap w:val="0"/>
                  <w:vAlign w:val="center"/>
                </w:tcPr>
                <w:p w14:paraId="1B37C97C">
                  <w:pPr>
                    <w:pStyle w:val="22"/>
                    <w:bidi w:val="0"/>
                    <w:rPr>
                      <w:color w:val="auto"/>
                    </w:rPr>
                  </w:pPr>
                  <w:r>
                    <w:rPr>
                      <w:rFonts w:hint="eastAsia"/>
                      <w:color w:val="auto"/>
                      <w:lang w:val="en"/>
                    </w:rPr>
                    <w:t>PM</w:t>
                  </w:r>
                  <w:r>
                    <w:rPr>
                      <w:rFonts w:hint="eastAsia"/>
                      <w:color w:val="auto"/>
                      <w:vertAlign w:val="subscript"/>
                      <w:lang w:val="en"/>
                    </w:rPr>
                    <w:t>10</w:t>
                  </w:r>
                </w:p>
              </w:tc>
              <w:tc>
                <w:tcPr>
                  <w:tcW w:w="1934" w:type="dxa"/>
                  <w:vMerge w:val="restart"/>
                  <w:noWrap w:val="0"/>
                  <w:vAlign w:val="center"/>
                </w:tcPr>
                <w:p w14:paraId="19135726">
                  <w:pPr>
                    <w:pStyle w:val="22"/>
                    <w:bidi w:val="0"/>
                    <w:rPr>
                      <w:color w:val="auto"/>
                    </w:rPr>
                  </w:pPr>
                  <w:r>
                    <w:rPr>
                      <w:color w:val="auto"/>
                    </w:rPr>
                    <w:t>年平均质量浓度</w:t>
                  </w:r>
                </w:p>
              </w:tc>
              <w:tc>
                <w:tcPr>
                  <w:tcW w:w="1191" w:type="dxa"/>
                  <w:noWrap w:val="0"/>
                  <w:vAlign w:val="center"/>
                </w:tcPr>
                <w:p w14:paraId="6AFF84F2">
                  <w:pPr>
                    <w:pStyle w:val="22"/>
                    <w:bidi w:val="0"/>
                    <w:rPr>
                      <w:rFonts w:hint="default"/>
                      <w:color w:val="auto"/>
                      <w:lang w:val="en-US" w:eastAsia="zh-CN"/>
                    </w:rPr>
                  </w:pPr>
                  <w:r>
                    <w:rPr>
                      <w:rFonts w:hint="eastAsia"/>
                      <w:color w:val="auto"/>
                      <w:lang w:val="en-US" w:eastAsia="zh-CN"/>
                    </w:rPr>
                    <w:t>65</w:t>
                  </w:r>
                </w:p>
              </w:tc>
              <w:tc>
                <w:tcPr>
                  <w:tcW w:w="1225" w:type="dxa"/>
                  <w:noWrap w:val="0"/>
                  <w:vAlign w:val="center"/>
                </w:tcPr>
                <w:p w14:paraId="0327E17E">
                  <w:pPr>
                    <w:pStyle w:val="22"/>
                    <w:bidi w:val="0"/>
                    <w:rPr>
                      <w:color w:val="auto"/>
                    </w:rPr>
                  </w:pPr>
                  <w:r>
                    <w:rPr>
                      <w:color w:val="auto"/>
                    </w:rPr>
                    <w:t>70</w:t>
                  </w:r>
                </w:p>
              </w:tc>
              <w:tc>
                <w:tcPr>
                  <w:tcW w:w="1262" w:type="dxa"/>
                  <w:noWrap w:val="0"/>
                  <w:vAlign w:val="center"/>
                </w:tcPr>
                <w:p w14:paraId="2E311F8E">
                  <w:pPr>
                    <w:pStyle w:val="22"/>
                    <w:bidi w:val="0"/>
                    <w:rPr>
                      <w:rFonts w:hint="default" w:eastAsia="宋体"/>
                      <w:color w:val="auto"/>
                      <w:lang w:val="en-US" w:eastAsia="zh-CN"/>
                    </w:rPr>
                  </w:pPr>
                  <w:r>
                    <w:rPr>
                      <w:rFonts w:hint="eastAsia"/>
                      <w:color w:val="auto"/>
                      <w:lang w:val="en-US" w:eastAsia="zh-CN"/>
                    </w:rPr>
                    <w:t>92.9</w:t>
                  </w:r>
                </w:p>
              </w:tc>
              <w:tc>
                <w:tcPr>
                  <w:tcW w:w="1637" w:type="dxa"/>
                  <w:noWrap w:val="0"/>
                  <w:vAlign w:val="center"/>
                </w:tcPr>
                <w:p w14:paraId="0376294D">
                  <w:pPr>
                    <w:pStyle w:val="22"/>
                    <w:bidi w:val="0"/>
                    <w:rPr>
                      <w:color w:val="auto"/>
                    </w:rPr>
                  </w:pPr>
                  <w:r>
                    <w:rPr>
                      <w:color w:val="auto"/>
                    </w:rPr>
                    <w:t>达标</w:t>
                  </w:r>
                </w:p>
              </w:tc>
            </w:tr>
            <w:tr w14:paraId="5C129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7" w:type="dxa"/>
                  <w:noWrap w:val="0"/>
                  <w:vAlign w:val="center"/>
                </w:tcPr>
                <w:p w14:paraId="4CAF32EF">
                  <w:pPr>
                    <w:pStyle w:val="22"/>
                    <w:bidi w:val="0"/>
                    <w:rPr>
                      <w:color w:val="auto"/>
                    </w:rPr>
                  </w:pPr>
                  <w:r>
                    <w:rPr>
                      <w:rFonts w:hint="eastAsia"/>
                      <w:color w:val="auto"/>
                      <w:lang w:val="en-US" w:eastAsia="zh-CN"/>
                    </w:rPr>
                    <w:t>PM</w:t>
                  </w:r>
                  <w:r>
                    <w:rPr>
                      <w:rFonts w:hint="eastAsia"/>
                      <w:color w:val="auto"/>
                      <w:vertAlign w:val="subscript"/>
                      <w:lang w:val="en-US" w:eastAsia="zh-CN"/>
                    </w:rPr>
                    <w:t>2.5</w:t>
                  </w:r>
                </w:p>
              </w:tc>
              <w:tc>
                <w:tcPr>
                  <w:tcW w:w="1934" w:type="dxa"/>
                  <w:vMerge w:val="continue"/>
                  <w:noWrap w:val="0"/>
                  <w:vAlign w:val="center"/>
                </w:tcPr>
                <w:p w14:paraId="5F72A71B">
                  <w:pPr>
                    <w:pStyle w:val="22"/>
                    <w:bidi w:val="0"/>
                    <w:rPr>
                      <w:color w:val="auto"/>
                    </w:rPr>
                  </w:pPr>
                </w:p>
              </w:tc>
              <w:tc>
                <w:tcPr>
                  <w:tcW w:w="1191" w:type="dxa"/>
                  <w:noWrap w:val="0"/>
                  <w:vAlign w:val="center"/>
                </w:tcPr>
                <w:p w14:paraId="231C5413">
                  <w:pPr>
                    <w:pStyle w:val="22"/>
                    <w:bidi w:val="0"/>
                    <w:rPr>
                      <w:rFonts w:hint="default"/>
                      <w:color w:val="auto"/>
                      <w:lang w:val="en-US" w:eastAsia="zh-CN"/>
                    </w:rPr>
                  </w:pPr>
                  <w:r>
                    <w:rPr>
                      <w:rFonts w:hint="eastAsia"/>
                      <w:color w:val="auto"/>
                      <w:lang w:val="en-US" w:eastAsia="zh-CN"/>
                    </w:rPr>
                    <w:t>40</w:t>
                  </w:r>
                </w:p>
              </w:tc>
              <w:tc>
                <w:tcPr>
                  <w:tcW w:w="1225" w:type="dxa"/>
                  <w:noWrap w:val="0"/>
                  <w:vAlign w:val="center"/>
                </w:tcPr>
                <w:p w14:paraId="6D947348">
                  <w:pPr>
                    <w:pStyle w:val="22"/>
                    <w:bidi w:val="0"/>
                    <w:rPr>
                      <w:color w:val="auto"/>
                    </w:rPr>
                  </w:pPr>
                  <w:r>
                    <w:rPr>
                      <w:color w:val="auto"/>
                    </w:rPr>
                    <w:t>35</w:t>
                  </w:r>
                </w:p>
              </w:tc>
              <w:tc>
                <w:tcPr>
                  <w:tcW w:w="1262" w:type="dxa"/>
                  <w:noWrap w:val="0"/>
                  <w:vAlign w:val="center"/>
                </w:tcPr>
                <w:p w14:paraId="6D9BB827">
                  <w:pPr>
                    <w:pStyle w:val="22"/>
                    <w:bidi w:val="0"/>
                    <w:rPr>
                      <w:rFonts w:hint="eastAsia"/>
                      <w:color w:val="auto"/>
                      <w:lang w:eastAsia="zh-CN"/>
                    </w:rPr>
                  </w:pPr>
                  <w:r>
                    <w:rPr>
                      <w:color w:val="auto"/>
                    </w:rPr>
                    <w:t>1</w:t>
                  </w:r>
                  <w:r>
                    <w:rPr>
                      <w:rFonts w:hint="eastAsia"/>
                      <w:color w:val="auto"/>
                    </w:rPr>
                    <w:t>1</w:t>
                  </w:r>
                  <w:r>
                    <w:rPr>
                      <w:rFonts w:hint="eastAsia"/>
                      <w:color w:val="auto"/>
                      <w:lang w:val="en-US" w:eastAsia="zh-CN"/>
                    </w:rPr>
                    <w:t>4</w:t>
                  </w:r>
                </w:p>
              </w:tc>
              <w:tc>
                <w:tcPr>
                  <w:tcW w:w="1637" w:type="dxa"/>
                  <w:noWrap w:val="0"/>
                  <w:vAlign w:val="center"/>
                </w:tcPr>
                <w:p w14:paraId="65BD7133">
                  <w:pPr>
                    <w:pStyle w:val="22"/>
                    <w:bidi w:val="0"/>
                    <w:rPr>
                      <w:color w:val="auto"/>
                    </w:rPr>
                  </w:pPr>
                  <w:r>
                    <w:rPr>
                      <w:color w:val="auto"/>
                    </w:rPr>
                    <w:t>超标</w:t>
                  </w:r>
                </w:p>
              </w:tc>
            </w:tr>
            <w:tr w14:paraId="266D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7" w:type="dxa"/>
                  <w:noWrap w:val="0"/>
                  <w:vAlign w:val="center"/>
                </w:tcPr>
                <w:p w14:paraId="02268B6F">
                  <w:pPr>
                    <w:pStyle w:val="22"/>
                    <w:bidi w:val="0"/>
                    <w:rPr>
                      <w:color w:val="auto"/>
                    </w:rPr>
                  </w:pPr>
                  <w:r>
                    <w:rPr>
                      <w:rFonts w:hint="eastAsia"/>
                      <w:color w:val="auto"/>
                    </w:rPr>
                    <w:t>SO</w:t>
                  </w:r>
                  <w:r>
                    <w:rPr>
                      <w:rFonts w:hint="eastAsia"/>
                      <w:color w:val="auto"/>
                      <w:vertAlign w:val="subscript"/>
                    </w:rPr>
                    <w:t>2</w:t>
                  </w:r>
                </w:p>
              </w:tc>
              <w:tc>
                <w:tcPr>
                  <w:tcW w:w="1934" w:type="dxa"/>
                  <w:vMerge w:val="continue"/>
                  <w:noWrap w:val="0"/>
                  <w:vAlign w:val="center"/>
                </w:tcPr>
                <w:p w14:paraId="11278E34">
                  <w:pPr>
                    <w:pStyle w:val="22"/>
                    <w:bidi w:val="0"/>
                    <w:rPr>
                      <w:color w:val="auto"/>
                    </w:rPr>
                  </w:pPr>
                </w:p>
              </w:tc>
              <w:tc>
                <w:tcPr>
                  <w:tcW w:w="1191" w:type="dxa"/>
                  <w:noWrap w:val="0"/>
                  <w:vAlign w:val="center"/>
                </w:tcPr>
                <w:p w14:paraId="19D91051">
                  <w:pPr>
                    <w:pStyle w:val="22"/>
                    <w:bidi w:val="0"/>
                    <w:rPr>
                      <w:rFonts w:hint="eastAsia" w:eastAsia="宋体"/>
                      <w:color w:val="auto"/>
                      <w:lang w:eastAsia="zh-CN"/>
                    </w:rPr>
                  </w:pPr>
                  <w:r>
                    <w:rPr>
                      <w:rFonts w:hint="eastAsia"/>
                      <w:color w:val="auto"/>
                      <w:lang w:val="en-US" w:eastAsia="zh-CN"/>
                    </w:rPr>
                    <w:t>7</w:t>
                  </w:r>
                </w:p>
              </w:tc>
              <w:tc>
                <w:tcPr>
                  <w:tcW w:w="1225" w:type="dxa"/>
                  <w:noWrap w:val="0"/>
                  <w:vAlign w:val="center"/>
                </w:tcPr>
                <w:p w14:paraId="7DBAE19A">
                  <w:pPr>
                    <w:pStyle w:val="22"/>
                    <w:bidi w:val="0"/>
                    <w:rPr>
                      <w:color w:val="auto"/>
                    </w:rPr>
                  </w:pPr>
                  <w:r>
                    <w:rPr>
                      <w:color w:val="auto"/>
                    </w:rPr>
                    <w:t>60</w:t>
                  </w:r>
                </w:p>
              </w:tc>
              <w:tc>
                <w:tcPr>
                  <w:tcW w:w="1262" w:type="dxa"/>
                  <w:noWrap w:val="0"/>
                  <w:vAlign w:val="center"/>
                </w:tcPr>
                <w:p w14:paraId="34181638">
                  <w:pPr>
                    <w:pStyle w:val="22"/>
                    <w:bidi w:val="0"/>
                    <w:rPr>
                      <w:rFonts w:hint="default" w:eastAsia="宋体"/>
                      <w:color w:val="auto"/>
                      <w:lang w:val="en-US" w:eastAsia="zh-CN"/>
                    </w:rPr>
                  </w:pPr>
                  <w:r>
                    <w:rPr>
                      <w:rFonts w:hint="eastAsia"/>
                      <w:color w:val="auto"/>
                      <w:lang w:val="en-US" w:eastAsia="zh-CN"/>
                    </w:rPr>
                    <w:t>11.7</w:t>
                  </w:r>
                </w:p>
              </w:tc>
              <w:tc>
                <w:tcPr>
                  <w:tcW w:w="1637" w:type="dxa"/>
                  <w:noWrap w:val="0"/>
                  <w:vAlign w:val="center"/>
                </w:tcPr>
                <w:p w14:paraId="20A81951">
                  <w:pPr>
                    <w:pStyle w:val="22"/>
                    <w:bidi w:val="0"/>
                    <w:rPr>
                      <w:color w:val="auto"/>
                    </w:rPr>
                  </w:pPr>
                  <w:r>
                    <w:rPr>
                      <w:color w:val="auto"/>
                    </w:rPr>
                    <w:t>达标</w:t>
                  </w:r>
                </w:p>
              </w:tc>
            </w:tr>
            <w:tr w14:paraId="5DBB9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7" w:type="dxa"/>
                  <w:noWrap w:val="0"/>
                  <w:vAlign w:val="center"/>
                </w:tcPr>
                <w:p w14:paraId="1A5AE88C">
                  <w:pPr>
                    <w:pStyle w:val="22"/>
                    <w:bidi w:val="0"/>
                    <w:rPr>
                      <w:color w:val="auto"/>
                    </w:rPr>
                  </w:pPr>
                  <w:r>
                    <w:rPr>
                      <w:color w:val="auto"/>
                    </w:rPr>
                    <w:t>NO</w:t>
                  </w:r>
                  <w:r>
                    <w:rPr>
                      <w:color w:val="auto"/>
                      <w:vertAlign w:val="subscript"/>
                    </w:rPr>
                    <w:t>2</w:t>
                  </w:r>
                </w:p>
              </w:tc>
              <w:tc>
                <w:tcPr>
                  <w:tcW w:w="1934" w:type="dxa"/>
                  <w:vMerge w:val="continue"/>
                  <w:noWrap w:val="0"/>
                  <w:vAlign w:val="center"/>
                </w:tcPr>
                <w:p w14:paraId="31E76C29">
                  <w:pPr>
                    <w:pStyle w:val="22"/>
                    <w:bidi w:val="0"/>
                    <w:rPr>
                      <w:color w:val="auto"/>
                    </w:rPr>
                  </w:pPr>
                </w:p>
              </w:tc>
              <w:tc>
                <w:tcPr>
                  <w:tcW w:w="1191" w:type="dxa"/>
                  <w:noWrap w:val="0"/>
                  <w:vAlign w:val="center"/>
                </w:tcPr>
                <w:p w14:paraId="3750C3EF">
                  <w:pPr>
                    <w:pStyle w:val="22"/>
                    <w:bidi w:val="0"/>
                    <w:rPr>
                      <w:color w:val="auto"/>
                    </w:rPr>
                  </w:pPr>
                  <w:r>
                    <w:rPr>
                      <w:rFonts w:hint="eastAsia"/>
                      <w:color w:val="auto"/>
                    </w:rPr>
                    <w:t>19</w:t>
                  </w:r>
                </w:p>
              </w:tc>
              <w:tc>
                <w:tcPr>
                  <w:tcW w:w="1225" w:type="dxa"/>
                  <w:noWrap w:val="0"/>
                  <w:vAlign w:val="center"/>
                </w:tcPr>
                <w:p w14:paraId="2DA0309C">
                  <w:pPr>
                    <w:pStyle w:val="22"/>
                    <w:bidi w:val="0"/>
                    <w:rPr>
                      <w:color w:val="auto"/>
                    </w:rPr>
                  </w:pPr>
                  <w:r>
                    <w:rPr>
                      <w:color w:val="auto"/>
                    </w:rPr>
                    <w:t>40</w:t>
                  </w:r>
                </w:p>
              </w:tc>
              <w:tc>
                <w:tcPr>
                  <w:tcW w:w="1262" w:type="dxa"/>
                  <w:noWrap w:val="0"/>
                  <w:vAlign w:val="center"/>
                </w:tcPr>
                <w:p w14:paraId="2AC7488F">
                  <w:pPr>
                    <w:pStyle w:val="22"/>
                    <w:bidi w:val="0"/>
                    <w:rPr>
                      <w:color w:val="auto"/>
                    </w:rPr>
                  </w:pPr>
                  <w:r>
                    <w:rPr>
                      <w:rFonts w:hint="eastAsia"/>
                      <w:color w:val="auto"/>
                    </w:rPr>
                    <w:t>4</w:t>
                  </w:r>
                  <w:r>
                    <w:rPr>
                      <w:color w:val="auto"/>
                    </w:rPr>
                    <w:t>7.5</w:t>
                  </w:r>
                </w:p>
              </w:tc>
              <w:tc>
                <w:tcPr>
                  <w:tcW w:w="1637" w:type="dxa"/>
                  <w:noWrap w:val="0"/>
                  <w:vAlign w:val="center"/>
                </w:tcPr>
                <w:p w14:paraId="26B9133F">
                  <w:pPr>
                    <w:pStyle w:val="22"/>
                    <w:bidi w:val="0"/>
                    <w:rPr>
                      <w:color w:val="auto"/>
                    </w:rPr>
                  </w:pPr>
                  <w:r>
                    <w:rPr>
                      <w:color w:val="auto"/>
                    </w:rPr>
                    <w:t>达标</w:t>
                  </w:r>
                </w:p>
              </w:tc>
            </w:tr>
            <w:tr w14:paraId="3BB2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7" w:type="dxa"/>
                  <w:noWrap w:val="0"/>
                  <w:vAlign w:val="center"/>
                </w:tcPr>
                <w:p w14:paraId="31FCB66F">
                  <w:pPr>
                    <w:pStyle w:val="22"/>
                    <w:bidi w:val="0"/>
                    <w:rPr>
                      <w:color w:val="auto"/>
                    </w:rPr>
                  </w:pPr>
                  <w:r>
                    <w:rPr>
                      <w:rFonts w:hint="eastAsia"/>
                      <w:color w:val="auto"/>
                    </w:rPr>
                    <w:t>O</w:t>
                  </w:r>
                  <w:r>
                    <w:rPr>
                      <w:rFonts w:hint="eastAsia"/>
                      <w:color w:val="auto"/>
                      <w:vertAlign w:val="subscript"/>
                    </w:rPr>
                    <w:t>3</w:t>
                  </w:r>
                </w:p>
              </w:tc>
              <w:tc>
                <w:tcPr>
                  <w:tcW w:w="1934" w:type="dxa"/>
                  <w:noWrap w:val="0"/>
                  <w:vAlign w:val="center"/>
                </w:tcPr>
                <w:p w14:paraId="5955BF2D">
                  <w:pPr>
                    <w:pStyle w:val="22"/>
                    <w:bidi w:val="0"/>
                    <w:rPr>
                      <w:color w:val="auto"/>
                    </w:rPr>
                  </w:pPr>
                  <w:r>
                    <w:rPr>
                      <w:color w:val="auto"/>
                    </w:rPr>
                    <w:t>8h平均质量浓度</w:t>
                  </w:r>
                </w:p>
              </w:tc>
              <w:tc>
                <w:tcPr>
                  <w:tcW w:w="1191" w:type="dxa"/>
                  <w:noWrap w:val="0"/>
                  <w:vAlign w:val="center"/>
                </w:tcPr>
                <w:p w14:paraId="069259CF">
                  <w:pPr>
                    <w:pStyle w:val="22"/>
                    <w:bidi w:val="0"/>
                    <w:rPr>
                      <w:rFonts w:hint="default" w:eastAsia="宋体"/>
                      <w:color w:val="auto"/>
                      <w:lang w:val="en-US" w:eastAsia="zh-CN"/>
                    </w:rPr>
                  </w:pPr>
                  <w:r>
                    <w:rPr>
                      <w:rFonts w:hint="eastAsia"/>
                      <w:color w:val="auto"/>
                      <w:lang w:val="en-US" w:eastAsia="zh-CN"/>
                    </w:rPr>
                    <w:t>160</w:t>
                  </w:r>
                </w:p>
              </w:tc>
              <w:tc>
                <w:tcPr>
                  <w:tcW w:w="1225" w:type="dxa"/>
                  <w:noWrap w:val="0"/>
                  <w:vAlign w:val="center"/>
                </w:tcPr>
                <w:p w14:paraId="62508056">
                  <w:pPr>
                    <w:pStyle w:val="22"/>
                    <w:bidi w:val="0"/>
                    <w:rPr>
                      <w:color w:val="auto"/>
                    </w:rPr>
                  </w:pPr>
                  <w:r>
                    <w:rPr>
                      <w:color w:val="auto"/>
                    </w:rPr>
                    <w:t>160</w:t>
                  </w:r>
                </w:p>
              </w:tc>
              <w:tc>
                <w:tcPr>
                  <w:tcW w:w="1262" w:type="dxa"/>
                  <w:noWrap w:val="0"/>
                  <w:vAlign w:val="center"/>
                </w:tcPr>
                <w:p w14:paraId="101EB641">
                  <w:pPr>
                    <w:pStyle w:val="22"/>
                    <w:bidi w:val="0"/>
                    <w:rPr>
                      <w:rFonts w:hint="default" w:eastAsia="宋体"/>
                      <w:color w:val="auto"/>
                      <w:lang w:val="en-US" w:eastAsia="zh-CN"/>
                    </w:rPr>
                  </w:pPr>
                  <w:r>
                    <w:rPr>
                      <w:rFonts w:hint="eastAsia"/>
                      <w:color w:val="auto"/>
                      <w:lang w:val="en-US" w:eastAsia="zh-CN"/>
                    </w:rPr>
                    <w:t>100</w:t>
                  </w:r>
                </w:p>
              </w:tc>
              <w:tc>
                <w:tcPr>
                  <w:tcW w:w="1637" w:type="dxa"/>
                  <w:noWrap w:val="0"/>
                  <w:vAlign w:val="center"/>
                </w:tcPr>
                <w:p w14:paraId="1F6F2CBE">
                  <w:pPr>
                    <w:pStyle w:val="22"/>
                    <w:bidi w:val="0"/>
                    <w:rPr>
                      <w:color w:val="auto"/>
                    </w:rPr>
                  </w:pPr>
                  <w:r>
                    <w:rPr>
                      <w:color w:val="auto"/>
                    </w:rPr>
                    <w:t>达标</w:t>
                  </w:r>
                </w:p>
              </w:tc>
            </w:tr>
            <w:tr w14:paraId="5BF86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7" w:type="dxa"/>
                  <w:noWrap w:val="0"/>
                  <w:vAlign w:val="center"/>
                </w:tcPr>
                <w:p w14:paraId="40382C96">
                  <w:pPr>
                    <w:pStyle w:val="22"/>
                    <w:bidi w:val="0"/>
                    <w:rPr>
                      <w:color w:val="auto"/>
                    </w:rPr>
                  </w:pPr>
                  <w:r>
                    <w:rPr>
                      <w:color w:val="auto"/>
                    </w:rPr>
                    <w:t>CO</w:t>
                  </w:r>
                </w:p>
              </w:tc>
              <w:tc>
                <w:tcPr>
                  <w:tcW w:w="1934" w:type="dxa"/>
                  <w:noWrap w:val="0"/>
                  <w:vAlign w:val="center"/>
                </w:tcPr>
                <w:p w14:paraId="2684940F">
                  <w:pPr>
                    <w:pStyle w:val="22"/>
                    <w:bidi w:val="0"/>
                    <w:rPr>
                      <w:color w:val="auto"/>
                    </w:rPr>
                  </w:pPr>
                  <w:r>
                    <w:rPr>
                      <w:color w:val="auto"/>
                    </w:rPr>
                    <w:t>24小时平均</w:t>
                  </w:r>
                </w:p>
              </w:tc>
              <w:tc>
                <w:tcPr>
                  <w:tcW w:w="1191" w:type="dxa"/>
                  <w:noWrap w:val="0"/>
                  <w:vAlign w:val="center"/>
                </w:tcPr>
                <w:p w14:paraId="7C11B45F">
                  <w:pPr>
                    <w:pStyle w:val="22"/>
                    <w:bidi w:val="0"/>
                    <w:rPr>
                      <w:color w:val="auto"/>
                    </w:rPr>
                  </w:pPr>
                  <w:r>
                    <w:rPr>
                      <w:color w:val="auto"/>
                    </w:rPr>
                    <w:t>0.</w:t>
                  </w:r>
                  <w:r>
                    <w:rPr>
                      <w:rFonts w:hint="eastAsia"/>
                      <w:color w:val="auto"/>
                      <w:lang w:val="en-US" w:eastAsia="zh-CN"/>
                    </w:rPr>
                    <w:t>8</w:t>
                  </w:r>
                  <w:r>
                    <w:rPr>
                      <w:color w:val="auto"/>
                    </w:rPr>
                    <w:t>mg/m³</w:t>
                  </w:r>
                </w:p>
              </w:tc>
              <w:tc>
                <w:tcPr>
                  <w:tcW w:w="1225" w:type="dxa"/>
                  <w:noWrap w:val="0"/>
                  <w:vAlign w:val="center"/>
                </w:tcPr>
                <w:p w14:paraId="39818323">
                  <w:pPr>
                    <w:pStyle w:val="22"/>
                    <w:bidi w:val="0"/>
                    <w:rPr>
                      <w:color w:val="auto"/>
                    </w:rPr>
                  </w:pPr>
                  <w:r>
                    <w:rPr>
                      <w:color w:val="auto"/>
                    </w:rPr>
                    <w:t>4mg/m³</w:t>
                  </w:r>
                </w:p>
              </w:tc>
              <w:tc>
                <w:tcPr>
                  <w:tcW w:w="1262" w:type="dxa"/>
                  <w:noWrap w:val="0"/>
                  <w:vAlign w:val="center"/>
                </w:tcPr>
                <w:p w14:paraId="29DD2524">
                  <w:pPr>
                    <w:pStyle w:val="22"/>
                    <w:bidi w:val="0"/>
                    <w:rPr>
                      <w:rFonts w:hint="default"/>
                      <w:color w:val="auto"/>
                      <w:lang w:val="en-US" w:eastAsia="zh-CN"/>
                    </w:rPr>
                  </w:pPr>
                  <w:r>
                    <w:rPr>
                      <w:rFonts w:hint="eastAsia"/>
                      <w:color w:val="auto"/>
                      <w:lang w:val="en-US" w:eastAsia="zh-CN"/>
                    </w:rPr>
                    <w:t>20</w:t>
                  </w:r>
                </w:p>
              </w:tc>
              <w:tc>
                <w:tcPr>
                  <w:tcW w:w="1637" w:type="dxa"/>
                  <w:noWrap w:val="0"/>
                  <w:vAlign w:val="center"/>
                </w:tcPr>
                <w:p w14:paraId="5D8BD2E6">
                  <w:pPr>
                    <w:pStyle w:val="22"/>
                    <w:bidi w:val="0"/>
                    <w:rPr>
                      <w:color w:val="auto"/>
                    </w:rPr>
                  </w:pPr>
                  <w:r>
                    <w:rPr>
                      <w:color w:val="auto"/>
                    </w:rPr>
                    <w:t>达标</w:t>
                  </w:r>
                </w:p>
              </w:tc>
            </w:tr>
          </w:tbl>
          <w:p w14:paraId="4B1F3DAF">
            <w:pPr>
              <w:bidi w:val="0"/>
              <w:rPr>
                <w:rFonts w:hint="eastAsia"/>
                <w:color w:val="auto"/>
              </w:rPr>
            </w:pPr>
            <w:r>
              <w:rPr>
                <w:rFonts w:hint="eastAsia"/>
                <w:color w:val="auto"/>
                <w:lang w:val="en-US" w:eastAsia="zh-CN"/>
              </w:rPr>
              <w:t>《环境影响评价技术导则大气环境》（HJ2.2-2018）中6.4.1.1提出：</w:t>
            </w:r>
            <w:r>
              <w:rPr>
                <w:rFonts w:hint="eastAsia"/>
                <w:color w:val="auto"/>
              </w:rPr>
              <w:t>城市环境空气质量达标情况评价指标中六项污染物全部达标即为城市环境空气质量达标。</w:t>
            </w:r>
          </w:p>
          <w:p w14:paraId="186B759B">
            <w:pPr>
              <w:bidi w:val="0"/>
              <w:rPr>
                <w:rFonts w:hint="eastAsia"/>
                <w:color w:val="auto"/>
              </w:rPr>
            </w:pPr>
            <w:r>
              <w:rPr>
                <w:rFonts w:hint="eastAsia"/>
                <w:color w:val="auto"/>
              </w:rPr>
              <w:t>202</w:t>
            </w:r>
            <w:r>
              <w:rPr>
                <w:rFonts w:hint="eastAsia"/>
                <w:color w:val="auto"/>
                <w:lang w:val="en-US" w:eastAsia="zh-CN"/>
              </w:rPr>
              <w:t>4</w:t>
            </w:r>
            <w:r>
              <w:rPr>
                <w:rFonts w:hint="eastAsia"/>
                <w:color w:val="auto"/>
              </w:rPr>
              <w:t>年淮南市环境空气中</w:t>
            </w:r>
            <w:r>
              <w:rPr>
                <w:rFonts w:hint="eastAsia"/>
                <w:color w:val="auto"/>
                <w:lang w:val="en-US" w:eastAsia="zh-CN"/>
              </w:rPr>
              <w:t>PM</w:t>
            </w:r>
            <w:r>
              <w:rPr>
                <w:rFonts w:hint="eastAsia"/>
                <w:color w:val="auto"/>
                <w:vertAlign w:val="subscript"/>
                <w:lang w:val="en-US" w:eastAsia="zh-CN"/>
              </w:rPr>
              <w:t>2.5</w:t>
            </w:r>
            <w:r>
              <w:rPr>
                <w:rFonts w:hint="eastAsia"/>
                <w:color w:val="auto"/>
              </w:rPr>
              <w:t>年平均浓度超过环境空气质量二级标准，经判定，项目所在区为环境空气质量不达标区域，超标因子为</w:t>
            </w:r>
            <w:r>
              <w:rPr>
                <w:rFonts w:hint="eastAsia"/>
                <w:color w:val="auto"/>
                <w:lang w:val="en-US" w:eastAsia="zh-CN"/>
              </w:rPr>
              <w:t>PM</w:t>
            </w:r>
            <w:r>
              <w:rPr>
                <w:rFonts w:hint="eastAsia"/>
                <w:color w:val="auto"/>
                <w:vertAlign w:val="subscript"/>
                <w:lang w:val="en-US" w:eastAsia="zh-CN"/>
              </w:rPr>
              <w:t>2.5</w:t>
            </w:r>
            <w:r>
              <w:rPr>
                <w:rFonts w:hint="eastAsia"/>
                <w:color w:val="auto"/>
              </w:rPr>
              <w:t>。</w:t>
            </w:r>
          </w:p>
          <w:p w14:paraId="5507251A">
            <w:pPr>
              <w:bidi w:val="0"/>
              <w:rPr>
                <w:rFonts w:hint="eastAsia"/>
                <w:color w:val="auto"/>
                <w:lang w:val="en-US" w:eastAsia="zh-CN"/>
              </w:rPr>
            </w:pPr>
            <w:r>
              <w:rPr>
                <w:rFonts w:hint="eastAsia"/>
                <w:color w:val="auto"/>
                <w:lang w:val="en-US" w:eastAsia="zh-CN"/>
              </w:rPr>
              <w:t>针对环境质量状况，淮南市政府采取了一系列的措施：</w:t>
            </w:r>
          </w:p>
          <w:p w14:paraId="348AA3DE">
            <w:pPr>
              <w:bidi w:val="0"/>
              <w:rPr>
                <w:rFonts w:hint="eastAsia"/>
                <w:color w:val="auto"/>
                <w:lang w:val="en-US" w:eastAsia="zh-CN"/>
              </w:rPr>
            </w:pPr>
            <w:r>
              <w:rPr>
                <w:rFonts w:hint="eastAsia"/>
                <w:color w:val="auto"/>
                <w:lang w:val="en-US" w:eastAsia="zh-CN"/>
              </w:rPr>
              <w:t>1、对标先进制定规范：对标长三角地区，制定淮南市建设工程扬尘污染防治“十达标”措施，明确施工扬尘管控的具体标准和要求，从工地围挡、物料覆盖、洒水降尘等多方面规范施工行为，有效减少扬尘污染。</w:t>
            </w:r>
          </w:p>
          <w:p w14:paraId="7FC89F89">
            <w:pPr>
              <w:bidi w:val="0"/>
              <w:rPr>
                <w:rFonts w:hint="eastAsia"/>
                <w:color w:val="auto"/>
                <w:lang w:val="en-US" w:eastAsia="zh-CN"/>
              </w:rPr>
            </w:pPr>
            <w:r>
              <w:rPr>
                <w:rFonts w:hint="eastAsia"/>
                <w:color w:val="auto"/>
                <w:lang w:val="en-US" w:eastAsia="zh-CN"/>
              </w:rPr>
              <w:t>2、建立协同工作机制：建立空气质量联席会商、重点区域监督帮扶、快速联动反应等一系列机制，通过定期会商分析空气质量状况，针对重点区域开展精准监督帮扶，对突发污染问题快速响应处置，全年发布建议2411条，帮扶县区100余次，推动解决问题1393个。</w:t>
            </w:r>
          </w:p>
          <w:p w14:paraId="5AB9E41B">
            <w:pPr>
              <w:bidi w:val="0"/>
              <w:rPr>
                <w:rFonts w:hint="eastAsia"/>
                <w:color w:val="auto"/>
                <w:lang w:val="en-US" w:eastAsia="zh-CN"/>
              </w:rPr>
            </w:pPr>
            <w:r>
              <w:rPr>
                <w:rFonts w:hint="eastAsia"/>
                <w:color w:val="auto"/>
                <w:lang w:val="en-US" w:eastAsia="zh-CN"/>
              </w:rPr>
              <w:t>3、制定全过程管理办法：在全省率先制定《淮南市农村黑臭水体治理全过程监督管理办法》，规范“排查识别、成因分析、系统治理、项目管理、长效管控、责任追究”的全过程，为农村黑臭水体治理提供系统性指导，确保治理工作有序推进。</w:t>
            </w:r>
          </w:p>
          <w:p w14:paraId="2C1378CC">
            <w:pPr>
              <w:bidi w:val="0"/>
              <w:rPr>
                <w:rFonts w:hint="eastAsia"/>
                <w:color w:val="auto"/>
                <w:lang w:val="en"/>
              </w:rPr>
            </w:pPr>
            <w:r>
              <w:rPr>
                <w:rFonts w:hint="eastAsia"/>
                <w:color w:val="auto"/>
                <w:lang w:val="en-US" w:eastAsia="zh-CN"/>
              </w:rPr>
              <w:t>4、出台多领域协同政策：联合多部门出台金融、税务、交通等领域支持减污降碳协同创新政策。如《金融支持淮南市减污降碳协同创新试点工作的指导意见》，创新推出“绿色贷”和“转型贷”；出台“绿色税务标签”，为符合条件企业给予税收减免优惠3.69亿元；出台《淮南市交通运输领域减污降碳协同创新实施方案》，优化交通运输结构，使铁、水运输量占比分别高出全省平均水平6.74和5.76个百分点。</w:t>
            </w:r>
          </w:p>
          <w:p w14:paraId="02A93930">
            <w:pPr>
              <w:bidi w:val="0"/>
              <w:rPr>
                <w:b/>
                <w:bCs/>
                <w:color w:val="auto"/>
              </w:rPr>
            </w:pPr>
            <w:r>
              <w:rPr>
                <w:rFonts w:hint="eastAsia"/>
                <w:b/>
                <w:bCs/>
                <w:color w:val="auto"/>
                <w:lang w:eastAsia="zh-CN"/>
              </w:rPr>
              <w:t>（2）</w:t>
            </w:r>
            <w:r>
              <w:rPr>
                <w:rFonts w:hint="eastAsia"/>
                <w:b/>
                <w:bCs/>
                <w:color w:val="auto"/>
              </w:rPr>
              <w:t>其他污染物环境</w:t>
            </w:r>
            <w:r>
              <w:rPr>
                <w:b/>
                <w:bCs/>
                <w:color w:val="auto"/>
              </w:rPr>
              <w:t>质量现状</w:t>
            </w:r>
          </w:p>
          <w:p w14:paraId="006C0E26">
            <w:pPr>
              <w:bidi w:val="0"/>
              <w:rPr>
                <w:color w:val="auto"/>
              </w:rPr>
            </w:pPr>
            <w:r>
              <w:rPr>
                <w:color w:val="auto"/>
              </w:rPr>
              <w:t>根据本项目工艺，本项目排放的特征污染物</w:t>
            </w:r>
            <w:r>
              <w:rPr>
                <w:rFonts w:hint="eastAsia"/>
                <w:color w:val="auto"/>
              </w:rPr>
              <w:t>有</w:t>
            </w:r>
            <w:r>
              <w:rPr>
                <w:color w:val="auto"/>
              </w:rPr>
              <w:t>TSP</w:t>
            </w:r>
            <w:r>
              <w:rPr>
                <w:rFonts w:hint="eastAsia"/>
                <w:color w:val="auto"/>
                <w:lang w:eastAsia="zh-CN"/>
              </w:rPr>
              <w:t>、</w:t>
            </w:r>
            <w:r>
              <w:rPr>
                <w:rFonts w:hint="eastAsia"/>
                <w:color w:val="auto"/>
                <w:lang w:val="en-US" w:eastAsia="zh-CN"/>
              </w:rPr>
              <w:t>非甲烷总烃</w:t>
            </w:r>
            <w:r>
              <w:rPr>
                <w:color w:val="auto"/>
                <w:lang w:val="en-US"/>
              </w:rPr>
              <w:t>，本次评价TSP</w:t>
            </w:r>
            <w:r>
              <w:rPr>
                <w:rFonts w:hint="eastAsia"/>
                <w:color w:val="auto"/>
                <w:lang w:val="en-US" w:eastAsia="zh-CN"/>
              </w:rPr>
              <w:t>、非甲烷总烃</w:t>
            </w:r>
            <w:r>
              <w:rPr>
                <w:color w:val="auto"/>
                <w:lang w:val="en-US"/>
              </w:rPr>
              <w:t>现状监测数据引用</w:t>
            </w:r>
            <w:r>
              <w:rPr>
                <w:rFonts w:hint="eastAsia"/>
                <w:color w:val="auto"/>
                <w:lang w:val="en-US"/>
              </w:rPr>
              <w:t>《淮南潘集化工园区总体发展规划（2024—2035年）环境影响报告书》中</w:t>
            </w:r>
            <w:r>
              <w:rPr>
                <w:rFonts w:hint="eastAsia"/>
                <w:color w:val="auto"/>
                <w:lang w:val="en-US" w:eastAsia="zh-CN"/>
              </w:rPr>
              <w:t>安徽衍蓉新材料科技有限公司</w:t>
            </w:r>
            <w:r>
              <w:rPr>
                <w:rFonts w:hint="eastAsia"/>
                <w:color w:val="auto"/>
                <w:lang w:val="en-US"/>
              </w:rPr>
              <w:t>环境空气质量现状监测数据，</w:t>
            </w:r>
            <w:r>
              <w:rPr>
                <w:color w:val="auto"/>
              </w:rPr>
              <w:t>监测点位</w:t>
            </w:r>
            <w:r>
              <w:rPr>
                <w:color w:val="auto"/>
                <w:lang w:val="en-US"/>
              </w:rPr>
              <w:t>位于</w:t>
            </w:r>
            <w:r>
              <w:rPr>
                <w:color w:val="auto"/>
              </w:rPr>
              <w:t>本项目</w:t>
            </w:r>
            <w:r>
              <w:rPr>
                <w:rFonts w:hint="eastAsia"/>
                <w:color w:val="auto"/>
                <w:lang w:val="en-US" w:eastAsia="zh-CN"/>
              </w:rPr>
              <w:t>西北</w:t>
            </w:r>
            <w:r>
              <w:rPr>
                <w:color w:val="auto"/>
                <w:lang w:val="en-US"/>
              </w:rPr>
              <w:t>侧</w:t>
            </w:r>
            <w:r>
              <w:rPr>
                <w:color w:val="auto"/>
              </w:rPr>
              <w:t>约</w:t>
            </w:r>
            <w:r>
              <w:rPr>
                <w:rFonts w:hint="eastAsia"/>
                <w:color w:val="auto"/>
                <w:lang w:val="en-US" w:eastAsia="zh-CN"/>
              </w:rPr>
              <w:t>994</w:t>
            </w:r>
            <w:r>
              <w:rPr>
                <w:color w:val="auto"/>
              </w:rPr>
              <w:t>米，监测时间为连续监测</w:t>
            </w:r>
            <w:r>
              <w:rPr>
                <w:rFonts w:hint="eastAsia"/>
                <w:color w:val="auto"/>
                <w:lang w:val="en-US" w:eastAsia="zh-CN"/>
              </w:rPr>
              <w:t>7</w:t>
            </w:r>
            <w:r>
              <w:rPr>
                <w:color w:val="auto"/>
              </w:rPr>
              <w:t>天，</w:t>
            </w:r>
            <w:r>
              <w:rPr>
                <w:rFonts w:hint="eastAsia"/>
                <w:color w:val="auto"/>
                <w:lang w:eastAsia="zh-CN"/>
              </w:rPr>
              <w:t>监测时间为</w:t>
            </w:r>
            <w:r>
              <w:rPr>
                <w:rFonts w:hint="eastAsia"/>
                <w:color w:val="auto"/>
                <w:lang w:val="en-US"/>
              </w:rPr>
              <w:t>202</w:t>
            </w:r>
            <w:r>
              <w:rPr>
                <w:rFonts w:hint="eastAsia"/>
                <w:color w:val="auto"/>
                <w:lang w:val="en-US" w:eastAsia="zh-CN"/>
              </w:rPr>
              <w:t>3</w:t>
            </w:r>
            <w:r>
              <w:rPr>
                <w:rFonts w:hint="eastAsia"/>
                <w:color w:val="auto"/>
                <w:lang w:val="en-US"/>
              </w:rPr>
              <w:t>年</w:t>
            </w:r>
            <w:r>
              <w:rPr>
                <w:rFonts w:hint="eastAsia"/>
                <w:color w:val="auto"/>
                <w:lang w:val="en-US" w:eastAsia="zh-CN"/>
              </w:rPr>
              <w:t>11</w:t>
            </w:r>
            <w:r>
              <w:rPr>
                <w:rFonts w:hint="eastAsia"/>
                <w:color w:val="auto"/>
                <w:lang w:val="en-US"/>
              </w:rPr>
              <w:t>月1</w:t>
            </w:r>
            <w:r>
              <w:rPr>
                <w:rFonts w:hint="eastAsia"/>
                <w:color w:val="auto"/>
                <w:lang w:val="en-US" w:eastAsia="zh-CN"/>
              </w:rPr>
              <w:t>3</w:t>
            </w:r>
            <w:r>
              <w:rPr>
                <w:rFonts w:hint="eastAsia"/>
                <w:color w:val="auto"/>
                <w:lang w:val="en-US"/>
              </w:rPr>
              <w:t>日～</w:t>
            </w:r>
            <w:r>
              <w:rPr>
                <w:rFonts w:hint="eastAsia"/>
                <w:color w:val="auto"/>
                <w:lang w:val="en-US" w:eastAsia="zh-CN"/>
              </w:rPr>
              <w:t>11</w:t>
            </w:r>
            <w:r>
              <w:rPr>
                <w:rFonts w:hint="eastAsia"/>
                <w:color w:val="auto"/>
                <w:lang w:val="en-US"/>
              </w:rPr>
              <w:t>月</w:t>
            </w:r>
            <w:r>
              <w:rPr>
                <w:rFonts w:hint="eastAsia"/>
                <w:color w:val="auto"/>
                <w:lang w:val="en-US" w:eastAsia="zh-CN"/>
              </w:rPr>
              <w:t>19</w:t>
            </w:r>
            <w:r>
              <w:rPr>
                <w:rFonts w:hint="eastAsia"/>
                <w:color w:val="auto"/>
                <w:lang w:val="en-US"/>
              </w:rPr>
              <w:t>日，</w:t>
            </w:r>
            <w:r>
              <w:rPr>
                <w:color w:val="auto"/>
              </w:rPr>
              <w:t>满足引用数据的要求，</w:t>
            </w:r>
            <w:r>
              <w:rPr>
                <w:rFonts w:hint="eastAsia"/>
                <w:color w:val="auto"/>
                <w:lang w:val="en-US" w:eastAsia="zh-CN"/>
              </w:rPr>
              <w:t>监测点位见下图，</w:t>
            </w:r>
            <w:r>
              <w:rPr>
                <w:color w:val="auto"/>
              </w:rPr>
              <w:t>具体监测及统计结果见下表：</w:t>
            </w:r>
          </w:p>
          <w:p w14:paraId="41EEC090">
            <w:pPr>
              <w:pStyle w:val="21"/>
              <w:bidi w:val="0"/>
              <w:rPr>
                <w:rFonts w:hint="eastAsia"/>
                <w:color w:val="auto"/>
              </w:rPr>
            </w:pPr>
            <w:r>
              <w:rPr>
                <w:rFonts w:hint="eastAsia"/>
                <w:color w:val="auto"/>
              </w:rPr>
              <w:t xml:space="preserve">表3-2 </w:t>
            </w:r>
            <w:r>
              <w:rPr>
                <w:rFonts w:hint="eastAsia"/>
                <w:color w:val="auto"/>
                <w:lang w:val="en-US" w:eastAsia="zh-CN"/>
              </w:rPr>
              <w:t xml:space="preserve"> </w:t>
            </w:r>
            <w:r>
              <w:rPr>
                <w:rFonts w:hint="eastAsia"/>
                <w:color w:val="auto"/>
              </w:rPr>
              <w:t>大气环境质量现状监测结果（单位：mg/</w:t>
            </w:r>
            <w:r>
              <w:rPr>
                <w:rFonts w:hint="eastAsia"/>
                <w:color w:val="auto"/>
                <w:lang w:val="en-US" w:eastAsia="zh-CN"/>
              </w:rPr>
              <w:t>m</w:t>
            </w:r>
            <w:r>
              <w:rPr>
                <w:rFonts w:hint="eastAsia"/>
                <w:color w:val="auto"/>
                <w:vertAlign w:val="superscript"/>
                <w:lang w:val="en-US" w:eastAsia="zh-CN"/>
              </w:rPr>
              <w:t>3</w:t>
            </w:r>
            <w:r>
              <w:rPr>
                <w:rFonts w:hint="eastAsia"/>
                <w:color w:val="auto"/>
              </w:rPr>
              <w:t>）</w:t>
            </w:r>
          </w:p>
          <w:tbl>
            <w:tblPr>
              <w:tblStyle w:val="12"/>
              <w:tblW w:w="48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2"/>
              <w:gridCol w:w="2488"/>
              <w:gridCol w:w="1609"/>
              <w:gridCol w:w="1740"/>
            </w:tblGrid>
            <w:tr w14:paraId="6141C5F6">
              <w:tblPrEx>
                <w:tblCellMar>
                  <w:top w:w="0" w:type="dxa"/>
                  <w:left w:w="108" w:type="dxa"/>
                  <w:bottom w:w="0" w:type="dxa"/>
                  <w:right w:w="108" w:type="dxa"/>
                </w:tblCellMar>
              </w:tblPrEx>
              <w:trPr>
                <w:trHeight w:val="340" w:hRule="atLeast"/>
                <w:jc w:val="center"/>
              </w:trPr>
              <w:tc>
                <w:tcPr>
                  <w:tcW w:w="1422" w:type="pct"/>
                  <w:noWrap w:val="0"/>
                  <w:vAlign w:val="center"/>
                </w:tcPr>
                <w:p w14:paraId="691256A2">
                  <w:pPr>
                    <w:pStyle w:val="22"/>
                    <w:bidi w:val="0"/>
                    <w:rPr>
                      <w:rFonts w:hint="eastAsia"/>
                      <w:b/>
                      <w:bCs/>
                      <w:color w:val="auto"/>
                      <w:lang w:eastAsia="zh-CN"/>
                    </w:rPr>
                  </w:pPr>
                  <w:r>
                    <w:rPr>
                      <w:rFonts w:hint="eastAsia"/>
                      <w:b/>
                      <w:bCs/>
                      <w:color w:val="auto"/>
                    </w:rPr>
                    <w:t>监测</w:t>
                  </w:r>
                  <w:r>
                    <w:rPr>
                      <w:rFonts w:hint="eastAsia"/>
                      <w:b/>
                      <w:bCs/>
                      <w:color w:val="auto"/>
                      <w:lang w:val="en-US" w:eastAsia="zh-CN"/>
                    </w:rPr>
                    <w:t>项目</w:t>
                  </w:r>
                </w:p>
              </w:tc>
              <w:tc>
                <w:tcPr>
                  <w:tcW w:w="1524" w:type="pct"/>
                  <w:noWrap w:val="0"/>
                  <w:vAlign w:val="center"/>
                </w:tcPr>
                <w:p w14:paraId="4880D976">
                  <w:pPr>
                    <w:pStyle w:val="22"/>
                    <w:bidi w:val="0"/>
                    <w:rPr>
                      <w:rFonts w:hint="eastAsia"/>
                      <w:b/>
                      <w:bCs/>
                      <w:color w:val="auto"/>
                      <w:lang w:val="en-US" w:eastAsia="zh-CN"/>
                    </w:rPr>
                  </w:pPr>
                  <w:r>
                    <w:rPr>
                      <w:rFonts w:hint="eastAsia"/>
                      <w:b/>
                      <w:bCs/>
                      <w:color w:val="auto"/>
                    </w:rPr>
                    <w:t>监测结果</w:t>
                  </w:r>
                </w:p>
              </w:tc>
              <w:tc>
                <w:tcPr>
                  <w:tcW w:w="986" w:type="pct"/>
                  <w:noWrap w:val="0"/>
                  <w:vAlign w:val="center"/>
                </w:tcPr>
                <w:p w14:paraId="0F0190B2">
                  <w:pPr>
                    <w:pStyle w:val="22"/>
                    <w:bidi w:val="0"/>
                    <w:rPr>
                      <w:rFonts w:hint="default"/>
                      <w:b/>
                      <w:bCs/>
                      <w:color w:val="auto"/>
                      <w:lang w:val="en-US" w:eastAsia="zh-CN"/>
                    </w:rPr>
                  </w:pPr>
                  <w:r>
                    <w:rPr>
                      <w:rFonts w:hint="eastAsia"/>
                      <w:b/>
                      <w:bCs/>
                      <w:color w:val="auto"/>
                      <w:lang w:val="en-US" w:eastAsia="zh-CN"/>
                    </w:rPr>
                    <w:t>指数范围</w:t>
                  </w:r>
                </w:p>
              </w:tc>
              <w:tc>
                <w:tcPr>
                  <w:tcW w:w="1066" w:type="pct"/>
                  <w:noWrap w:val="0"/>
                  <w:vAlign w:val="center"/>
                </w:tcPr>
                <w:p w14:paraId="0F83AEFA">
                  <w:pPr>
                    <w:pStyle w:val="22"/>
                    <w:bidi w:val="0"/>
                    <w:rPr>
                      <w:rFonts w:hint="default"/>
                      <w:b/>
                      <w:bCs/>
                      <w:color w:val="auto"/>
                      <w:lang w:val="en-US" w:eastAsia="zh-CN"/>
                    </w:rPr>
                  </w:pPr>
                  <w:r>
                    <w:rPr>
                      <w:rFonts w:hint="eastAsia"/>
                      <w:b/>
                      <w:bCs/>
                      <w:color w:val="auto"/>
                      <w:lang w:val="en-US" w:eastAsia="zh-CN"/>
                    </w:rPr>
                    <w:t>标准值</w:t>
                  </w:r>
                </w:p>
              </w:tc>
            </w:tr>
            <w:tr w14:paraId="79A0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22" w:type="pct"/>
                  <w:noWrap w:val="0"/>
                  <w:vAlign w:val="center"/>
                </w:tcPr>
                <w:p w14:paraId="6F470023">
                  <w:pPr>
                    <w:pStyle w:val="22"/>
                    <w:bidi w:val="0"/>
                    <w:rPr>
                      <w:rFonts w:hint="default"/>
                      <w:color w:val="auto"/>
                      <w:lang w:val="en-US" w:eastAsia="zh-CN"/>
                    </w:rPr>
                  </w:pPr>
                  <w:r>
                    <w:rPr>
                      <w:rFonts w:hint="eastAsia"/>
                      <w:color w:val="auto"/>
                      <w:lang w:val="en-US" w:eastAsia="zh-CN"/>
                    </w:rPr>
                    <w:t>TSP</w:t>
                  </w:r>
                </w:p>
              </w:tc>
              <w:tc>
                <w:tcPr>
                  <w:tcW w:w="1524" w:type="pct"/>
                  <w:noWrap w:val="0"/>
                  <w:vAlign w:val="center"/>
                </w:tcPr>
                <w:p w14:paraId="4993F4AD">
                  <w:pPr>
                    <w:pStyle w:val="22"/>
                    <w:bidi w:val="0"/>
                    <w:rPr>
                      <w:rFonts w:hint="default"/>
                      <w:color w:val="auto"/>
                      <w:lang w:val="en-US" w:eastAsia="zh-CN"/>
                    </w:rPr>
                  </w:pPr>
                  <w:r>
                    <w:rPr>
                      <w:rFonts w:hint="eastAsia"/>
                      <w:color w:val="auto"/>
                      <w:lang w:val="en-US" w:eastAsia="zh-CN"/>
                    </w:rPr>
                    <w:t>0.052~0.068（</w:t>
                  </w:r>
                  <w:r>
                    <w:rPr>
                      <w:rFonts w:hint="eastAsia"/>
                      <w:b/>
                      <w:bCs/>
                      <w:color w:val="auto"/>
                      <w:lang w:val="en-US" w:eastAsia="zh-CN"/>
                    </w:rPr>
                    <w:t>日均值</w:t>
                  </w:r>
                  <w:r>
                    <w:rPr>
                      <w:rFonts w:hint="eastAsia"/>
                      <w:color w:val="auto"/>
                      <w:lang w:val="en-US" w:eastAsia="zh-CN"/>
                    </w:rPr>
                    <w:t>）</w:t>
                  </w:r>
                </w:p>
              </w:tc>
              <w:tc>
                <w:tcPr>
                  <w:tcW w:w="986" w:type="pct"/>
                  <w:noWrap w:val="0"/>
                  <w:vAlign w:val="center"/>
                </w:tcPr>
                <w:p w14:paraId="1FA6CF69">
                  <w:pPr>
                    <w:pStyle w:val="22"/>
                    <w:bidi w:val="0"/>
                    <w:rPr>
                      <w:rFonts w:hint="eastAsia"/>
                      <w:color w:val="auto"/>
                      <w:lang w:val="en-US" w:eastAsia="zh-CN"/>
                    </w:rPr>
                  </w:pPr>
                  <w:r>
                    <w:rPr>
                      <w:rFonts w:hint="eastAsia"/>
                      <w:color w:val="auto"/>
                      <w:lang w:val="en-US" w:eastAsia="zh-CN"/>
                    </w:rPr>
                    <w:t>0.17~0.23</w:t>
                  </w:r>
                </w:p>
              </w:tc>
              <w:tc>
                <w:tcPr>
                  <w:tcW w:w="1066" w:type="pct"/>
                  <w:noWrap w:val="0"/>
                  <w:vAlign w:val="center"/>
                </w:tcPr>
                <w:p w14:paraId="73E28807">
                  <w:pPr>
                    <w:pStyle w:val="22"/>
                    <w:bidi w:val="0"/>
                    <w:rPr>
                      <w:rFonts w:hint="default"/>
                      <w:color w:val="auto"/>
                      <w:lang w:val="en-US" w:eastAsia="zh-CN"/>
                    </w:rPr>
                  </w:pPr>
                  <w:r>
                    <w:rPr>
                      <w:rFonts w:hint="eastAsia"/>
                      <w:color w:val="auto"/>
                      <w:lang w:val="en-US" w:eastAsia="zh-CN"/>
                    </w:rPr>
                    <w:t>0.3</w:t>
                  </w:r>
                </w:p>
              </w:tc>
            </w:tr>
            <w:tr w14:paraId="3A0BE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22" w:type="pct"/>
                  <w:noWrap w:val="0"/>
                  <w:vAlign w:val="center"/>
                </w:tcPr>
                <w:p w14:paraId="2C0B2949">
                  <w:pPr>
                    <w:pStyle w:val="22"/>
                    <w:bidi w:val="0"/>
                    <w:rPr>
                      <w:rFonts w:hint="eastAsia"/>
                      <w:color w:val="auto"/>
                    </w:rPr>
                  </w:pPr>
                  <w:r>
                    <w:rPr>
                      <w:rFonts w:hint="eastAsia"/>
                      <w:color w:val="auto"/>
                      <w:lang w:val="en-US" w:eastAsia="zh-CN"/>
                    </w:rPr>
                    <w:t>非甲烷总烃</w:t>
                  </w:r>
                </w:p>
              </w:tc>
              <w:tc>
                <w:tcPr>
                  <w:tcW w:w="1524" w:type="pct"/>
                  <w:noWrap w:val="0"/>
                  <w:vAlign w:val="center"/>
                </w:tcPr>
                <w:p w14:paraId="1601AA03">
                  <w:pPr>
                    <w:pStyle w:val="22"/>
                    <w:bidi w:val="0"/>
                    <w:rPr>
                      <w:rFonts w:hint="eastAsia"/>
                      <w:color w:val="auto"/>
                      <w:lang w:val="en-US" w:eastAsia="zh-CN"/>
                    </w:rPr>
                  </w:pPr>
                  <w:r>
                    <w:rPr>
                      <w:rFonts w:hint="eastAsia"/>
                      <w:color w:val="auto"/>
                      <w:lang w:val="en-US" w:eastAsia="zh-CN"/>
                    </w:rPr>
                    <w:t>0.42~0.84（小时均值）</w:t>
                  </w:r>
                </w:p>
              </w:tc>
              <w:tc>
                <w:tcPr>
                  <w:tcW w:w="986" w:type="pct"/>
                  <w:noWrap w:val="0"/>
                  <w:vAlign w:val="center"/>
                </w:tcPr>
                <w:p w14:paraId="3668276A">
                  <w:pPr>
                    <w:pStyle w:val="22"/>
                    <w:bidi w:val="0"/>
                    <w:rPr>
                      <w:rFonts w:hint="eastAsia"/>
                      <w:color w:val="auto"/>
                      <w:lang w:val="en-US" w:eastAsia="zh-CN"/>
                    </w:rPr>
                  </w:pPr>
                  <w:r>
                    <w:rPr>
                      <w:rFonts w:hint="eastAsia"/>
                      <w:color w:val="auto"/>
                      <w:lang w:val="en-US" w:eastAsia="zh-CN"/>
                    </w:rPr>
                    <w:t>0.21-0.42</w:t>
                  </w:r>
                </w:p>
              </w:tc>
              <w:tc>
                <w:tcPr>
                  <w:tcW w:w="1066" w:type="pct"/>
                  <w:noWrap w:val="0"/>
                  <w:vAlign w:val="center"/>
                </w:tcPr>
                <w:p w14:paraId="41D381B0">
                  <w:pPr>
                    <w:pStyle w:val="22"/>
                    <w:bidi w:val="0"/>
                    <w:rPr>
                      <w:rFonts w:hint="default"/>
                      <w:color w:val="auto"/>
                      <w:lang w:val="en-US" w:eastAsia="zh-CN"/>
                    </w:rPr>
                  </w:pPr>
                  <w:r>
                    <w:rPr>
                      <w:rFonts w:hint="eastAsia"/>
                      <w:color w:val="auto"/>
                      <w:lang w:val="en-US" w:eastAsia="zh-CN"/>
                    </w:rPr>
                    <w:t>2</w:t>
                  </w:r>
                </w:p>
              </w:tc>
            </w:tr>
            <w:tr w14:paraId="7E048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22" w:type="pct"/>
                  <w:noWrap w:val="0"/>
                  <w:vAlign w:val="center"/>
                </w:tcPr>
                <w:p w14:paraId="29C03B28">
                  <w:pPr>
                    <w:pStyle w:val="22"/>
                    <w:bidi w:val="0"/>
                    <w:rPr>
                      <w:rFonts w:hint="default"/>
                      <w:color w:val="auto"/>
                      <w:lang w:val="en-US" w:eastAsia="zh-CN"/>
                    </w:rPr>
                  </w:pPr>
                  <w:r>
                    <w:rPr>
                      <w:rFonts w:hint="eastAsia"/>
                      <w:color w:val="auto"/>
                      <w:lang w:val="en-US" w:eastAsia="zh-CN"/>
                    </w:rPr>
                    <w:t>达标情况</w:t>
                  </w:r>
                </w:p>
              </w:tc>
              <w:tc>
                <w:tcPr>
                  <w:tcW w:w="3577" w:type="pct"/>
                  <w:gridSpan w:val="3"/>
                  <w:noWrap w:val="0"/>
                  <w:vAlign w:val="center"/>
                </w:tcPr>
                <w:p w14:paraId="12D4E79C">
                  <w:pPr>
                    <w:pStyle w:val="22"/>
                    <w:bidi w:val="0"/>
                    <w:rPr>
                      <w:rFonts w:hint="default"/>
                      <w:color w:val="auto"/>
                      <w:lang w:val="en-US" w:eastAsia="zh-CN"/>
                    </w:rPr>
                  </w:pPr>
                  <w:r>
                    <w:rPr>
                      <w:rFonts w:hint="eastAsia"/>
                      <w:color w:val="auto"/>
                      <w:lang w:val="en-US" w:eastAsia="zh-CN"/>
                    </w:rPr>
                    <w:t>达标</w:t>
                  </w:r>
                </w:p>
              </w:tc>
            </w:tr>
          </w:tbl>
          <w:p w14:paraId="5F8E8B77">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FF"/>
              </w:rPr>
            </w:pPr>
            <w:r>
              <w:rPr>
                <w:color w:val="0000FF"/>
              </w:rPr>
              <w:drawing>
                <wp:anchor distT="0" distB="0" distL="114300" distR="114300" simplePos="0" relativeHeight="251663360" behindDoc="0" locked="0" layoutInCell="1" allowOverlap="1">
                  <wp:simplePos x="0" y="0"/>
                  <wp:positionH relativeFrom="column">
                    <wp:posOffset>4239895</wp:posOffset>
                  </wp:positionH>
                  <wp:positionV relativeFrom="paragraph">
                    <wp:posOffset>56515</wp:posOffset>
                  </wp:positionV>
                  <wp:extent cx="1053465" cy="755650"/>
                  <wp:effectExtent l="0" t="0" r="13335" b="6350"/>
                  <wp:wrapNone/>
                  <wp:docPr id="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pic:cNvPicPr>
                            <a:picLocks noChangeAspect="1"/>
                          </pic:cNvPicPr>
                        </pic:nvPicPr>
                        <pic:blipFill>
                          <a:blip r:embed="rId11"/>
                          <a:stretch>
                            <a:fillRect/>
                          </a:stretch>
                        </pic:blipFill>
                        <pic:spPr>
                          <a:xfrm>
                            <a:off x="0" y="0"/>
                            <a:ext cx="1053465" cy="755650"/>
                          </a:xfrm>
                          <a:prstGeom prst="rect">
                            <a:avLst/>
                          </a:prstGeom>
                          <a:noFill/>
                          <a:ln>
                            <a:noFill/>
                          </a:ln>
                        </pic:spPr>
                      </pic:pic>
                    </a:graphicData>
                  </a:graphic>
                </wp:anchor>
              </w:drawing>
            </w:r>
            <w:r>
              <w:rPr>
                <w:color w:val="0000FF"/>
                <w:sz w:val="24"/>
              </w:rPr>
              <mc:AlternateContent>
                <mc:Choice Requires="wps">
                  <w:drawing>
                    <wp:anchor distT="0" distB="0" distL="114300" distR="114300" simplePos="0" relativeHeight="251664384" behindDoc="0" locked="0" layoutInCell="1" allowOverlap="1">
                      <wp:simplePos x="0" y="0"/>
                      <wp:positionH relativeFrom="column">
                        <wp:posOffset>2713355</wp:posOffset>
                      </wp:positionH>
                      <wp:positionV relativeFrom="paragraph">
                        <wp:posOffset>2466340</wp:posOffset>
                      </wp:positionV>
                      <wp:extent cx="461010" cy="209550"/>
                      <wp:effectExtent l="4445" t="4445" r="10795" b="14605"/>
                      <wp:wrapNone/>
                      <wp:docPr id="23" name="文本框 23"/>
                      <wp:cNvGraphicFramePr/>
                      <a:graphic xmlns:a="http://schemas.openxmlformats.org/drawingml/2006/main">
                        <a:graphicData uri="http://schemas.microsoft.com/office/word/2010/wordprocessingShape">
                          <wps:wsp>
                            <wps:cNvSpPr txBox="1"/>
                            <wps:spPr>
                              <a:xfrm>
                                <a:off x="3248660" y="2369185"/>
                                <a:ext cx="461010" cy="2095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F1CBC9C">
                                  <w:pPr>
                                    <w:ind w:left="0" w:leftChars="0" w:firstLine="0" w:firstLineChars="0"/>
                                    <w:rPr>
                                      <w:rFonts w:hint="default" w:eastAsia="宋体"/>
                                      <w:lang w:val="en-US" w:eastAsia="zh-CN"/>
                                    </w:rPr>
                                  </w:pPr>
                                  <w:r>
                                    <w:rPr>
                                      <w:rFonts w:hint="eastAsia"/>
                                      <w:lang w:val="en-US" w:eastAsia="zh-CN"/>
                                    </w:rPr>
                                    <w:t>994m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13.65pt;margin-top:194.2pt;height:16.5pt;width:36.3pt;z-index:251664384;mso-width-relative:page;mso-height-relative:page;" fillcolor="#FFFFFF [3201]" filled="t" stroked="t" coordsize="21600,21600" o:gfxdata="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d&#10;K7k32gAAAAsBAAAPAAAAAAAAAAEAIAAAACIAAABkcnMvZG93bnJldi54bWxQSwECFAAUAAAACACH&#10;TuJAe/ZVpVsCAAC0BAAADgAAAAAAAAABACAAAAApAQAAZHJzL2Uyb0RvYy54bWxQSwUGAAAAAAYA&#10;BgBZAQAA9gUAAAAA&#10;">
                      <v:fill on="t" focussize="0,0"/>
                      <v:stroke weight="0.5pt" color="#000000 [3204]" joinstyle="round"/>
                      <v:imagedata o:title=""/>
                      <o:lock v:ext="edit" aspectratio="f"/>
                      <v:textbox inset="0mm,0mm,0mm,0mm">
                        <w:txbxContent>
                          <w:p w14:paraId="0F1CBC9C">
                            <w:pPr>
                              <w:ind w:left="0" w:leftChars="0" w:firstLine="0" w:firstLineChars="0"/>
                              <w:rPr>
                                <w:rFonts w:hint="default" w:eastAsia="宋体"/>
                                <w:lang w:val="en-US" w:eastAsia="zh-CN"/>
                              </w:rPr>
                            </w:pPr>
                            <w:r>
                              <w:rPr>
                                <w:rFonts w:hint="eastAsia"/>
                                <w:lang w:val="en-US" w:eastAsia="zh-CN"/>
                              </w:rPr>
                              <w:t>994m</w:t>
                            </w:r>
                          </w:p>
                        </w:txbxContent>
                      </v:textbox>
                    </v:shape>
                  </w:pict>
                </mc:Fallback>
              </mc:AlternateContent>
            </w:r>
            <w:r>
              <w:rPr>
                <w:color w:val="0000FF"/>
                <w:sz w:val="24"/>
              </w:rPr>
              <mc:AlternateContent>
                <mc:Choice Requires="wps">
                  <w:drawing>
                    <wp:anchor distT="0" distB="0" distL="114300" distR="114300" simplePos="0" relativeHeight="251662336" behindDoc="0" locked="0" layoutInCell="1" allowOverlap="1">
                      <wp:simplePos x="0" y="0"/>
                      <wp:positionH relativeFrom="column">
                        <wp:posOffset>2267585</wp:posOffset>
                      </wp:positionH>
                      <wp:positionV relativeFrom="paragraph">
                        <wp:posOffset>1276350</wp:posOffset>
                      </wp:positionV>
                      <wp:extent cx="1504950" cy="1857375"/>
                      <wp:effectExtent l="0" t="0" r="19050" b="9525"/>
                      <wp:wrapNone/>
                      <wp:docPr id="16" name="直接箭头连接符 16"/>
                      <wp:cNvGraphicFramePr/>
                      <a:graphic xmlns:a="http://schemas.openxmlformats.org/drawingml/2006/main">
                        <a:graphicData uri="http://schemas.microsoft.com/office/word/2010/wordprocessingShape">
                          <wps:wsp>
                            <wps:cNvCnPr/>
                            <wps:spPr>
                              <a:xfrm flipH="1" flipV="1">
                                <a:off x="2337435" y="1283335"/>
                                <a:ext cx="1504950" cy="1857375"/>
                              </a:xfrm>
                              <a:prstGeom prst="straightConnector1">
                                <a:avLst/>
                              </a:prstGeom>
                              <a:ln w="12700">
                                <a:solidFill>
                                  <a:srgbClr val="FFFF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178.55pt;margin-top:100.5pt;height:146.25pt;width:118.5pt;z-index:251662336;mso-width-relative:page;mso-height-relative:page;" filled="f" stroked="t" coordsize="21600,21600" o:gfxdata="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cb2333QAAAAsB&#10;AAAPAAAAAAAAAAEAIAAAACIAAABkcnMvZG93bnJldi54bWxQSwECFAAUAAAACACHTuJA6tW7ZhYC&#10;AADwAwAADgAAAAAAAAABACAAAAAsAQAAZHJzL2Uyb0RvYy54bWxQSwUGAAAAAAYABgBZAQAAtAUA&#10;AAAA&#10;">
                      <v:fill on="f" focussize="0,0"/>
                      <v:stroke weight="1pt" color="#FFFF00 [3204]" joinstyle="round" endarrow="open"/>
                      <v:imagedata o:title=""/>
                      <o:lock v:ext="edit" aspectratio="f"/>
                    </v:shape>
                  </w:pict>
                </mc:Fallback>
              </mc:AlternateContent>
            </w:r>
            <w:r>
              <w:drawing>
                <wp:inline distT="0" distB="0" distL="114300" distR="114300">
                  <wp:extent cx="5306060" cy="4314190"/>
                  <wp:effectExtent l="0" t="0" r="8890" b="10160"/>
                  <wp:docPr id="10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7"/>
                          <pic:cNvPicPr>
                            <a:picLocks noChangeAspect="1"/>
                          </pic:cNvPicPr>
                        </pic:nvPicPr>
                        <pic:blipFill>
                          <a:blip r:embed="rId12"/>
                          <a:stretch>
                            <a:fillRect/>
                          </a:stretch>
                        </pic:blipFill>
                        <pic:spPr>
                          <a:xfrm>
                            <a:off x="0" y="0"/>
                            <a:ext cx="5306060" cy="4314190"/>
                          </a:xfrm>
                          <a:prstGeom prst="rect">
                            <a:avLst/>
                          </a:prstGeom>
                          <a:noFill/>
                          <a:ln>
                            <a:noFill/>
                          </a:ln>
                        </pic:spPr>
                      </pic:pic>
                    </a:graphicData>
                  </a:graphic>
                </wp:inline>
              </w:drawing>
            </w:r>
          </w:p>
          <w:p w14:paraId="70E460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auto"/>
                <w:lang w:val="en-US" w:eastAsia="zh-CN"/>
              </w:rPr>
            </w:pPr>
            <w:r>
              <w:rPr>
                <w:rFonts w:hint="eastAsia"/>
                <w:b/>
                <w:bCs/>
                <w:color w:val="auto"/>
                <w:lang w:val="en-US" w:eastAsia="zh-CN"/>
              </w:rPr>
              <w:t>图3-1  本项目引用监测点位图</w:t>
            </w:r>
          </w:p>
          <w:p w14:paraId="0D98B506">
            <w:pPr>
              <w:keepNext w:val="0"/>
              <w:keepLines w:val="0"/>
              <w:pageBreakBefore w:val="0"/>
              <w:widowControl w:val="0"/>
              <w:kinsoku/>
              <w:wordWrap/>
              <w:overflowPunct/>
              <w:topLinePunct w:val="0"/>
              <w:autoSpaceDE/>
              <w:autoSpaceDN/>
              <w:bidi w:val="0"/>
              <w:adjustRightInd/>
              <w:snapToGrid/>
              <w:ind w:firstLine="480" w:firstLineChars="200"/>
              <w:textAlignment w:val="auto"/>
              <w:rPr>
                <w:color w:val="auto"/>
              </w:rPr>
            </w:pPr>
            <w:r>
              <w:rPr>
                <w:color w:val="auto"/>
              </w:rPr>
              <w:t>由监测结果可知，区域环境空气</w:t>
            </w:r>
            <w:r>
              <w:rPr>
                <w:rFonts w:hint="eastAsia"/>
                <w:color w:val="auto"/>
              </w:rPr>
              <w:t>TSP</w:t>
            </w:r>
            <w:r>
              <w:rPr>
                <w:color w:val="auto"/>
              </w:rPr>
              <w:t>的日均浓度均可达到《环境空气质量标准》（GB3095-2012）二级标准要求</w:t>
            </w:r>
            <w:r>
              <w:rPr>
                <w:rFonts w:hint="eastAsia"/>
                <w:color w:val="auto"/>
              </w:rPr>
              <w:t>。非甲烷总烃监测浓度符合《大气污染物综合排放标准详解》小时均值2mg/</w:t>
            </w:r>
            <w:r>
              <w:rPr>
                <w:rFonts w:hint="eastAsia"/>
                <w:color w:val="auto"/>
                <w:lang w:val="en-US" w:eastAsia="zh-CN"/>
              </w:rPr>
              <w:t>m</w:t>
            </w:r>
            <w:r>
              <w:rPr>
                <w:rFonts w:hint="eastAsia"/>
                <w:color w:val="auto"/>
                <w:vertAlign w:val="superscript"/>
                <w:lang w:val="en-US" w:eastAsia="zh-CN"/>
              </w:rPr>
              <w:t>3</w:t>
            </w:r>
            <w:r>
              <w:rPr>
                <w:rFonts w:hint="eastAsia"/>
                <w:color w:val="auto"/>
              </w:rPr>
              <w:t>标准限值要求</w:t>
            </w:r>
            <w:r>
              <w:rPr>
                <w:rFonts w:hint="eastAsia"/>
                <w:color w:val="auto"/>
                <w:lang w:eastAsia="zh-CN"/>
              </w:rPr>
              <w:t>，</w:t>
            </w:r>
            <w:r>
              <w:rPr>
                <w:color w:val="auto"/>
              </w:rPr>
              <w:t>表明评价区域内的空气环境现状较好。</w:t>
            </w:r>
          </w:p>
          <w:p w14:paraId="25D43CF2">
            <w:pPr>
              <w:bidi w:val="0"/>
              <w:rPr>
                <w:b/>
                <w:bCs/>
                <w:color w:val="auto"/>
              </w:rPr>
            </w:pPr>
            <w:r>
              <w:rPr>
                <w:b/>
                <w:bCs/>
                <w:color w:val="auto"/>
              </w:rPr>
              <w:t>2、地表水环境质量</w:t>
            </w:r>
          </w:p>
          <w:p w14:paraId="65338843">
            <w:pPr>
              <w:bidi w:val="0"/>
              <w:rPr>
                <w:rFonts w:hint="eastAsia"/>
                <w:color w:val="auto"/>
                <w:lang w:val="en-US" w:eastAsia="zh-CN"/>
              </w:rPr>
            </w:pPr>
            <w:r>
              <w:rPr>
                <w:rFonts w:hint="default" w:ascii="Times New Roman" w:hAnsi="Times New Roman" w:cs="Times New Roman"/>
                <w:color w:val="auto"/>
              </w:rPr>
              <w:t>2024年，全市地表水24个监测断面中优良水质比例为91.7%，比上年下降了4.1个百分点，Ⅳ类水质比例8.3%，总体水质状况优。8个国控断面中优良水质比例为87.5%，Ⅳ类水质比例12.5%，水质总体状况良好；11个省控断面中优良水质比例为90.9%，水质总体状况优。</w:t>
            </w:r>
            <w:r>
              <w:rPr>
                <w:rFonts w:hint="default" w:ascii="Times New Roman" w:hAnsi="Times New Roman" w:cs="Times New Roman"/>
                <w:color w:val="auto"/>
                <w:lang w:val="en-US" w:eastAsia="zh-CN"/>
              </w:rPr>
              <w:t>为详细了解周边地表水体水环境质量现状，周边地表水体监测数据引用</w:t>
            </w:r>
            <w:r>
              <w:rPr>
                <w:rFonts w:hint="default" w:ascii="Times New Roman" w:hAnsi="Times New Roman" w:cs="Times New Roman"/>
                <w:color w:val="auto"/>
                <w:lang w:val="en-US"/>
              </w:rPr>
              <w:t>淮南潘集化工园</w:t>
            </w:r>
            <w:r>
              <w:rPr>
                <w:rFonts w:hint="default" w:ascii="Times New Roman" w:hAnsi="Times New Roman" w:cs="Times New Roman"/>
                <w:color w:val="auto"/>
                <w:lang w:val="en-US" w:eastAsia="zh-CN"/>
              </w:rPr>
              <w:t>地表水质监测数据。</w:t>
            </w:r>
          </w:p>
          <w:p w14:paraId="2A8AA166">
            <w:pPr>
              <w:bidi w:val="0"/>
              <w:rPr>
                <w:rFonts w:hint="eastAsia"/>
                <w:b/>
                <w:bCs/>
                <w:color w:val="auto"/>
                <w:lang w:val="en-US" w:eastAsia="zh-CN"/>
              </w:rPr>
            </w:pPr>
            <w:r>
              <w:rPr>
                <w:rFonts w:hint="eastAsia"/>
                <w:b/>
                <w:bCs/>
                <w:color w:val="auto"/>
                <w:lang w:val="en-US" w:eastAsia="zh-CN"/>
              </w:rPr>
              <w:t>（1）监测断面</w:t>
            </w:r>
          </w:p>
          <w:p w14:paraId="32459698">
            <w:pPr>
              <w:bidi w:val="0"/>
              <w:rPr>
                <w:rFonts w:hint="default"/>
                <w:color w:val="auto"/>
                <w:lang w:val="en-US" w:eastAsia="zh-CN"/>
              </w:rPr>
            </w:pPr>
            <w:r>
              <w:rPr>
                <w:rFonts w:hint="eastAsia"/>
                <w:color w:val="auto"/>
                <w:lang w:val="en-US" w:eastAsia="zh-CN"/>
              </w:rPr>
              <w:t>本次监测</w:t>
            </w:r>
            <w:r>
              <w:rPr>
                <w:rFonts w:hint="eastAsia"/>
                <w:color w:val="auto"/>
              </w:rPr>
              <w:t>共布设</w:t>
            </w:r>
            <w:r>
              <w:rPr>
                <w:rFonts w:hint="eastAsia"/>
                <w:color w:val="auto"/>
                <w:lang w:val="en-US" w:eastAsia="zh-CN"/>
              </w:rPr>
              <w:t>3</w:t>
            </w:r>
            <w:r>
              <w:rPr>
                <w:rFonts w:hint="eastAsia"/>
                <w:color w:val="auto"/>
              </w:rPr>
              <w:t>个监测断面，监测断面布置情况见表</w:t>
            </w:r>
            <w:r>
              <w:rPr>
                <w:rFonts w:hint="default"/>
                <w:color w:val="auto"/>
              </w:rPr>
              <w:t>3-</w:t>
            </w:r>
            <w:r>
              <w:rPr>
                <w:rFonts w:hint="eastAsia"/>
                <w:color w:val="auto"/>
                <w:lang w:val="en-US" w:eastAsia="zh-CN"/>
              </w:rPr>
              <w:t>3。</w:t>
            </w:r>
          </w:p>
          <w:p w14:paraId="0E57E2A4">
            <w:pPr>
              <w:pStyle w:val="21"/>
              <w:bidi w:val="0"/>
              <w:rPr>
                <w:rFonts w:hint="eastAsia"/>
                <w:color w:val="auto"/>
                <w:lang w:val="en-US" w:eastAsia="zh-CN"/>
              </w:rPr>
            </w:pPr>
            <w:r>
              <w:rPr>
                <w:rFonts w:hint="eastAsia"/>
                <w:color w:val="auto"/>
              </w:rPr>
              <w:t>表</w:t>
            </w:r>
            <w:r>
              <w:rPr>
                <w:rFonts w:hint="default"/>
                <w:color w:val="auto"/>
              </w:rPr>
              <w:t>3-</w:t>
            </w:r>
            <w:r>
              <w:rPr>
                <w:rFonts w:hint="eastAsia"/>
                <w:color w:val="auto"/>
                <w:lang w:val="en-US" w:eastAsia="zh-CN"/>
              </w:rPr>
              <w:t xml:space="preserve">3  </w:t>
            </w:r>
            <w:r>
              <w:rPr>
                <w:rFonts w:hint="eastAsia"/>
                <w:color w:val="auto"/>
              </w:rPr>
              <w:t>地表水水质监测断面布置情况一览表</w:t>
            </w:r>
          </w:p>
          <w:tbl>
            <w:tblPr>
              <w:tblStyle w:val="12"/>
              <w:tblW w:w="488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44"/>
              <w:gridCol w:w="1084"/>
              <w:gridCol w:w="3490"/>
              <w:gridCol w:w="1272"/>
              <w:gridCol w:w="1268"/>
            </w:tblGrid>
            <w:tr w14:paraId="5629A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97308">
                  <w:pPr>
                    <w:pStyle w:val="22"/>
                    <w:bidi w:val="0"/>
                    <w:rPr>
                      <w:rFonts w:hint="default"/>
                      <w:b/>
                      <w:bCs/>
                      <w:color w:val="auto"/>
                    </w:rPr>
                  </w:pPr>
                  <w:r>
                    <w:rPr>
                      <w:rFonts w:hint="default"/>
                      <w:b/>
                      <w:bCs/>
                      <w:color w:val="auto"/>
                      <w:lang w:val="en-US" w:eastAsia="zh-CN"/>
                    </w:rPr>
                    <w:t>河流</w:t>
                  </w: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F411F">
                  <w:pPr>
                    <w:pStyle w:val="22"/>
                    <w:bidi w:val="0"/>
                    <w:rPr>
                      <w:rFonts w:hint="default"/>
                      <w:b/>
                      <w:bCs/>
                      <w:color w:val="auto"/>
                    </w:rPr>
                  </w:pPr>
                  <w:r>
                    <w:rPr>
                      <w:rFonts w:hint="default"/>
                      <w:b/>
                      <w:bCs/>
                      <w:color w:val="auto"/>
                      <w:lang w:val="en-US" w:eastAsia="zh-CN"/>
                    </w:rPr>
                    <w:t>断面编号</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2CAC5">
                  <w:pPr>
                    <w:pStyle w:val="22"/>
                    <w:bidi w:val="0"/>
                    <w:rPr>
                      <w:rFonts w:hint="default"/>
                      <w:b/>
                      <w:bCs/>
                      <w:color w:val="auto"/>
                    </w:rPr>
                  </w:pPr>
                  <w:r>
                    <w:rPr>
                      <w:rFonts w:hint="default"/>
                      <w:b/>
                      <w:bCs/>
                      <w:color w:val="auto"/>
                      <w:lang w:val="en-US" w:eastAsia="zh-CN"/>
                    </w:rPr>
                    <w:t>断面</w:t>
                  </w:r>
                  <w:r>
                    <w:rPr>
                      <w:rFonts w:hint="eastAsia"/>
                      <w:b/>
                      <w:bCs/>
                      <w:color w:val="auto"/>
                      <w:lang w:val="en-US" w:eastAsia="zh-CN"/>
                    </w:rPr>
                    <w:t>（</w:t>
                  </w:r>
                  <w:r>
                    <w:rPr>
                      <w:rFonts w:hint="default"/>
                      <w:b/>
                      <w:bCs/>
                      <w:color w:val="auto"/>
                      <w:lang w:val="en-US" w:eastAsia="zh-CN"/>
                    </w:rPr>
                    <w:t>点</w:t>
                  </w:r>
                  <w:r>
                    <w:rPr>
                      <w:rFonts w:hint="eastAsia"/>
                      <w:b/>
                      <w:bCs/>
                      <w:color w:val="auto"/>
                      <w:lang w:val="en-US" w:eastAsia="zh-CN"/>
                    </w:rPr>
                    <w:t>）</w:t>
                  </w:r>
                  <w:r>
                    <w:rPr>
                      <w:rFonts w:hint="default"/>
                      <w:b/>
                      <w:bCs/>
                      <w:color w:val="auto"/>
                      <w:lang w:val="en-US" w:eastAsia="zh-CN"/>
                    </w:rPr>
                    <w:t>位置</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D9CAD">
                  <w:pPr>
                    <w:pStyle w:val="22"/>
                    <w:bidi w:val="0"/>
                    <w:rPr>
                      <w:rFonts w:hint="default"/>
                      <w:b/>
                      <w:bCs/>
                      <w:color w:val="auto"/>
                    </w:rPr>
                  </w:pPr>
                  <w:r>
                    <w:rPr>
                      <w:rFonts w:hint="default"/>
                      <w:b/>
                      <w:bCs/>
                      <w:color w:val="auto"/>
                      <w:lang w:val="en-US" w:eastAsia="zh-CN"/>
                    </w:rPr>
                    <w:t>垂线</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8C14C">
                  <w:pPr>
                    <w:pStyle w:val="22"/>
                    <w:bidi w:val="0"/>
                    <w:rPr>
                      <w:rFonts w:hint="default"/>
                      <w:b/>
                      <w:bCs/>
                      <w:color w:val="auto"/>
                    </w:rPr>
                  </w:pPr>
                  <w:r>
                    <w:rPr>
                      <w:rFonts w:hint="default"/>
                      <w:b/>
                      <w:bCs/>
                      <w:color w:val="auto"/>
                      <w:lang w:val="en-US" w:eastAsia="zh-CN"/>
                    </w:rPr>
                    <w:t>断面功能</w:t>
                  </w:r>
                </w:p>
              </w:tc>
            </w:tr>
            <w:tr w14:paraId="22FB6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FBDC3A">
                  <w:pPr>
                    <w:pStyle w:val="22"/>
                    <w:bidi w:val="0"/>
                    <w:rPr>
                      <w:rFonts w:hint="default"/>
                      <w:color w:val="auto"/>
                    </w:rPr>
                  </w:pPr>
                  <w:r>
                    <w:rPr>
                      <w:rFonts w:hint="default"/>
                      <w:color w:val="auto"/>
                      <w:lang w:val="en-US" w:eastAsia="zh-CN"/>
                    </w:rPr>
                    <w:t>淮河</w:t>
                  </w: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18AA3">
                  <w:pPr>
                    <w:pStyle w:val="22"/>
                    <w:bidi w:val="0"/>
                    <w:rPr>
                      <w:rFonts w:hint="default"/>
                      <w:color w:val="auto"/>
                    </w:rPr>
                  </w:pPr>
                  <w:r>
                    <w:rPr>
                      <w:rFonts w:hint="default"/>
                      <w:color w:val="auto"/>
                      <w:lang w:val="en-US" w:eastAsia="zh-CN"/>
                    </w:rPr>
                    <w:t>W</w:t>
                  </w:r>
                  <w:r>
                    <w:rPr>
                      <w:rFonts w:hint="eastAsia"/>
                      <w:color w:val="auto"/>
                      <w:lang w:val="en-US" w:eastAsia="zh-CN"/>
                    </w:rPr>
                    <w:t>1</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0B750">
                  <w:pPr>
                    <w:pStyle w:val="22"/>
                    <w:bidi w:val="0"/>
                    <w:rPr>
                      <w:rFonts w:hint="default"/>
                      <w:color w:val="auto"/>
                    </w:rPr>
                  </w:pPr>
                  <w:r>
                    <w:rPr>
                      <w:rFonts w:hint="default"/>
                      <w:color w:val="auto"/>
                      <w:lang w:val="en-US" w:eastAsia="zh-CN"/>
                    </w:rPr>
                    <w:t>黄沟排涝站淮河上游500m</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EBEFE">
                  <w:pPr>
                    <w:pStyle w:val="22"/>
                    <w:bidi w:val="0"/>
                    <w:rPr>
                      <w:rFonts w:hint="default"/>
                      <w:color w:val="auto"/>
                    </w:rPr>
                  </w:pPr>
                  <w:r>
                    <w:rPr>
                      <w:rFonts w:hint="default"/>
                      <w:color w:val="auto"/>
                      <w:lang w:val="en-US" w:eastAsia="zh-CN"/>
                    </w:rPr>
                    <w:t>中泓线</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FF5B3">
                  <w:pPr>
                    <w:pStyle w:val="22"/>
                    <w:bidi w:val="0"/>
                    <w:rPr>
                      <w:rFonts w:hint="default"/>
                      <w:color w:val="auto"/>
                    </w:rPr>
                  </w:pPr>
                  <w:r>
                    <w:rPr>
                      <w:rFonts w:hint="default"/>
                      <w:color w:val="auto"/>
                      <w:lang w:val="en-US" w:eastAsia="zh-CN"/>
                    </w:rPr>
                    <w:t>对照断面</w:t>
                  </w:r>
                </w:p>
              </w:tc>
            </w:tr>
            <w:tr w14:paraId="0A72B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647FE">
                  <w:pPr>
                    <w:pStyle w:val="22"/>
                    <w:bidi w:val="0"/>
                    <w:rPr>
                      <w:rFonts w:hint="default"/>
                      <w:color w:val="auto"/>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08A18">
                  <w:pPr>
                    <w:pStyle w:val="22"/>
                    <w:bidi w:val="0"/>
                    <w:rPr>
                      <w:rFonts w:hint="default"/>
                      <w:color w:val="auto"/>
                    </w:rPr>
                  </w:pPr>
                  <w:r>
                    <w:rPr>
                      <w:rFonts w:hint="default"/>
                      <w:color w:val="auto"/>
                      <w:lang w:val="en-US" w:eastAsia="zh-CN"/>
                    </w:rPr>
                    <w:t>W</w:t>
                  </w:r>
                  <w:r>
                    <w:rPr>
                      <w:rFonts w:hint="eastAsia"/>
                      <w:color w:val="auto"/>
                      <w:lang w:val="en-US" w:eastAsia="zh-CN"/>
                    </w:rPr>
                    <w:t>2</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EBE25">
                  <w:pPr>
                    <w:pStyle w:val="22"/>
                    <w:bidi w:val="0"/>
                    <w:rPr>
                      <w:rFonts w:hint="default"/>
                      <w:color w:val="auto"/>
                    </w:rPr>
                  </w:pPr>
                  <w:r>
                    <w:rPr>
                      <w:rFonts w:hint="default"/>
                      <w:color w:val="auto"/>
                      <w:lang w:val="en-US" w:eastAsia="zh-CN"/>
                    </w:rPr>
                    <w:t>谢沟涵淮河下游500m</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656FD">
                  <w:pPr>
                    <w:pStyle w:val="22"/>
                    <w:bidi w:val="0"/>
                    <w:rPr>
                      <w:rFonts w:hint="default"/>
                      <w:color w:val="auto"/>
                    </w:rPr>
                  </w:pPr>
                  <w:r>
                    <w:rPr>
                      <w:rFonts w:hint="default"/>
                      <w:color w:val="auto"/>
                      <w:lang w:val="en-US" w:eastAsia="zh-CN"/>
                    </w:rPr>
                    <w:t>中泓线</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ABF6E">
                  <w:pPr>
                    <w:pStyle w:val="22"/>
                    <w:bidi w:val="0"/>
                    <w:rPr>
                      <w:rFonts w:hint="default"/>
                      <w:color w:val="auto"/>
                    </w:rPr>
                  </w:pPr>
                  <w:r>
                    <w:rPr>
                      <w:rFonts w:hint="default"/>
                      <w:color w:val="auto"/>
                      <w:lang w:val="en-US" w:eastAsia="zh-CN"/>
                    </w:rPr>
                    <w:t>混合断面</w:t>
                  </w:r>
                </w:p>
              </w:tc>
            </w:tr>
            <w:tr w14:paraId="7EA41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86F1A">
                  <w:pPr>
                    <w:pStyle w:val="22"/>
                    <w:bidi w:val="0"/>
                    <w:rPr>
                      <w:rFonts w:hint="default"/>
                      <w:color w:val="auto"/>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85048">
                  <w:pPr>
                    <w:pStyle w:val="22"/>
                    <w:bidi w:val="0"/>
                    <w:rPr>
                      <w:rFonts w:hint="default"/>
                      <w:color w:val="auto"/>
                    </w:rPr>
                  </w:pPr>
                  <w:r>
                    <w:rPr>
                      <w:rFonts w:hint="default"/>
                      <w:color w:val="auto"/>
                      <w:lang w:val="en-US" w:eastAsia="zh-CN"/>
                    </w:rPr>
                    <w:t>W</w:t>
                  </w:r>
                  <w:r>
                    <w:rPr>
                      <w:rFonts w:hint="eastAsia"/>
                      <w:color w:val="auto"/>
                      <w:lang w:val="en-US" w:eastAsia="zh-CN"/>
                    </w:rPr>
                    <w:t>3</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7342D">
                  <w:pPr>
                    <w:pStyle w:val="22"/>
                    <w:bidi w:val="0"/>
                    <w:rPr>
                      <w:rFonts w:hint="default"/>
                      <w:color w:val="auto"/>
                    </w:rPr>
                  </w:pPr>
                  <w:r>
                    <w:rPr>
                      <w:rFonts w:hint="default"/>
                      <w:color w:val="auto"/>
                    </w:rPr>
                    <w:t>淮河园区下游2000m</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3ECD9">
                  <w:pPr>
                    <w:pStyle w:val="22"/>
                    <w:bidi w:val="0"/>
                    <w:rPr>
                      <w:rFonts w:hint="default"/>
                      <w:color w:val="auto"/>
                    </w:rPr>
                  </w:pPr>
                  <w:r>
                    <w:rPr>
                      <w:rFonts w:hint="default"/>
                      <w:color w:val="auto"/>
                      <w:lang w:val="en-US" w:eastAsia="zh-CN"/>
                    </w:rPr>
                    <w:t>中泓线</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F4A0C">
                  <w:pPr>
                    <w:pStyle w:val="22"/>
                    <w:bidi w:val="0"/>
                    <w:rPr>
                      <w:rFonts w:hint="default"/>
                      <w:color w:val="auto"/>
                    </w:rPr>
                  </w:pPr>
                  <w:r>
                    <w:rPr>
                      <w:rFonts w:hint="eastAsia"/>
                      <w:color w:val="auto"/>
                      <w:lang w:val="en-US" w:eastAsia="zh-CN"/>
                    </w:rPr>
                    <w:t>消减</w:t>
                  </w:r>
                  <w:r>
                    <w:rPr>
                      <w:rFonts w:hint="default"/>
                      <w:color w:val="auto"/>
                      <w:lang w:val="en-US" w:eastAsia="zh-CN"/>
                    </w:rPr>
                    <w:t>断面</w:t>
                  </w:r>
                </w:p>
              </w:tc>
            </w:tr>
          </w:tbl>
          <w:p w14:paraId="7B7DB92F">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b/>
                <w:bCs/>
                <w:color w:val="0000FF"/>
                <w:lang w:val="en-US" w:eastAsia="zh-CN"/>
              </w:rPr>
            </w:pPr>
            <w:r>
              <w:rPr>
                <w:color w:val="0000FF"/>
                <w:sz w:val="24"/>
              </w:rPr>
              <mc:AlternateContent>
                <mc:Choice Requires="wps">
                  <w:drawing>
                    <wp:anchor distT="0" distB="0" distL="114300" distR="114300" simplePos="0" relativeHeight="251665408" behindDoc="0" locked="0" layoutInCell="1" allowOverlap="1">
                      <wp:simplePos x="0" y="0"/>
                      <wp:positionH relativeFrom="column">
                        <wp:posOffset>6985</wp:posOffset>
                      </wp:positionH>
                      <wp:positionV relativeFrom="paragraph">
                        <wp:posOffset>2456815</wp:posOffset>
                      </wp:positionV>
                      <wp:extent cx="884555" cy="276225"/>
                      <wp:effectExtent l="0" t="0" r="10795" b="9525"/>
                      <wp:wrapNone/>
                      <wp:docPr id="38" name="文本框 38"/>
                      <wp:cNvGraphicFramePr/>
                      <a:graphic xmlns:a="http://schemas.openxmlformats.org/drawingml/2006/main">
                        <a:graphicData uri="http://schemas.microsoft.com/office/word/2010/wordprocessingShape">
                          <wps:wsp>
                            <wps:cNvSpPr txBox="1"/>
                            <wps:spPr>
                              <a:xfrm>
                                <a:off x="1346835" y="4279265"/>
                                <a:ext cx="884555" cy="2762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2F9FC4C">
                                  <w:pPr>
                                    <w:keepNext w:val="0"/>
                                    <w:keepLines w:val="0"/>
                                    <w:pageBreakBefore w:val="0"/>
                                    <w:widowControl w:val="0"/>
                                    <w:kinsoku/>
                                    <w:wordWrap/>
                                    <w:overflowPunct/>
                                    <w:topLinePunct w:val="0"/>
                                    <w:bidi w:val="0"/>
                                    <w:adjustRightInd/>
                                    <w:snapToGrid/>
                                    <w:ind w:firstLine="0" w:firstLineChars="0"/>
                                    <w:jc w:val="center"/>
                                    <w:textAlignment w:val="auto"/>
                                    <w:rPr>
                                      <w:rFonts w:hint="eastAsia" w:eastAsia="宋体"/>
                                      <w:color w:val="000000" w:themeColor="text1"/>
                                      <w:sz w:val="15"/>
                                      <w:szCs w:val="15"/>
                                      <w:lang w:val="en-US" w:eastAsia="zh-CN"/>
                                      <w14:textFill>
                                        <w14:solidFill>
                                          <w14:schemeClr w14:val="tx1"/>
                                        </w14:solidFill>
                                      </w14:textFill>
                                    </w:rPr>
                                  </w:pPr>
                                  <w:r>
                                    <w:rPr>
                                      <w:rFonts w:hint="eastAsia"/>
                                      <w:color w:val="000000" w:themeColor="text1"/>
                                      <w:sz w:val="15"/>
                                      <w:szCs w:val="15"/>
                                      <w:lang w:val="en-US" w:eastAsia="zh-CN"/>
                                      <w14:textFill>
                                        <w14:solidFill>
                                          <w14:schemeClr w14:val="tx1"/>
                                        </w14:solidFill>
                                      </w14:textFill>
                                    </w:rPr>
                                    <w:t>图例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55pt;margin-top:193.45pt;height:21.75pt;width:69.65pt;z-index:251665408;mso-width-relative:page;mso-height-relative:page;" fillcolor="#FFFFFF [3201]" filled="t" stroked="f" coordsize="21600,21600" o:gfxdata="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DWS/&#10;W9QAAAAJAQAADwAAAAAAAAABACAAAAAiAAAAZHJzL2Rvd25yZXYueG1sUEsBAhQAFAAAAAgAh07i&#10;QBnLcgNfAgAAnAQAAA4AAAAAAAAAAQAgAAAAIwEAAGRycy9lMm9Eb2MueG1sUEsFBgAAAAAGAAYA&#10;WQEAAPQFAAAAAA==&#10;">
                      <v:fill on="t" focussize="0,0"/>
                      <v:stroke on="f" weight="0.5pt"/>
                      <v:imagedata o:title=""/>
                      <o:lock v:ext="edit" aspectratio="f"/>
                      <v:textbox>
                        <w:txbxContent>
                          <w:p w14:paraId="02F9FC4C">
                            <w:pPr>
                              <w:keepNext w:val="0"/>
                              <w:keepLines w:val="0"/>
                              <w:pageBreakBefore w:val="0"/>
                              <w:widowControl w:val="0"/>
                              <w:kinsoku/>
                              <w:wordWrap/>
                              <w:overflowPunct/>
                              <w:topLinePunct w:val="0"/>
                              <w:bidi w:val="0"/>
                              <w:adjustRightInd/>
                              <w:snapToGrid/>
                              <w:ind w:firstLine="0" w:firstLineChars="0"/>
                              <w:jc w:val="center"/>
                              <w:textAlignment w:val="auto"/>
                              <w:rPr>
                                <w:rFonts w:hint="eastAsia" w:eastAsia="宋体"/>
                                <w:color w:val="000000" w:themeColor="text1"/>
                                <w:sz w:val="15"/>
                                <w:szCs w:val="15"/>
                                <w:lang w:val="en-US" w:eastAsia="zh-CN"/>
                                <w14:textFill>
                                  <w14:solidFill>
                                    <w14:schemeClr w14:val="tx1"/>
                                  </w14:solidFill>
                                </w14:textFill>
                              </w:rPr>
                            </w:pPr>
                            <w:r>
                              <w:rPr>
                                <w:rFonts w:hint="eastAsia"/>
                                <w:color w:val="000000" w:themeColor="text1"/>
                                <w:sz w:val="15"/>
                                <w:szCs w:val="15"/>
                                <w:lang w:val="en-US" w:eastAsia="zh-CN"/>
                                <w14:textFill>
                                  <w14:solidFill>
                                    <w14:schemeClr w14:val="tx1"/>
                                  </w14:solidFill>
                                </w14:textFill>
                              </w:rPr>
                              <w:t>图例</w:t>
                            </w:r>
                          </w:p>
                        </w:txbxContent>
                      </v:textbox>
                    </v:shape>
                  </w:pict>
                </mc:Fallback>
              </mc:AlternateContent>
            </w:r>
            <w:r>
              <w:rPr>
                <w:color w:val="0000FF"/>
              </w:rPr>
              <w:drawing>
                <wp:inline distT="0" distB="0" distL="114300" distR="114300">
                  <wp:extent cx="5307330" cy="3052445"/>
                  <wp:effectExtent l="0" t="0" r="7620" b="14605"/>
                  <wp:docPr id="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8"/>
                          <pic:cNvPicPr>
                            <a:picLocks noChangeAspect="1"/>
                          </pic:cNvPicPr>
                        </pic:nvPicPr>
                        <pic:blipFill>
                          <a:blip r:embed="rId13"/>
                          <a:stretch>
                            <a:fillRect/>
                          </a:stretch>
                        </pic:blipFill>
                        <pic:spPr>
                          <a:xfrm>
                            <a:off x="0" y="0"/>
                            <a:ext cx="5307330" cy="3052445"/>
                          </a:xfrm>
                          <a:prstGeom prst="rect">
                            <a:avLst/>
                          </a:prstGeom>
                          <a:noFill/>
                          <a:ln>
                            <a:noFill/>
                          </a:ln>
                        </pic:spPr>
                      </pic:pic>
                    </a:graphicData>
                  </a:graphic>
                </wp:inline>
              </w:drawing>
            </w:r>
          </w:p>
          <w:p w14:paraId="1CE6492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auto"/>
                <w:lang w:val="en-US" w:eastAsia="zh-CN"/>
              </w:rPr>
            </w:pPr>
            <w:r>
              <w:rPr>
                <w:rFonts w:hint="eastAsia"/>
                <w:b/>
                <w:bCs/>
                <w:color w:val="auto"/>
                <w:lang w:val="en-US" w:eastAsia="zh-CN"/>
              </w:rPr>
              <w:t>图3-2  本项目引用地表水监测断面示意图</w:t>
            </w:r>
          </w:p>
          <w:p w14:paraId="01ED7C0B">
            <w:pPr>
              <w:bidi w:val="0"/>
              <w:rPr>
                <w:rFonts w:hint="default"/>
                <w:b/>
                <w:bCs/>
                <w:color w:val="auto"/>
              </w:rPr>
            </w:pPr>
            <w:r>
              <w:rPr>
                <w:rFonts w:hint="default"/>
                <w:b/>
                <w:bCs/>
                <w:color w:val="auto"/>
                <w:lang w:val="en-US" w:eastAsia="zh-CN"/>
              </w:rPr>
              <w:t>（2）</w:t>
            </w:r>
            <w:r>
              <w:rPr>
                <w:rFonts w:hint="default"/>
                <w:b/>
                <w:bCs/>
                <w:color w:val="auto"/>
              </w:rPr>
              <w:t>监测项目</w:t>
            </w:r>
          </w:p>
          <w:p w14:paraId="1465A51D">
            <w:pPr>
              <w:bidi w:val="0"/>
              <w:rPr>
                <w:rFonts w:hint="default"/>
                <w:color w:val="auto"/>
              </w:rPr>
            </w:pPr>
            <w:r>
              <w:rPr>
                <w:rFonts w:hint="default"/>
                <w:color w:val="auto"/>
              </w:rPr>
              <w:t>根据排放废水、地表水体的功能特点，本次评价地表水监测</w:t>
            </w:r>
            <w:r>
              <w:rPr>
                <w:rFonts w:hint="eastAsia"/>
                <w:color w:val="auto"/>
                <w:lang w:eastAsia="zh-CN"/>
              </w:rPr>
              <w:t>分别为</w:t>
            </w:r>
            <w:r>
              <w:rPr>
                <w:rFonts w:hint="default"/>
                <w:color w:val="auto"/>
              </w:rPr>
              <w:t>pH值、溶解氧、化学需氧量、高锰酸盐指数、五日生化需氧量、氨氮、总磷、氟化物、挥发酚、石油类、阴离子表面活性剂、硫酸盐、氰化物、硫化物、苯、甲苯、二甲苯、苯乙烯、总氮、粪大肠菌群、六价铬、汞、砷、硒、锌、铜、铅、镉。</w:t>
            </w:r>
          </w:p>
          <w:p w14:paraId="02FB7C12">
            <w:pPr>
              <w:bidi w:val="0"/>
              <w:rPr>
                <w:rFonts w:hint="default"/>
                <w:b/>
                <w:bCs/>
                <w:color w:val="auto"/>
              </w:rPr>
            </w:pPr>
            <w:r>
              <w:rPr>
                <w:rFonts w:hint="default"/>
                <w:b/>
                <w:bCs/>
                <w:color w:val="auto"/>
                <w:lang w:val="en-US" w:eastAsia="zh-CN"/>
              </w:rPr>
              <w:t>（3）</w:t>
            </w:r>
            <w:r>
              <w:rPr>
                <w:rFonts w:hint="default"/>
                <w:b/>
                <w:bCs/>
                <w:color w:val="auto"/>
              </w:rPr>
              <w:t>监测时间</w:t>
            </w:r>
          </w:p>
          <w:p w14:paraId="65B482CA">
            <w:pPr>
              <w:bidi w:val="0"/>
              <w:rPr>
                <w:rFonts w:hint="default"/>
                <w:color w:val="auto"/>
              </w:rPr>
            </w:pPr>
            <w:r>
              <w:rPr>
                <w:rFonts w:hint="default"/>
                <w:color w:val="auto"/>
              </w:rPr>
              <w:t>2024年9月2日-9月4日，连续监测3天，每天采样1次。</w:t>
            </w:r>
          </w:p>
          <w:p w14:paraId="52EE0B2D">
            <w:pPr>
              <w:bidi w:val="0"/>
              <w:rPr>
                <w:rFonts w:hint="default"/>
                <w:b/>
                <w:bCs/>
                <w:color w:val="auto"/>
              </w:rPr>
            </w:pPr>
            <w:r>
              <w:rPr>
                <w:rFonts w:hint="default"/>
                <w:b/>
                <w:bCs/>
                <w:color w:val="auto"/>
                <w:lang w:val="en-US" w:eastAsia="zh-CN"/>
              </w:rPr>
              <w:t>（4）</w:t>
            </w:r>
            <w:r>
              <w:rPr>
                <w:rFonts w:hint="default"/>
                <w:b/>
                <w:bCs/>
                <w:color w:val="auto"/>
              </w:rPr>
              <w:t>监测结果统计</w:t>
            </w:r>
          </w:p>
          <w:p w14:paraId="1F51D3A5">
            <w:pPr>
              <w:bidi w:val="0"/>
              <w:rPr>
                <w:rFonts w:hint="default"/>
                <w:color w:val="auto"/>
              </w:rPr>
            </w:pPr>
            <w:r>
              <w:rPr>
                <w:rFonts w:hint="default"/>
                <w:color w:val="auto"/>
              </w:rPr>
              <w:t>具体统计结果见表</w:t>
            </w:r>
            <w:r>
              <w:rPr>
                <w:rFonts w:hint="default"/>
                <w:color w:val="auto"/>
                <w:lang w:val="en-US" w:eastAsia="zh-CN"/>
              </w:rPr>
              <w:t>3-4</w:t>
            </w:r>
            <w:r>
              <w:rPr>
                <w:rFonts w:hint="default"/>
                <w:color w:val="auto"/>
              </w:rPr>
              <w:t>。</w:t>
            </w:r>
          </w:p>
          <w:p w14:paraId="512B79C0">
            <w:pPr>
              <w:pStyle w:val="21"/>
              <w:bidi w:val="0"/>
              <w:rPr>
                <w:rFonts w:hint="eastAsia"/>
                <w:color w:val="auto"/>
              </w:rPr>
            </w:pPr>
          </w:p>
          <w:p w14:paraId="7177563F">
            <w:pPr>
              <w:pStyle w:val="21"/>
              <w:bidi w:val="0"/>
              <w:rPr>
                <w:rFonts w:hint="eastAsia"/>
                <w:color w:val="auto"/>
                <w:lang w:eastAsia="zh-CN"/>
              </w:rPr>
            </w:pPr>
            <w:r>
              <w:rPr>
                <w:rFonts w:hint="eastAsia"/>
                <w:color w:val="auto"/>
              </w:rPr>
              <w:t>表</w:t>
            </w:r>
            <w:r>
              <w:rPr>
                <w:rFonts w:hint="default"/>
                <w:color w:val="auto"/>
              </w:rPr>
              <w:t>3-</w:t>
            </w:r>
            <w:r>
              <w:rPr>
                <w:rFonts w:hint="eastAsia"/>
                <w:color w:val="auto"/>
                <w:lang w:val="en-US" w:eastAsia="zh-CN"/>
              </w:rPr>
              <w:t xml:space="preserve">4  </w:t>
            </w:r>
            <w:r>
              <w:rPr>
                <w:rFonts w:hint="eastAsia"/>
                <w:color w:val="auto"/>
              </w:rPr>
              <w:t>地表水环境质量现状监测</w:t>
            </w:r>
            <w:r>
              <w:rPr>
                <w:rFonts w:hint="eastAsia"/>
                <w:color w:val="auto"/>
                <w:lang w:val="en-US" w:eastAsia="zh-CN"/>
              </w:rPr>
              <w:t>及评价结果</w:t>
            </w:r>
            <w:r>
              <w:rPr>
                <w:rFonts w:hint="eastAsia"/>
                <w:color w:val="auto"/>
              </w:rPr>
              <w:t>一览表</w:t>
            </w:r>
            <w:r>
              <w:rPr>
                <w:rFonts w:hint="eastAsia"/>
                <w:color w:val="auto"/>
                <w:lang w:eastAsia="zh-CN"/>
              </w:rPr>
              <w:t>（</w:t>
            </w:r>
            <w:r>
              <w:rPr>
                <w:rFonts w:hint="eastAsia"/>
                <w:color w:val="auto"/>
              </w:rPr>
              <w:t>单位</w:t>
            </w:r>
            <w:r>
              <w:rPr>
                <w:rFonts w:hint="default"/>
                <w:color w:val="auto"/>
              </w:rPr>
              <w:t>：mg/L，pH</w:t>
            </w:r>
            <w:r>
              <w:rPr>
                <w:rFonts w:hint="eastAsia"/>
                <w:color w:val="auto"/>
              </w:rPr>
              <w:t>除外</w:t>
            </w:r>
            <w:r>
              <w:rPr>
                <w:rFonts w:hint="eastAsia"/>
                <w:color w:val="auto"/>
                <w:lang w:eastAsia="zh-CN"/>
              </w:rPr>
              <w:t>）</w:t>
            </w:r>
          </w:p>
          <w:tbl>
            <w:tblPr>
              <w:tblStyle w:val="12"/>
              <w:tblW w:w="488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23" w:type="dxa"/>
                <w:bottom w:w="0" w:type="dxa"/>
                <w:right w:w="23" w:type="dxa"/>
              </w:tblCellMar>
            </w:tblPr>
            <w:tblGrid>
              <w:gridCol w:w="2112"/>
              <w:gridCol w:w="1820"/>
              <w:gridCol w:w="1047"/>
              <w:gridCol w:w="1050"/>
              <w:gridCol w:w="1085"/>
              <w:gridCol w:w="1048"/>
            </w:tblGrid>
            <w:tr w14:paraId="4EA70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4049D6EF">
                  <w:pPr>
                    <w:pStyle w:val="22"/>
                    <w:bidi w:val="0"/>
                    <w:rPr>
                      <w:rFonts w:hint="default"/>
                      <w:b/>
                      <w:bCs/>
                      <w:color w:val="auto"/>
                    </w:rPr>
                  </w:pPr>
                  <w:r>
                    <w:rPr>
                      <w:rFonts w:hint="default"/>
                      <w:b/>
                      <w:bCs/>
                      <w:color w:val="auto"/>
                      <w:lang w:val="en-US" w:eastAsia="zh-CN"/>
                    </w:rPr>
                    <w:t>监测因子</w:t>
                  </w:r>
                </w:p>
              </w:tc>
              <w:tc>
                <w:tcPr>
                  <w:tcW w:w="1114" w:type="pct"/>
                  <w:vMerge w:val="restart"/>
                  <w:tcBorders>
                    <w:tl2br w:val="nil"/>
                    <w:tr2bl w:val="nil"/>
                  </w:tcBorders>
                  <w:shd w:val="clear" w:color="auto" w:fill="auto"/>
                  <w:vAlign w:val="center"/>
                </w:tcPr>
                <w:p w14:paraId="56EEE264">
                  <w:pPr>
                    <w:pStyle w:val="22"/>
                    <w:bidi w:val="0"/>
                    <w:rPr>
                      <w:rFonts w:hint="default"/>
                      <w:b/>
                      <w:bCs/>
                      <w:color w:val="auto"/>
                    </w:rPr>
                  </w:pPr>
                  <w:r>
                    <w:rPr>
                      <w:rFonts w:hint="default"/>
                      <w:b/>
                      <w:bCs/>
                      <w:color w:val="auto"/>
                      <w:lang w:val="en-US" w:eastAsia="zh-CN"/>
                    </w:rPr>
                    <w:t>监测断面</w:t>
                  </w:r>
                </w:p>
              </w:tc>
              <w:tc>
                <w:tcPr>
                  <w:tcW w:w="641" w:type="pct"/>
                  <w:tcBorders>
                    <w:tl2br w:val="nil"/>
                    <w:tr2bl w:val="nil"/>
                  </w:tcBorders>
                  <w:shd w:val="clear" w:color="auto" w:fill="auto"/>
                  <w:vAlign w:val="center"/>
                </w:tcPr>
                <w:p w14:paraId="7138BAC7">
                  <w:pPr>
                    <w:pStyle w:val="22"/>
                    <w:bidi w:val="0"/>
                    <w:rPr>
                      <w:rFonts w:hint="default"/>
                      <w:b/>
                      <w:bCs/>
                      <w:color w:val="auto"/>
                    </w:rPr>
                  </w:pPr>
                  <w:r>
                    <w:rPr>
                      <w:rFonts w:hint="default"/>
                      <w:b/>
                      <w:bCs/>
                      <w:color w:val="auto"/>
                      <w:lang w:val="en-US" w:eastAsia="zh-CN"/>
                    </w:rPr>
                    <w:t>W1</w:t>
                  </w:r>
                </w:p>
              </w:tc>
              <w:tc>
                <w:tcPr>
                  <w:tcW w:w="643" w:type="pct"/>
                  <w:tcBorders>
                    <w:tl2br w:val="nil"/>
                    <w:tr2bl w:val="nil"/>
                  </w:tcBorders>
                  <w:shd w:val="clear" w:color="auto" w:fill="auto"/>
                  <w:vAlign w:val="center"/>
                </w:tcPr>
                <w:p w14:paraId="2C00900B">
                  <w:pPr>
                    <w:pStyle w:val="22"/>
                    <w:bidi w:val="0"/>
                    <w:rPr>
                      <w:rFonts w:hint="default"/>
                      <w:b/>
                      <w:bCs/>
                      <w:color w:val="auto"/>
                    </w:rPr>
                  </w:pPr>
                  <w:r>
                    <w:rPr>
                      <w:rFonts w:hint="default"/>
                      <w:b/>
                      <w:bCs/>
                      <w:color w:val="auto"/>
                      <w:lang w:val="en-US" w:eastAsia="zh-CN"/>
                    </w:rPr>
                    <w:t>W2</w:t>
                  </w:r>
                </w:p>
              </w:tc>
              <w:tc>
                <w:tcPr>
                  <w:tcW w:w="664" w:type="pct"/>
                  <w:tcBorders>
                    <w:tl2br w:val="nil"/>
                    <w:tr2bl w:val="nil"/>
                  </w:tcBorders>
                  <w:shd w:val="clear" w:color="auto" w:fill="auto"/>
                  <w:vAlign w:val="center"/>
                </w:tcPr>
                <w:p w14:paraId="651AC7C7">
                  <w:pPr>
                    <w:pStyle w:val="22"/>
                    <w:bidi w:val="0"/>
                    <w:rPr>
                      <w:rFonts w:hint="default"/>
                      <w:b/>
                      <w:bCs/>
                      <w:color w:val="auto"/>
                    </w:rPr>
                  </w:pPr>
                  <w:r>
                    <w:rPr>
                      <w:rFonts w:hint="default"/>
                      <w:b/>
                      <w:bCs/>
                      <w:color w:val="auto"/>
                      <w:lang w:val="en-US" w:eastAsia="zh-CN"/>
                    </w:rPr>
                    <w:t>W3</w:t>
                  </w:r>
                </w:p>
              </w:tc>
              <w:tc>
                <w:tcPr>
                  <w:tcW w:w="641" w:type="pct"/>
                  <w:tcBorders>
                    <w:tl2br w:val="nil"/>
                    <w:tr2bl w:val="nil"/>
                  </w:tcBorders>
                  <w:shd w:val="clear" w:color="auto" w:fill="auto"/>
                  <w:vAlign w:val="center"/>
                </w:tcPr>
                <w:p w14:paraId="22D98D5E">
                  <w:pPr>
                    <w:pStyle w:val="22"/>
                    <w:bidi w:val="0"/>
                    <w:rPr>
                      <w:rFonts w:hint="default"/>
                      <w:b/>
                      <w:bCs/>
                      <w:color w:val="auto"/>
                    </w:rPr>
                  </w:pPr>
                  <w:r>
                    <w:rPr>
                      <w:rFonts w:hint="default"/>
                      <w:b/>
                      <w:bCs/>
                      <w:color w:val="auto"/>
                      <w:lang w:val="en-US" w:eastAsia="zh-CN"/>
                    </w:rPr>
                    <w:t>标准值</w:t>
                  </w:r>
                </w:p>
              </w:tc>
            </w:tr>
            <w:tr w14:paraId="2612B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4A7D94F">
                  <w:pPr>
                    <w:pStyle w:val="22"/>
                    <w:bidi w:val="0"/>
                    <w:rPr>
                      <w:rFonts w:hint="default"/>
                      <w:b/>
                      <w:bCs/>
                      <w:color w:val="auto"/>
                    </w:rPr>
                  </w:pPr>
                </w:p>
              </w:tc>
              <w:tc>
                <w:tcPr>
                  <w:tcW w:w="1114" w:type="pct"/>
                  <w:vMerge w:val="continue"/>
                  <w:tcBorders>
                    <w:tl2br w:val="nil"/>
                    <w:tr2bl w:val="nil"/>
                  </w:tcBorders>
                  <w:shd w:val="clear" w:color="auto" w:fill="auto"/>
                  <w:vAlign w:val="center"/>
                </w:tcPr>
                <w:p w14:paraId="23FAABBC">
                  <w:pPr>
                    <w:pStyle w:val="22"/>
                    <w:bidi w:val="0"/>
                    <w:rPr>
                      <w:rFonts w:hint="default"/>
                      <w:b/>
                      <w:bCs/>
                      <w:color w:val="auto"/>
                    </w:rPr>
                  </w:pPr>
                </w:p>
              </w:tc>
              <w:tc>
                <w:tcPr>
                  <w:tcW w:w="1949" w:type="pct"/>
                  <w:gridSpan w:val="3"/>
                  <w:tcBorders>
                    <w:tl2br w:val="nil"/>
                    <w:tr2bl w:val="nil"/>
                  </w:tcBorders>
                  <w:shd w:val="clear" w:color="auto" w:fill="auto"/>
                  <w:vAlign w:val="center"/>
                </w:tcPr>
                <w:p w14:paraId="6EB5623C">
                  <w:pPr>
                    <w:pStyle w:val="22"/>
                    <w:bidi w:val="0"/>
                    <w:rPr>
                      <w:rFonts w:hint="default"/>
                      <w:b/>
                      <w:bCs/>
                      <w:color w:val="auto"/>
                    </w:rPr>
                  </w:pPr>
                  <w:r>
                    <w:rPr>
                      <w:rFonts w:hint="default"/>
                      <w:b/>
                      <w:bCs/>
                      <w:color w:val="auto"/>
                      <w:lang w:val="en-US" w:eastAsia="zh-CN"/>
                    </w:rPr>
                    <w:t>淮河</w:t>
                  </w:r>
                </w:p>
              </w:tc>
              <w:tc>
                <w:tcPr>
                  <w:tcW w:w="641" w:type="pct"/>
                  <w:tcBorders>
                    <w:tl2br w:val="nil"/>
                    <w:tr2bl w:val="nil"/>
                  </w:tcBorders>
                  <w:shd w:val="clear" w:color="auto" w:fill="auto"/>
                  <w:vAlign w:val="center"/>
                </w:tcPr>
                <w:p w14:paraId="6FA97073">
                  <w:pPr>
                    <w:pStyle w:val="22"/>
                    <w:bidi w:val="0"/>
                    <w:rPr>
                      <w:rFonts w:hint="default"/>
                      <w:b/>
                      <w:bCs/>
                      <w:color w:val="auto"/>
                    </w:rPr>
                  </w:pPr>
                  <w:r>
                    <w:rPr>
                      <w:rFonts w:hint="eastAsia"/>
                      <w:b/>
                      <w:bCs/>
                      <w:color w:val="auto"/>
                      <w:lang w:val="en-US" w:eastAsia="zh-CN"/>
                    </w:rPr>
                    <w:t>Ⅲ</w:t>
                  </w:r>
                  <w:r>
                    <w:rPr>
                      <w:rFonts w:hint="default"/>
                      <w:b/>
                      <w:bCs/>
                      <w:color w:val="auto"/>
                      <w:lang w:val="en-US" w:eastAsia="zh-CN"/>
                    </w:rPr>
                    <w:t>类</w:t>
                  </w:r>
                </w:p>
              </w:tc>
            </w:tr>
            <w:tr w14:paraId="540AC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29089689">
                  <w:pPr>
                    <w:pStyle w:val="22"/>
                    <w:bidi w:val="0"/>
                    <w:rPr>
                      <w:rFonts w:hint="default"/>
                      <w:color w:val="auto"/>
                    </w:rPr>
                  </w:pPr>
                  <w:r>
                    <w:rPr>
                      <w:rFonts w:hint="default"/>
                      <w:color w:val="auto"/>
                      <w:lang w:val="en-US" w:eastAsia="zh-CN"/>
                    </w:rPr>
                    <w:t>pH值</w:t>
                  </w:r>
                </w:p>
              </w:tc>
              <w:tc>
                <w:tcPr>
                  <w:tcW w:w="1114" w:type="pct"/>
                  <w:tcBorders>
                    <w:tl2br w:val="nil"/>
                    <w:tr2bl w:val="nil"/>
                  </w:tcBorders>
                  <w:shd w:val="clear" w:color="auto" w:fill="auto"/>
                  <w:vAlign w:val="center"/>
                </w:tcPr>
                <w:p w14:paraId="5D29B97F">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75E82CB4">
                  <w:pPr>
                    <w:pStyle w:val="22"/>
                    <w:bidi w:val="0"/>
                    <w:rPr>
                      <w:rFonts w:hint="default"/>
                      <w:color w:val="auto"/>
                    </w:rPr>
                  </w:pPr>
                  <w:r>
                    <w:rPr>
                      <w:rFonts w:hint="default"/>
                      <w:color w:val="auto"/>
                      <w:lang w:val="en-US" w:eastAsia="zh-CN"/>
                    </w:rPr>
                    <w:t>7.8</w:t>
                  </w:r>
                </w:p>
              </w:tc>
              <w:tc>
                <w:tcPr>
                  <w:tcW w:w="643" w:type="pct"/>
                  <w:tcBorders>
                    <w:tl2br w:val="nil"/>
                    <w:tr2bl w:val="nil"/>
                  </w:tcBorders>
                  <w:shd w:val="clear" w:color="auto" w:fill="auto"/>
                  <w:vAlign w:val="center"/>
                </w:tcPr>
                <w:p w14:paraId="3897911D">
                  <w:pPr>
                    <w:pStyle w:val="22"/>
                    <w:bidi w:val="0"/>
                    <w:rPr>
                      <w:rFonts w:hint="default"/>
                      <w:color w:val="auto"/>
                    </w:rPr>
                  </w:pPr>
                  <w:r>
                    <w:rPr>
                      <w:rFonts w:hint="default"/>
                      <w:color w:val="auto"/>
                      <w:lang w:val="en-US" w:eastAsia="zh-CN"/>
                    </w:rPr>
                    <w:t>7.9</w:t>
                  </w:r>
                </w:p>
              </w:tc>
              <w:tc>
                <w:tcPr>
                  <w:tcW w:w="664" w:type="pct"/>
                  <w:tcBorders>
                    <w:tl2br w:val="nil"/>
                    <w:tr2bl w:val="nil"/>
                  </w:tcBorders>
                  <w:shd w:val="clear" w:color="auto" w:fill="auto"/>
                  <w:vAlign w:val="center"/>
                </w:tcPr>
                <w:p w14:paraId="02E6D8A3">
                  <w:pPr>
                    <w:pStyle w:val="22"/>
                    <w:bidi w:val="0"/>
                    <w:rPr>
                      <w:rFonts w:hint="default"/>
                      <w:color w:val="auto"/>
                    </w:rPr>
                  </w:pPr>
                  <w:r>
                    <w:rPr>
                      <w:rFonts w:hint="default"/>
                      <w:color w:val="auto"/>
                      <w:lang w:val="en-US" w:eastAsia="zh-CN"/>
                    </w:rPr>
                    <w:t>8.0</w:t>
                  </w:r>
                </w:p>
              </w:tc>
              <w:tc>
                <w:tcPr>
                  <w:tcW w:w="641" w:type="pct"/>
                  <w:vMerge w:val="restart"/>
                  <w:tcBorders>
                    <w:tl2br w:val="nil"/>
                    <w:tr2bl w:val="nil"/>
                  </w:tcBorders>
                  <w:shd w:val="clear" w:color="auto" w:fill="auto"/>
                  <w:vAlign w:val="center"/>
                </w:tcPr>
                <w:p w14:paraId="0DED85D4">
                  <w:pPr>
                    <w:pStyle w:val="22"/>
                    <w:bidi w:val="0"/>
                    <w:rPr>
                      <w:rFonts w:hint="default"/>
                      <w:color w:val="auto"/>
                    </w:rPr>
                  </w:pPr>
                  <w:r>
                    <w:rPr>
                      <w:rFonts w:hint="default"/>
                      <w:color w:val="auto"/>
                      <w:lang w:val="en-US" w:eastAsia="zh-CN"/>
                    </w:rPr>
                    <w:t>6-9</w:t>
                  </w:r>
                </w:p>
              </w:tc>
            </w:tr>
            <w:tr w14:paraId="51717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1633AB8">
                  <w:pPr>
                    <w:pStyle w:val="22"/>
                    <w:bidi w:val="0"/>
                    <w:rPr>
                      <w:rFonts w:hint="default"/>
                      <w:color w:val="auto"/>
                    </w:rPr>
                  </w:pPr>
                </w:p>
              </w:tc>
              <w:tc>
                <w:tcPr>
                  <w:tcW w:w="1114" w:type="pct"/>
                  <w:tcBorders>
                    <w:tl2br w:val="nil"/>
                    <w:tr2bl w:val="nil"/>
                  </w:tcBorders>
                  <w:shd w:val="clear" w:color="auto" w:fill="auto"/>
                  <w:vAlign w:val="center"/>
                </w:tcPr>
                <w:p w14:paraId="65D2F5BE">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75FA9924">
                  <w:pPr>
                    <w:pStyle w:val="22"/>
                    <w:bidi w:val="0"/>
                    <w:rPr>
                      <w:rFonts w:hint="default"/>
                      <w:color w:val="auto"/>
                    </w:rPr>
                  </w:pPr>
                  <w:r>
                    <w:rPr>
                      <w:rFonts w:hint="default"/>
                      <w:color w:val="auto"/>
                      <w:lang w:val="en-US" w:eastAsia="zh-CN"/>
                    </w:rPr>
                    <w:t>0.4</w:t>
                  </w:r>
                </w:p>
              </w:tc>
              <w:tc>
                <w:tcPr>
                  <w:tcW w:w="643" w:type="pct"/>
                  <w:tcBorders>
                    <w:tl2br w:val="nil"/>
                    <w:tr2bl w:val="nil"/>
                  </w:tcBorders>
                  <w:shd w:val="clear" w:color="auto" w:fill="auto"/>
                  <w:vAlign w:val="center"/>
                </w:tcPr>
                <w:p w14:paraId="71F05316">
                  <w:pPr>
                    <w:pStyle w:val="22"/>
                    <w:bidi w:val="0"/>
                    <w:rPr>
                      <w:rFonts w:hint="default"/>
                      <w:color w:val="auto"/>
                    </w:rPr>
                  </w:pPr>
                  <w:r>
                    <w:rPr>
                      <w:rFonts w:hint="default"/>
                      <w:color w:val="auto"/>
                      <w:lang w:val="en-US" w:eastAsia="zh-CN"/>
                    </w:rPr>
                    <w:t>0.4</w:t>
                  </w:r>
                </w:p>
              </w:tc>
              <w:tc>
                <w:tcPr>
                  <w:tcW w:w="664" w:type="pct"/>
                  <w:tcBorders>
                    <w:tl2br w:val="nil"/>
                    <w:tr2bl w:val="nil"/>
                  </w:tcBorders>
                  <w:shd w:val="clear" w:color="auto" w:fill="auto"/>
                  <w:vAlign w:val="center"/>
                </w:tcPr>
                <w:p w14:paraId="58C04DAA">
                  <w:pPr>
                    <w:pStyle w:val="22"/>
                    <w:bidi w:val="0"/>
                    <w:rPr>
                      <w:rFonts w:hint="default"/>
                      <w:color w:val="auto"/>
                    </w:rPr>
                  </w:pPr>
                  <w:r>
                    <w:rPr>
                      <w:rFonts w:hint="default"/>
                      <w:color w:val="auto"/>
                      <w:lang w:val="en-US" w:eastAsia="zh-CN"/>
                    </w:rPr>
                    <w:t>0.4</w:t>
                  </w:r>
                </w:p>
              </w:tc>
              <w:tc>
                <w:tcPr>
                  <w:tcW w:w="641" w:type="pct"/>
                  <w:vMerge w:val="continue"/>
                  <w:tcBorders>
                    <w:tl2br w:val="nil"/>
                    <w:tr2bl w:val="nil"/>
                  </w:tcBorders>
                  <w:shd w:val="clear" w:color="auto" w:fill="auto"/>
                  <w:vAlign w:val="center"/>
                </w:tcPr>
                <w:p w14:paraId="577A0C3B">
                  <w:pPr>
                    <w:pStyle w:val="22"/>
                    <w:bidi w:val="0"/>
                    <w:rPr>
                      <w:rFonts w:hint="default"/>
                      <w:color w:val="auto"/>
                    </w:rPr>
                  </w:pPr>
                </w:p>
              </w:tc>
            </w:tr>
            <w:tr w14:paraId="26F3D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9B9D5DE">
                  <w:pPr>
                    <w:pStyle w:val="22"/>
                    <w:bidi w:val="0"/>
                    <w:rPr>
                      <w:rFonts w:hint="default"/>
                      <w:color w:val="auto"/>
                    </w:rPr>
                  </w:pPr>
                </w:p>
              </w:tc>
              <w:tc>
                <w:tcPr>
                  <w:tcW w:w="1114" w:type="pct"/>
                  <w:tcBorders>
                    <w:tl2br w:val="nil"/>
                    <w:tr2bl w:val="nil"/>
                  </w:tcBorders>
                  <w:shd w:val="clear" w:color="auto" w:fill="auto"/>
                  <w:vAlign w:val="center"/>
                </w:tcPr>
                <w:p w14:paraId="7733716A">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3B540EF9">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5DB6681A">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5DE273AA">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6026976B">
                  <w:pPr>
                    <w:pStyle w:val="22"/>
                    <w:bidi w:val="0"/>
                    <w:rPr>
                      <w:rFonts w:hint="default"/>
                      <w:color w:val="auto"/>
                    </w:rPr>
                  </w:pPr>
                </w:p>
              </w:tc>
            </w:tr>
            <w:tr w14:paraId="3D342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249D37A5">
                  <w:pPr>
                    <w:pStyle w:val="22"/>
                    <w:bidi w:val="0"/>
                    <w:rPr>
                      <w:rFonts w:hint="default"/>
                      <w:color w:val="auto"/>
                      <w:lang w:val="en-US"/>
                    </w:rPr>
                  </w:pPr>
                  <w:r>
                    <w:rPr>
                      <w:rFonts w:hint="eastAsia"/>
                      <w:color w:val="auto"/>
                      <w:lang w:val="en-US" w:eastAsia="zh-CN"/>
                    </w:rPr>
                    <w:t>DO</w:t>
                  </w:r>
                </w:p>
              </w:tc>
              <w:tc>
                <w:tcPr>
                  <w:tcW w:w="1114" w:type="pct"/>
                  <w:tcBorders>
                    <w:tl2br w:val="nil"/>
                    <w:tr2bl w:val="nil"/>
                  </w:tcBorders>
                  <w:shd w:val="clear" w:color="auto" w:fill="auto"/>
                  <w:vAlign w:val="center"/>
                </w:tcPr>
                <w:p w14:paraId="12CD9CEF">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0746BB86">
                  <w:pPr>
                    <w:pStyle w:val="22"/>
                    <w:bidi w:val="0"/>
                    <w:rPr>
                      <w:rFonts w:hint="default"/>
                      <w:color w:val="auto"/>
                    </w:rPr>
                  </w:pPr>
                  <w:r>
                    <w:rPr>
                      <w:rFonts w:hint="default"/>
                      <w:color w:val="auto"/>
                      <w:lang w:val="en-US" w:eastAsia="zh-CN"/>
                    </w:rPr>
                    <w:t>6.9</w:t>
                  </w:r>
                </w:p>
              </w:tc>
              <w:tc>
                <w:tcPr>
                  <w:tcW w:w="643" w:type="pct"/>
                  <w:tcBorders>
                    <w:tl2br w:val="nil"/>
                    <w:tr2bl w:val="nil"/>
                  </w:tcBorders>
                  <w:shd w:val="clear" w:color="auto" w:fill="auto"/>
                  <w:vAlign w:val="center"/>
                </w:tcPr>
                <w:p w14:paraId="121BCBC3">
                  <w:pPr>
                    <w:pStyle w:val="22"/>
                    <w:bidi w:val="0"/>
                    <w:rPr>
                      <w:rFonts w:hint="default"/>
                      <w:color w:val="auto"/>
                    </w:rPr>
                  </w:pPr>
                  <w:r>
                    <w:rPr>
                      <w:rFonts w:hint="default"/>
                      <w:color w:val="auto"/>
                      <w:lang w:val="en-US" w:eastAsia="zh-CN"/>
                    </w:rPr>
                    <w:t>6.2</w:t>
                  </w:r>
                </w:p>
              </w:tc>
              <w:tc>
                <w:tcPr>
                  <w:tcW w:w="664" w:type="pct"/>
                  <w:tcBorders>
                    <w:tl2br w:val="nil"/>
                    <w:tr2bl w:val="nil"/>
                  </w:tcBorders>
                  <w:shd w:val="clear" w:color="auto" w:fill="auto"/>
                  <w:vAlign w:val="center"/>
                </w:tcPr>
                <w:p w14:paraId="05A00061">
                  <w:pPr>
                    <w:pStyle w:val="22"/>
                    <w:bidi w:val="0"/>
                    <w:rPr>
                      <w:rFonts w:hint="default"/>
                      <w:color w:val="auto"/>
                    </w:rPr>
                  </w:pPr>
                  <w:r>
                    <w:rPr>
                      <w:rFonts w:hint="default"/>
                      <w:color w:val="auto"/>
                      <w:lang w:val="en-US" w:eastAsia="zh-CN"/>
                    </w:rPr>
                    <w:t>5.8</w:t>
                  </w:r>
                </w:p>
              </w:tc>
              <w:tc>
                <w:tcPr>
                  <w:tcW w:w="641" w:type="pct"/>
                  <w:vMerge w:val="restart"/>
                  <w:tcBorders>
                    <w:tl2br w:val="nil"/>
                    <w:tr2bl w:val="nil"/>
                  </w:tcBorders>
                  <w:shd w:val="clear" w:color="auto" w:fill="auto"/>
                  <w:vAlign w:val="center"/>
                </w:tcPr>
                <w:p w14:paraId="59215593">
                  <w:pPr>
                    <w:pStyle w:val="22"/>
                    <w:bidi w:val="0"/>
                    <w:rPr>
                      <w:rFonts w:hint="default"/>
                      <w:color w:val="auto"/>
                    </w:rPr>
                  </w:pPr>
                  <w:r>
                    <w:rPr>
                      <w:rFonts w:hint="default"/>
                      <w:color w:val="auto"/>
                      <w:lang w:val="en-US" w:eastAsia="zh-CN"/>
                    </w:rPr>
                    <w:t>≥5</w:t>
                  </w:r>
                </w:p>
              </w:tc>
            </w:tr>
            <w:tr w14:paraId="6B73D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6F37DB33">
                  <w:pPr>
                    <w:pStyle w:val="22"/>
                    <w:bidi w:val="0"/>
                    <w:rPr>
                      <w:rFonts w:hint="default"/>
                      <w:color w:val="auto"/>
                    </w:rPr>
                  </w:pPr>
                </w:p>
              </w:tc>
              <w:tc>
                <w:tcPr>
                  <w:tcW w:w="1114" w:type="pct"/>
                  <w:tcBorders>
                    <w:tl2br w:val="nil"/>
                    <w:tr2bl w:val="nil"/>
                  </w:tcBorders>
                  <w:shd w:val="clear" w:color="auto" w:fill="auto"/>
                  <w:vAlign w:val="center"/>
                </w:tcPr>
                <w:p w14:paraId="2CFE5C4E">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1B5BAE3A">
                  <w:pPr>
                    <w:pStyle w:val="22"/>
                    <w:bidi w:val="0"/>
                    <w:rPr>
                      <w:rFonts w:hint="default"/>
                      <w:color w:val="auto"/>
                    </w:rPr>
                  </w:pPr>
                  <w:r>
                    <w:rPr>
                      <w:rFonts w:hint="default"/>
                      <w:color w:val="auto"/>
                      <w:lang w:val="en-US" w:eastAsia="zh-CN"/>
                    </w:rPr>
                    <w:t>0.724</w:t>
                  </w:r>
                </w:p>
              </w:tc>
              <w:tc>
                <w:tcPr>
                  <w:tcW w:w="643" w:type="pct"/>
                  <w:tcBorders>
                    <w:tl2br w:val="nil"/>
                    <w:tr2bl w:val="nil"/>
                  </w:tcBorders>
                  <w:shd w:val="clear" w:color="auto" w:fill="auto"/>
                  <w:vAlign w:val="center"/>
                </w:tcPr>
                <w:p w14:paraId="4AE15198">
                  <w:pPr>
                    <w:pStyle w:val="22"/>
                    <w:bidi w:val="0"/>
                    <w:rPr>
                      <w:rFonts w:hint="default"/>
                      <w:color w:val="auto"/>
                    </w:rPr>
                  </w:pPr>
                  <w:r>
                    <w:rPr>
                      <w:rFonts w:hint="default"/>
                      <w:color w:val="auto"/>
                      <w:lang w:val="en-US" w:eastAsia="zh-CN"/>
                    </w:rPr>
                    <w:t>0.81</w:t>
                  </w:r>
                </w:p>
              </w:tc>
              <w:tc>
                <w:tcPr>
                  <w:tcW w:w="664" w:type="pct"/>
                  <w:tcBorders>
                    <w:tl2br w:val="nil"/>
                    <w:tr2bl w:val="nil"/>
                  </w:tcBorders>
                  <w:shd w:val="clear" w:color="auto" w:fill="auto"/>
                  <w:vAlign w:val="center"/>
                </w:tcPr>
                <w:p w14:paraId="14A920C5">
                  <w:pPr>
                    <w:pStyle w:val="22"/>
                    <w:bidi w:val="0"/>
                    <w:rPr>
                      <w:rFonts w:hint="default"/>
                      <w:color w:val="auto"/>
                    </w:rPr>
                  </w:pPr>
                  <w:r>
                    <w:rPr>
                      <w:rFonts w:hint="default"/>
                      <w:color w:val="auto"/>
                      <w:lang w:val="en-US" w:eastAsia="zh-CN"/>
                    </w:rPr>
                    <w:t>0.86</w:t>
                  </w:r>
                </w:p>
              </w:tc>
              <w:tc>
                <w:tcPr>
                  <w:tcW w:w="641" w:type="pct"/>
                  <w:vMerge w:val="continue"/>
                  <w:tcBorders>
                    <w:tl2br w:val="nil"/>
                    <w:tr2bl w:val="nil"/>
                  </w:tcBorders>
                  <w:shd w:val="clear" w:color="auto" w:fill="auto"/>
                  <w:vAlign w:val="center"/>
                </w:tcPr>
                <w:p w14:paraId="2CB3096A">
                  <w:pPr>
                    <w:pStyle w:val="22"/>
                    <w:bidi w:val="0"/>
                    <w:rPr>
                      <w:rFonts w:hint="default"/>
                      <w:color w:val="auto"/>
                    </w:rPr>
                  </w:pPr>
                </w:p>
              </w:tc>
            </w:tr>
            <w:tr w14:paraId="29C1C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65E10099">
                  <w:pPr>
                    <w:pStyle w:val="22"/>
                    <w:bidi w:val="0"/>
                    <w:rPr>
                      <w:rFonts w:hint="default"/>
                      <w:color w:val="auto"/>
                    </w:rPr>
                  </w:pPr>
                </w:p>
              </w:tc>
              <w:tc>
                <w:tcPr>
                  <w:tcW w:w="1114" w:type="pct"/>
                  <w:tcBorders>
                    <w:tl2br w:val="nil"/>
                    <w:tr2bl w:val="nil"/>
                  </w:tcBorders>
                  <w:shd w:val="clear" w:color="auto" w:fill="auto"/>
                  <w:vAlign w:val="center"/>
                </w:tcPr>
                <w:p w14:paraId="2C652516">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1C07C0EB">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69D68F01">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76ADB4F7">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7F603332">
                  <w:pPr>
                    <w:pStyle w:val="22"/>
                    <w:bidi w:val="0"/>
                    <w:rPr>
                      <w:rFonts w:hint="default"/>
                      <w:color w:val="auto"/>
                    </w:rPr>
                  </w:pPr>
                </w:p>
              </w:tc>
            </w:tr>
            <w:tr w14:paraId="3C58C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5F28920B">
                  <w:pPr>
                    <w:pStyle w:val="22"/>
                    <w:bidi w:val="0"/>
                    <w:rPr>
                      <w:rFonts w:hint="default"/>
                      <w:color w:val="auto"/>
                    </w:rPr>
                  </w:pPr>
                  <w:r>
                    <w:rPr>
                      <w:rFonts w:hint="default"/>
                      <w:color w:val="auto"/>
                      <w:lang w:val="en-US" w:eastAsia="zh-CN"/>
                    </w:rPr>
                    <w:t>高锰酸盐指数</w:t>
                  </w:r>
                </w:p>
              </w:tc>
              <w:tc>
                <w:tcPr>
                  <w:tcW w:w="1114" w:type="pct"/>
                  <w:tcBorders>
                    <w:tl2br w:val="nil"/>
                    <w:tr2bl w:val="nil"/>
                  </w:tcBorders>
                  <w:shd w:val="clear" w:color="auto" w:fill="auto"/>
                  <w:vAlign w:val="center"/>
                </w:tcPr>
                <w:p w14:paraId="6F0BF12B">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03D0D9FB">
                  <w:pPr>
                    <w:pStyle w:val="22"/>
                    <w:bidi w:val="0"/>
                    <w:rPr>
                      <w:rFonts w:hint="default"/>
                      <w:color w:val="auto"/>
                    </w:rPr>
                  </w:pPr>
                  <w:r>
                    <w:rPr>
                      <w:rFonts w:hint="default"/>
                      <w:color w:val="auto"/>
                      <w:lang w:val="en-US" w:eastAsia="zh-CN"/>
                    </w:rPr>
                    <w:t>4.1</w:t>
                  </w:r>
                </w:p>
              </w:tc>
              <w:tc>
                <w:tcPr>
                  <w:tcW w:w="643" w:type="pct"/>
                  <w:tcBorders>
                    <w:tl2br w:val="nil"/>
                    <w:tr2bl w:val="nil"/>
                  </w:tcBorders>
                  <w:shd w:val="clear" w:color="auto" w:fill="auto"/>
                  <w:vAlign w:val="center"/>
                </w:tcPr>
                <w:p w14:paraId="63DD5EA4">
                  <w:pPr>
                    <w:pStyle w:val="22"/>
                    <w:bidi w:val="0"/>
                    <w:rPr>
                      <w:rFonts w:hint="default"/>
                      <w:color w:val="auto"/>
                    </w:rPr>
                  </w:pPr>
                  <w:r>
                    <w:rPr>
                      <w:rFonts w:hint="default"/>
                      <w:color w:val="auto"/>
                      <w:lang w:val="en-US" w:eastAsia="zh-CN"/>
                    </w:rPr>
                    <w:t>4.8</w:t>
                  </w:r>
                </w:p>
              </w:tc>
              <w:tc>
                <w:tcPr>
                  <w:tcW w:w="664" w:type="pct"/>
                  <w:tcBorders>
                    <w:tl2br w:val="nil"/>
                    <w:tr2bl w:val="nil"/>
                  </w:tcBorders>
                  <w:shd w:val="clear" w:color="auto" w:fill="auto"/>
                  <w:vAlign w:val="center"/>
                </w:tcPr>
                <w:p w14:paraId="26438E87">
                  <w:pPr>
                    <w:pStyle w:val="22"/>
                    <w:bidi w:val="0"/>
                    <w:rPr>
                      <w:rFonts w:hint="default"/>
                      <w:color w:val="auto"/>
                    </w:rPr>
                  </w:pPr>
                  <w:r>
                    <w:rPr>
                      <w:rFonts w:hint="default"/>
                      <w:color w:val="auto"/>
                      <w:lang w:val="en-US" w:eastAsia="zh-CN"/>
                    </w:rPr>
                    <w:t>3.6</w:t>
                  </w:r>
                </w:p>
              </w:tc>
              <w:tc>
                <w:tcPr>
                  <w:tcW w:w="641" w:type="pct"/>
                  <w:vMerge w:val="restart"/>
                  <w:tcBorders>
                    <w:tl2br w:val="nil"/>
                    <w:tr2bl w:val="nil"/>
                  </w:tcBorders>
                  <w:shd w:val="clear" w:color="auto" w:fill="auto"/>
                  <w:vAlign w:val="center"/>
                </w:tcPr>
                <w:p w14:paraId="1AA7B949">
                  <w:pPr>
                    <w:pStyle w:val="22"/>
                    <w:bidi w:val="0"/>
                    <w:rPr>
                      <w:rFonts w:hint="default"/>
                      <w:color w:val="auto"/>
                    </w:rPr>
                  </w:pPr>
                  <w:r>
                    <w:rPr>
                      <w:rFonts w:hint="default"/>
                      <w:color w:val="auto"/>
                      <w:lang w:val="en-US" w:eastAsia="zh-CN"/>
                    </w:rPr>
                    <w:t>≤6</w:t>
                  </w:r>
                </w:p>
              </w:tc>
            </w:tr>
            <w:tr w14:paraId="57775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1739B898">
                  <w:pPr>
                    <w:pStyle w:val="22"/>
                    <w:bidi w:val="0"/>
                    <w:rPr>
                      <w:rFonts w:hint="default"/>
                      <w:color w:val="auto"/>
                    </w:rPr>
                  </w:pPr>
                </w:p>
              </w:tc>
              <w:tc>
                <w:tcPr>
                  <w:tcW w:w="1114" w:type="pct"/>
                  <w:tcBorders>
                    <w:tl2br w:val="nil"/>
                    <w:tr2bl w:val="nil"/>
                  </w:tcBorders>
                  <w:shd w:val="clear" w:color="auto" w:fill="auto"/>
                  <w:vAlign w:val="center"/>
                </w:tcPr>
                <w:p w14:paraId="679EAC74">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58CF92D7">
                  <w:pPr>
                    <w:pStyle w:val="22"/>
                    <w:bidi w:val="0"/>
                    <w:rPr>
                      <w:rFonts w:hint="default"/>
                      <w:color w:val="auto"/>
                    </w:rPr>
                  </w:pPr>
                  <w:r>
                    <w:rPr>
                      <w:rFonts w:hint="default"/>
                      <w:color w:val="auto"/>
                      <w:lang w:val="en-US" w:eastAsia="zh-CN"/>
                    </w:rPr>
                    <w:t>0.683</w:t>
                  </w:r>
                </w:p>
              </w:tc>
              <w:tc>
                <w:tcPr>
                  <w:tcW w:w="643" w:type="pct"/>
                  <w:tcBorders>
                    <w:tl2br w:val="nil"/>
                    <w:tr2bl w:val="nil"/>
                  </w:tcBorders>
                  <w:shd w:val="clear" w:color="auto" w:fill="auto"/>
                  <w:vAlign w:val="center"/>
                </w:tcPr>
                <w:p w14:paraId="73BBF3D6">
                  <w:pPr>
                    <w:pStyle w:val="22"/>
                    <w:bidi w:val="0"/>
                    <w:rPr>
                      <w:rFonts w:hint="default"/>
                      <w:color w:val="auto"/>
                    </w:rPr>
                  </w:pPr>
                  <w:r>
                    <w:rPr>
                      <w:rFonts w:hint="default"/>
                      <w:color w:val="auto"/>
                      <w:lang w:val="en-US" w:eastAsia="zh-CN"/>
                    </w:rPr>
                    <w:t>0.8</w:t>
                  </w:r>
                </w:p>
              </w:tc>
              <w:tc>
                <w:tcPr>
                  <w:tcW w:w="664" w:type="pct"/>
                  <w:tcBorders>
                    <w:tl2br w:val="nil"/>
                    <w:tr2bl w:val="nil"/>
                  </w:tcBorders>
                  <w:shd w:val="clear" w:color="auto" w:fill="auto"/>
                  <w:vAlign w:val="center"/>
                </w:tcPr>
                <w:p w14:paraId="3FE1F370">
                  <w:pPr>
                    <w:pStyle w:val="22"/>
                    <w:bidi w:val="0"/>
                    <w:rPr>
                      <w:rFonts w:hint="default"/>
                      <w:color w:val="auto"/>
                    </w:rPr>
                  </w:pPr>
                  <w:r>
                    <w:rPr>
                      <w:rFonts w:hint="default"/>
                      <w:color w:val="auto"/>
                      <w:lang w:val="en-US" w:eastAsia="zh-CN"/>
                    </w:rPr>
                    <w:t>0.6</w:t>
                  </w:r>
                </w:p>
              </w:tc>
              <w:tc>
                <w:tcPr>
                  <w:tcW w:w="641" w:type="pct"/>
                  <w:vMerge w:val="continue"/>
                  <w:tcBorders>
                    <w:tl2br w:val="nil"/>
                    <w:tr2bl w:val="nil"/>
                  </w:tcBorders>
                  <w:shd w:val="clear" w:color="auto" w:fill="auto"/>
                  <w:vAlign w:val="center"/>
                </w:tcPr>
                <w:p w14:paraId="6499E5AF">
                  <w:pPr>
                    <w:pStyle w:val="22"/>
                    <w:bidi w:val="0"/>
                    <w:rPr>
                      <w:rFonts w:hint="default"/>
                      <w:color w:val="auto"/>
                    </w:rPr>
                  </w:pPr>
                </w:p>
              </w:tc>
            </w:tr>
            <w:tr w14:paraId="7219C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D253C39">
                  <w:pPr>
                    <w:pStyle w:val="22"/>
                    <w:bidi w:val="0"/>
                    <w:rPr>
                      <w:rFonts w:hint="default"/>
                      <w:color w:val="auto"/>
                    </w:rPr>
                  </w:pPr>
                </w:p>
              </w:tc>
              <w:tc>
                <w:tcPr>
                  <w:tcW w:w="1114" w:type="pct"/>
                  <w:tcBorders>
                    <w:tl2br w:val="nil"/>
                    <w:tr2bl w:val="nil"/>
                  </w:tcBorders>
                  <w:shd w:val="clear" w:color="auto" w:fill="auto"/>
                  <w:vAlign w:val="center"/>
                </w:tcPr>
                <w:p w14:paraId="05E67700">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1057CA0E">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30090C05">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77D99FE8">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5FA768AA">
                  <w:pPr>
                    <w:pStyle w:val="22"/>
                    <w:bidi w:val="0"/>
                    <w:rPr>
                      <w:rFonts w:hint="default"/>
                      <w:color w:val="auto"/>
                    </w:rPr>
                  </w:pPr>
                </w:p>
              </w:tc>
            </w:tr>
            <w:tr w14:paraId="4F3A7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368D22B2">
                  <w:pPr>
                    <w:pStyle w:val="22"/>
                    <w:bidi w:val="0"/>
                    <w:rPr>
                      <w:rFonts w:hint="default"/>
                      <w:color w:val="auto"/>
                    </w:rPr>
                  </w:pPr>
                  <w:r>
                    <w:rPr>
                      <w:rFonts w:hint="default"/>
                      <w:color w:val="auto"/>
                      <w:lang w:val="en-US" w:eastAsia="zh-CN"/>
                    </w:rPr>
                    <w:t>COD</w:t>
                  </w:r>
                </w:p>
              </w:tc>
              <w:tc>
                <w:tcPr>
                  <w:tcW w:w="1114" w:type="pct"/>
                  <w:tcBorders>
                    <w:tl2br w:val="nil"/>
                    <w:tr2bl w:val="nil"/>
                  </w:tcBorders>
                  <w:shd w:val="clear" w:color="auto" w:fill="auto"/>
                  <w:vAlign w:val="center"/>
                </w:tcPr>
                <w:p w14:paraId="15C7BBD5">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15C63D08">
                  <w:pPr>
                    <w:pStyle w:val="22"/>
                    <w:bidi w:val="0"/>
                    <w:rPr>
                      <w:rFonts w:hint="default"/>
                      <w:color w:val="auto"/>
                    </w:rPr>
                  </w:pPr>
                  <w:r>
                    <w:rPr>
                      <w:rFonts w:hint="default"/>
                      <w:color w:val="auto"/>
                      <w:lang w:val="en-US" w:eastAsia="zh-CN"/>
                    </w:rPr>
                    <w:t>18</w:t>
                  </w:r>
                </w:p>
              </w:tc>
              <w:tc>
                <w:tcPr>
                  <w:tcW w:w="643" w:type="pct"/>
                  <w:tcBorders>
                    <w:tl2br w:val="nil"/>
                    <w:tr2bl w:val="nil"/>
                  </w:tcBorders>
                  <w:shd w:val="clear" w:color="auto" w:fill="auto"/>
                  <w:vAlign w:val="center"/>
                </w:tcPr>
                <w:p w14:paraId="0FFAD231">
                  <w:pPr>
                    <w:pStyle w:val="22"/>
                    <w:bidi w:val="0"/>
                    <w:rPr>
                      <w:rFonts w:hint="default"/>
                      <w:color w:val="auto"/>
                    </w:rPr>
                  </w:pPr>
                  <w:r>
                    <w:rPr>
                      <w:rFonts w:hint="default"/>
                      <w:color w:val="auto"/>
                      <w:lang w:val="en-US" w:eastAsia="zh-CN"/>
                    </w:rPr>
                    <w:t>19</w:t>
                  </w:r>
                </w:p>
              </w:tc>
              <w:tc>
                <w:tcPr>
                  <w:tcW w:w="664" w:type="pct"/>
                  <w:tcBorders>
                    <w:tl2br w:val="nil"/>
                    <w:tr2bl w:val="nil"/>
                  </w:tcBorders>
                  <w:shd w:val="clear" w:color="auto" w:fill="auto"/>
                  <w:vAlign w:val="center"/>
                </w:tcPr>
                <w:p w14:paraId="632E0DB7">
                  <w:pPr>
                    <w:pStyle w:val="22"/>
                    <w:bidi w:val="0"/>
                    <w:rPr>
                      <w:rFonts w:hint="default"/>
                      <w:color w:val="auto"/>
                    </w:rPr>
                  </w:pPr>
                  <w:r>
                    <w:rPr>
                      <w:rFonts w:hint="default"/>
                      <w:color w:val="auto"/>
                      <w:lang w:val="en-US" w:eastAsia="zh-CN"/>
                    </w:rPr>
                    <w:t>18</w:t>
                  </w:r>
                </w:p>
              </w:tc>
              <w:tc>
                <w:tcPr>
                  <w:tcW w:w="641" w:type="pct"/>
                  <w:vMerge w:val="restart"/>
                  <w:tcBorders>
                    <w:tl2br w:val="nil"/>
                    <w:tr2bl w:val="nil"/>
                  </w:tcBorders>
                  <w:shd w:val="clear" w:color="auto" w:fill="auto"/>
                  <w:vAlign w:val="center"/>
                </w:tcPr>
                <w:p w14:paraId="69ED3345">
                  <w:pPr>
                    <w:pStyle w:val="22"/>
                    <w:bidi w:val="0"/>
                    <w:rPr>
                      <w:rFonts w:hint="default"/>
                      <w:color w:val="auto"/>
                    </w:rPr>
                  </w:pPr>
                  <w:r>
                    <w:rPr>
                      <w:rFonts w:hint="default"/>
                      <w:color w:val="auto"/>
                      <w:lang w:val="en-US" w:eastAsia="zh-CN"/>
                    </w:rPr>
                    <w:t>≤20</w:t>
                  </w:r>
                </w:p>
              </w:tc>
            </w:tr>
            <w:tr w14:paraId="125D9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674F439">
                  <w:pPr>
                    <w:pStyle w:val="22"/>
                    <w:bidi w:val="0"/>
                    <w:rPr>
                      <w:rFonts w:hint="default"/>
                      <w:color w:val="auto"/>
                    </w:rPr>
                  </w:pPr>
                </w:p>
              </w:tc>
              <w:tc>
                <w:tcPr>
                  <w:tcW w:w="1114" w:type="pct"/>
                  <w:tcBorders>
                    <w:tl2br w:val="nil"/>
                    <w:tr2bl w:val="nil"/>
                  </w:tcBorders>
                  <w:shd w:val="clear" w:color="auto" w:fill="auto"/>
                  <w:vAlign w:val="center"/>
                </w:tcPr>
                <w:p w14:paraId="5332883C">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28CC74EE">
                  <w:pPr>
                    <w:pStyle w:val="22"/>
                    <w:bidi w:val="0"/>
                    <w:rPr>
                      <w:rFonts w:hint="default"/>
                      <w:color w:val="auto"/>
                    </w:rPr>
                  </w:pPr>
                  <w:r>
                    <w:rPr>
                      <w:rFonts w:hint="default"/>
                      <w:color w:val="auto"/>
                      <w:lang w:val="en-US" w:eastAsia="zh-CN"/>
                    </w:rPr>
                    <w:t>0.9</w:t>
                  </w:r>
                </w:p>
              </w:tc>
              <w:tc>
                <w:tcPr>
                  <w:tcW w:w="643" w:type="pct"/>
                  <w:tcBorders>
                    <w:tl2br w:val="nil"/>
                    <w:tr2bl w:val="nil"/>
                  </w:tcBorders>
                  <w:shd w:val="clear" w:color="auto" w:fill="auto"/>
                  <w:vAlign w:val="center"/>
                </w:tcPr>
                <w:p w14:paraId="5AFCB8FC">
                  <w:pPr>
                    <w:pStyle w:val="22"/>
                    <w:bidi w:val="0"/>
                    <w:rPr>
                      <w:rFonts w:hint="default"/>
                      <w:color w:val="auto"/>
                    </w:rPr>
                  </w:pPr>
                  <w:r>
                    <w:rPr>
                      <w:rFonts w:hint="default"/>
                      <w:color w:val="auto"/>
                      <w:lang w:val="en-US" w:eastAsia="zh-CN"/>
                    </w:rPr>
                    <w:t>0.95</w:t>
                  </w:r>
                </w:p>
              </w:tc>
              <w:tc>
                <w:tcPr>
                  <w:tcW w:w="664" w:type="pct"/>
                  <w:tcBorders>
                    <w:tl2br w:val="nil"/>
                    <w:tr2bl w:val="nil"/>
                  </w:tcBorders>
                  <w:shd w:val="clear" w:color="auto" w:fill="auto"/>
                  <w:vAlign w:val="center"/>
                </w:tcPr>
                <w:p w14:paraId="77424A5F">
                  <w:pPr>
                    <w:pStyle w:val="22"/>
                    <w:bidi w:val="0"/>
                    <w:rPr>
                      <w:rFonts w:hint="default"/>
                      <w:color w:val="auto"/>
                    </w:rPr>
                  </w:pPr>
                  <w:r>
                    <w:rPr>
                      <w:rFonts w:hint="default"/>
                      <w:color w:val="auto"/>
                      <w:lang w:val="en-US" w:eastAsia="zh-CN"/>
                    </w:rPr>
                    <w:t>0.9</w:t>
                  </w:r>
                </w:p>
              </w:tc>
              <w:tc>
                <w:tcPr>
                  <w:tcW w:w="641" w:type="pct"/>
                  <w:vMerge w:val="continue"/>
                  <w:tcBorders>
                    <w:tl2br w:val="nil"/>
                    <w:tr2bl w:val="nil"/>
                  </w:tcBorders>
                  <w:shd w:val="clear" w:color="auto" w:fill="auto"/>
                  <w:vAlign w:val="center"/>
                </w:tcPr>
                <w:p w14:paraId="5AF63216">
                  <w:pPr>
                    <w:pStyle w:val="22"/>
                    <w:bidi w:val="0"/>
                    <w:rPr>
                      <w:rFonts w:hint="default"/>
                      <w:color w:val="auto"/>
                    </w:rPr>
                  </w:pPr>
                </w:p>
              </w:tc>
            </w:tr>
            <w:tr w14:paraId="2940F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61F04EE6">
                  <w:pPr>
                    <w:pStyle w:val="22"/>
                    <w:bidi w:val="0"/>
                    <w:rPr>
                      <w:rFonts w:hint="default"/>
                      <w:color w:val="auto"/>
                    </w:rPr>
                  </w:pPr>
                </w:p>
              </w:tc>
              <w:tc>
                <w:tcPr>
                  <w:tcW w:w="1114" w:type="pct"/>
                  <w:tcBorders>
                    <w:tl2br w:val="nil"/>
                    <w:tr2bl w:val="nil"/>
                  </w:tcBorders>
                  <w:shd w:val="clear" w:color="auto" w:fill="auto"/>
                  <w:vAlign w:val="center"/>
                </w:tcPr>
                <w:p w14:paraId="6F48839C">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632DAF14">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3EA85345">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750739D4">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0E290FB7">
                  <w:pPr>
                    <w:pStyle w:val="22"/>
                    <w:bidi w:val="0"/>
                    <w:rPr>
                      <w:rFonts w:hint="default"/>
                      <w:color w:val="auto"/>
                    </w:rPr>
                  </w:pPr>
                </w:p>
              </w:tc>
            </w:tr>
            <w:tr w14:paraId="0B7E3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459B0C91">
                  <w:pPr>
                    <w:pStyle w:val="22"/>
                    <w:bidi w:val="0"/>
                    <w:rPr>
                      <w:rFonts w:hint="default"/>
                      <w:color w:val="auto"/>
                    </w:rPr>
                  </w:pPr>
                  <w:r>
                    <w:rPr>
                      <w:color w:val="auto"/>
                    </w:rPr>
                    <w:t>BOD</w:t>
                  </w:r>
                  <w:r>
                    <w:rPr>
                      <w:color w:val="auto"/>
                      <w:vertAlign w:val="subscript"/>
                    </w:rPr>
                    <w:t>5</w:t>
                  </w:r>
                </w:p>
              </w:tc>
              <w:tc>
                <w:tcPr>
                  <w:tcW w:w="1114" w:type="pct"/>
                  <w:tcBorders>
                    <w:tl2br w:val="nil"/>
                    <w:tr2bl w:val="nil"/>
                  </w:tcBorders>
                  <w:shd w:val="clear" w:color="auto" w:fill="auto"/>
                  <w:vAlign w:val="center"/>
                </w:tcPr>
                <w:p w14:paraId="25BDD253">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66627AEF">
                  <w:pPr>
                    <w:pStyle w:val="22"/>
                    <w:bidi w:val="0"/>
                    <w:rPr>
                      <w:rFonts w:hint="default"/>
                      <w:color w:val="auto"/>
                    </w:rPr>
                  </w:pPr>
                  <w:r>
                    <w:rPr>
                      <w:rFonts w:hint="default"/>
                      <w:color w:val="auto"/>
                      <w:lang w:val="en-US" w:eastAsia="zh-CN"/>
                    </w:rPr>
                    <w:t>3.5</w:t>
                  </w:r>
                </w:p>
              </w:tc>
              <w:tc>
                <w:tcPr>
                  <w:tcW w:w="643" w:type="pct"/>
                  <w:tcBorders>
                    <w:tl2br w:val="nil"/>
                    <w:tr2bl w:val="nil"/>
                  </w:tcBorders>
                  <w:shd w:val="clear" w:color="auto" w:fill="auto"/>
                  <w:vAlign w:val="center"/>
                </w:tcPr>
                <w:p w14:paraId="1C2C61BB">
                  <w:pPr>
                    <w:pStyle w:val="22"/>
                    <w:bidi w:val="0"/>
                    <w:rPr>
                      <w:rFonts w:hint="default"/>
                      <w:color w:val="auto"/>
                    </w:rPr>
                  </w:pPr>
                  <w:r>
                    <w:rPr>
                      <w:rFonts w:hint="default"/>
                      <w:color w:val="auto"/>
                      <w:lang w:val="en-US" w:eastAsia="zh-CN"/>
                    </w:rPr>
                    <w:t>3.8</w:t>
                  </w:r>
                </w:p>
              </w:tc>
              <w:tc>
                <w:tcPr>
                  <w:tcW w:w="664" w:type="pct"/>
                  <w:tcBorders>
                    <w:tl2br w:val="nil"/>
                    <w:tr2bl w:val="nil"/>
                  </w:tcBorders>
                  <w:shd w:val="clear" w:color="auto" w:fill="auto"/>
                  <w:vAlign w:val="center"/>
                </w:tcPr>
                <w:p w14:paraId="5A92C64F">
                  <w:pPr>
                    <w:pStyle w:val="22"/>
                    <w:bidi w:val="0"/>
                    <w:rPr>
                      <w:rFonts w:hint="default"/>
                      <w:color w:val="auto"/>
                    </w:rPr>
                  </w:pPr>
                  <w:r>
                    <w:rPr>
                      <w:rFonts w:hint="default"/>
                      <w:color w:val="auto"/>
                      <w:lang w:val="en-US" w:eastAsia="zh-CN"/>
                    </w:rPr>
                    <w:t>3.8</w:t>
                  </w:r>
                </w:p>
              </w:tc>
              <w:tc>
                <w:tcPr>
                  <w:tcW w:w="641" w:type="pct"/>
                  <w:vMerge w:val="restart"/>
                  <w:tcBorders>
                    <w:tl2br w:val="nil"/>
                    <w:tr2bl w:val="nil"/>
                  </w:tcBorders>
                  <w:shd w:val="clear" w:color="auto" w:fill="auto"/>
                  <w:vAlign w:val="center"/>
                </w:tcPr>
                <w:p w14:paraId="6BC70843">
                  <w:pPr>
                    <w:pStyle w:val="22"/>
                    <w:bidi w:val="0"/>
                    <w:rPr>
                      <w:rFonts w:hint="default"/>
                      <w:color w:val="auto"/>
                    </w:rPr>
                  </w:pPr>
                  <w:r>
                    <w:rPr>
                      <w:rFonts w:hint="default"/>
                      <w:color w:val="auto"/>
                      <w:lang w:val="en-US" w:eastAsia="zh-CN"/>
                    </w:rPr>
                    <w:t>≤4</w:t>
                  </w:r>
                </w:p>
              </w:tc>
            </w:tr>
            <w:tr w14:paraId="43BCF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25D95977">
                  <w:pPr>
                    <w:pStyle w:val="22"/>
                    <w:bidi w:val="0"/>
                    <w:rPr>
                      <w:rFonts w:hint="default"/>
                      <w:color w:val="auto"/>
                    </w:rPr>
                  </w:pPr>
                </w:p>
              </w:tc>
              <w:tc>
                <w:tcPr>
                  <w:tcW w:w="1114" w:type="pct"/>
                  <w:tcBorders>
                    <w:tl2br w:val="nil"/>
                    <w:tr2bl w:val="nil"/>
                  </w:tcBorders>
                  <w:shd w:val="clear" w:color="auto" w:fill="auto"/>
                  <w:vAlign w:val="center"/>
                </w:tcPr>
                <w:p w14:paraId="4858EAB7">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58746A0F">
                  <w:pPr>
                    <w:pStyle w:val="22"/>
                    <w:bidi w:val="0"/>
                    <w:rPr>
                      <w:rFonts w:hint="default"/>
                      <w:color w:val="auto"/>
                    </w:rPr>
                  </w:pPr>
                  <w:r>
                    <w:rPr>
                      <w:rFonts w:hint="default"/>
                      <w:color w:val="auto"/>
                      <w:lang w:val="en-US" w:eastAsia="zh-CN"/>
                    </w:rPr>
                    <w:t>0.875</w:t>
                  </w:r>
                </w:p>
              </w:tc>
              <w:tc>
                <w:tcPr>
                  <w:tcW w:w="643" w:type="pct"/>
                  <w:tcBorders>
                    <w:tl2br w:val="nil"/>
                    <w:tr2bl w:val="nil"/>
                  </w:tcBorders>
                  <w:shd w:val="clear" w:color="auto" w:fill="auto"/>
                  <w:vAlign w:val="center"/>
                </w:tcPr>
                <w:p w14:paraId="46D5BA84">
                  <w:pPr>
                    <w:pStyle w:val="22"/>
                    <w:bidi w:val="0"/>
                    <w:rPr>
                      <w:rFonts w:hint="default"/>
                      <w:color w:val="auto"/>
                    </w:rPr>
                  </w:pPr>
                  <w:r>
                    <w:rPr>
                      <w:rFonts w:hint="default"/>
                      <w:color w:val="auto"/>
                      <w:lang w:val="en-US" w:eastAsia="zh-CN"/>
                    </w:rPr>
                    <w:t>0.95</w:t>
                  </w:r>
                </w:p>
              </w:tc>
              <w:tc>
                <w:tcPr>
                  <w:tcW w:w="664" w:type="pct"/>
                  <w:tcBorders>
                    <w:tl2br w:val="nil"/>
                    <w:tr2bl w:val="nil"/>
                  </w:tcBorders>
                  <w:shd w:val="clear" w:color="auto" w:fill="auto"/>
                  <w:vAlign w:val="center"/>
                </w:tcPr>
                <w:p w14:paraId="78832166">
                  <w:pPr>
                    <w:pStyle w:val="22"/>
                    <w:bidi w:val="0"/>
                    <w:rPr>
                      <w:rFonts w:hint="default"/>
                      <w:color w:val="auto"/>
                    </w:rPr>
                  </w:pPr>
                  <w:r>
                    <w:rPr>
                      <w:rFonts w:hint="default"/>
                      <w:color w:val="auto"/>
                      <w:lang w:val="en-US" w:eastAsia="zh-CN"/>
                    </w:rPr>
                    <w:t>0.95</w:t>
                  </w:r>
                </w:p>
              </w:tc>
              <w:tc>
                <w:tcPr>
                  <w:tcW w:w="641" w:type="pct"/>
                  <w:vMerge w:val="continue"/>
                  <w:tcBorders>
                    <w:tl2br w:val="nil"/>
                    <w:tr2bl w:val="nil"/>
                  </w:tcBorders>
                  <w:shd w:val="clear" w:color="auto" w:fill="auto"/>
                  <w:vAlign w:val="center"/>
                </w:tcPr>
                <w:p w14:paraId="7F266022">
                  <w:pPr>
                    <w:pStyle w:val="22"/>
                    <w:bidi w:val="0"/>
                    <w:rPr>
                      <w:rFonts w:hint="default"/>
                      <w:color w:val="auto"/>
                    </w:rPr>
                  </w:pPr>
                </w:p>
              </w:tc>
            </w:tr>
            <w:tr w14:paraId="1D534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2F071BC">
                  <w:pPr>
                    <w:pStyle w:val="22"/>
                    <w:bidi w:val="0"/>
                    <w:rPr>
                      <w:rFonts w:hint="default"/>
                      <w:color w:val="auto"/>
                    </w:rPr>
                  </w:pPr>
                </w:p>
              </w:tc>
              <w:tc>
                <w:tcPr>
                  <w:tcW w:w="1114" w:type="pct"/>
                  <w:tcBorders>
                    <w:tl2br w:val="nil"/>
                    <w:tr2bl w:val="nil"/>
                  </w:tcBorders>
                  <w:shd w:val="clear" w:color="auto" w:fill="auto"/>
                  <w:vAlign w:val="center"/>
                </w:tcPr>
                <w:p w14:paraId="43629695">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6E8A2CC5">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24CCF16D">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68E530E8">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794E7DBA">
                  <w:pPr>
                    <w:pStyle w:val="22"/>
                    <w:bidi w:val="0"/>
                    <w:rPr>
                      <w:rFonts w:hint="default"/>
                      <w:color w:val="auto"/>
                    </w:rPr>
                  </w:pPr>
                </w:p>
              </w:tc>
            </w:tr>
            <w:tr w14:paraId="10C58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36C06255">
                  <w:pPr>
                    <w:pStyle w:val="22"/>
                    <w:bidi w:val="0"/>
                    <w:rPr>
                      <w:rFonts w:hint="default"/>
                      <w:color w:val="auto"/>
                    </w:rPr>
                  </w:pPr>
                  <w:r>
                    <w:rPr>
                      <w:rFonts w:hint="default"/>
                      <w:color w:val="auto"/>
                      <w:lang w:val="en-US" w:eastAsia="zh-CN"/>
                    </w:rPr>
                    <w:t>氨氮</w:t>
                  </w:r>
                </w:p>
              </w:tc>
              <w:tc>
                <w:tcPr>
                  <w:tcW w:w="1114" w:type="pct"/>
                  <w:tcBorders>
                    <w:tl2br w:val="nil"/>
                    <w:tr2bl w:val="nil"/>
                  </w:tcBorders>
                  <w:shd w:val="clear" w:color="auto" w:fill="auto"/>
                  <w:vAlign w:val="center"/>
                </w:tcPr>
                <w:p w14:paraId="00687B0B">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33552958">
                  <w:pPr>
                    <w:pStyle w:val="22"/>
                    <w:bidi w:val="0"/>
                    <w:rPr>
                      <w:rFonts w:hint="default"/>
                      <w:color w:val="auto"/>
                    </w:rPr>
                  </w:pPr>
                  <w:r>
                    <w:rPr>
                      <w:rFonts w:hint="default"/>
                      <w:color w:val="auto"/>
                      <w:lang w:val="en-US" w:eastAsia="zh-CN"/>
                    </w:rPr>
                    <w:t>0.297</w:t>
                  </w:r>
                </w:p>
              </w:tc>
              <w:tc>
                <w:tcPr>
                  <w:tcW w:w="643" w:type="pct"/>
                  <w:tcBorders>
                    <w:tl2br w:val="nil"/>
                    <w:tr2bl w:val="nil"/>
                  </w:tcBorders>
                  <w:shd w:val="clear" w:color="auto" w:fill="auto"/>
                  <w:vAlign w:val="center"/>
                </w:tcPr>
                <w:p w14:paraId="194E8546">
                  <w:pPr>
                    <w:pStyle w:val="22"/>
                    <w:bidi w:val="0"/>
                    <w:rPr>
                      <w:rFonts w:hint="default"/>
                      <w:color w:val="auto"/>
                    </w:rPr>
                  </w:pPr>
                  <w:r>
                    <w:rPr>
                      <w:rFonts w:hint="default"/>
                      <w:color w:val="auto"/>
                      <w:lang w:val="en-US" w:eastAsia="zh-CN"/>
                    </w:rPr>
                    <w:t>0.328</w:t>
                  </w:r>
                </w:p>
              </w:tc>
              <w:tc>
                <w:tcPr>
                  <w:tcW w:w="664" w:type="pct"/>
                  <w:tcBorders>
                    <w:tl2br w:val="nil"/>
                    <w:tr2bl w:val="nil"/>
                  </w:tcBorders>
                  <w:shd w:val="clear" w:color="auto" w:fill="auto"/>
                  <w:vAlign w:val="center"/>
                </w:tcPr>
                <w:p w14:paraId="218A8B93">
                  <w:pPr>
                    <w:pStyle w:val="22"/>
                    <w:bidi w:val="0"/>
                    <w:rPr>
                      <w:rFonts w:hint="default"/>
                      <w:color w:val="auto"/>
                    </w:rPr>
                  </w:pPr>
                  <w:r>
                    <w:rPr>
                      <w:rFonts w:hint="default"/>
                      <w:color w:val="auto"/>
                      <w:lang w:val="en-US" w:eastAsia="zh-CN"/>
                    </w:rPr>
                    <w:t>0.286</w:t>
                  </w:r>
                </w:p>
              </w:tc>
              <w:tc>
                <w:tcPr>
                  <w:tcW w:w="641" w:type="pct"/>
                  <w:vMerge w:val="restart"/>
                  <w:tcBorders>
                    <w:tl2br w:val="nil"/>
                    <w:tr2bl w:val="nil"/>
                  </w:tcBorders>
                  <w:shd w:val="clear" w:color="auto" w:fill="auto"/>
                  <w:vAlign w:val="center"/>
                </w:tcPr>
                <w:p w14:paraId="7EE2D47D">
                  <w:pPr>
                    <w:pStyle w:val="22"/>
                    <w:bidi w:val="0"/>
                    <w:rPr>
                      <w:rFonts w:hint="default"/>
                      <w:color w:val="auto"/>
                    </w:rPr>
                  </w:pPr>
                  <w:r>
                    <w:rPr>
                      <w:rFonts w:hint="default"/>
                      <w:color w:val="auto"/>
                      <w:lang w:val="en-US" w:eastAsia="zh-CN"/>
                    </w:rPr>
                    <w:t>≤1.0</w:t>
                  </w:r>
                </w:p>
              </w:tc>
            </w:tr>
            <w:tr w14:paraId="2C793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2027FB3">
                  <w:pPr>
                    <w:pStyle w:val="22"/>
                    <w:bidi w:val="0"/>
                    <w:rPr>
                      <w:rFonts w:hint="default"/>
                      <w:color w:val="auto"/>
                    </w:rPr>
                  </w:pPr>
                </w:p>
              </w:tc>
              <w:tc>
                <w:tcPr>
                  <w:tcW w:w="1114" w:type="pct"/>
                  <w:tcBorders>
                    <w:tl2br w:val="nil"/>
                    <w:tr2bl w:val="nil"/>
                  </w:tcBorders>
                  <w:shd w:val="clear" w:color="auto" w:fill="auto"/>
                  <w:vAlign w:val="center"/>
                </w:tcPr>
                <w:p w14:paraId="3AA635BB">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628CEBC9">
                  <w:pPr>
                    <w:pStyle w:val="22"/>
                    <w:bidi w:val="0"/>
                    <w:rPr>
                      <w:rFonts w:hint="default"/>
                      <w:color w:val="auto"/>
                    </w:rPr>
                  </w:pPr>
                  <w:r>
                    <w:rPr>
                      <w:rFonts w:hint="default"/>
                      <w:color w:val="auto"/>
                      <w:lang w:val="en-US" w:eastAsia="zh-CN"/>
                    </w:rPr>
                    <w:t>0.297</w:t>
                  </w:r>
                </w:p>
              </w:tc>
              <w:tc>
                <w:tcPr>
                  <w:tcW w:w="643" w:type="pct"/>
                  <w:tcBorders>
                    <w:tl2br w:val="nil"/>
                    <w:tr2bl w:val="nil"/>
                  </w:tcBorders>
                  <w:shd w:val="clear" w:color="auto" w:fill="auto"/>
                  <w:vAlign w:val="center"/>
                </w:tcPr>
                <w:p w14:paraId="7080D5ED">
                  <w:pPr>
                    <w:pStyle w:val="22"/>
                    <w:bidi w:val="0"/>
                    <w:rPr>
                      <w:rFonts w:hint="default"/>
                      <w:color w:val="auto"/>
                    </w:rPr>
                  </w:pPr>
                  <w:r>
                    <w:rPr>
                      <w:rFonts w:hint="default"/>
                      <w:color w:val="auto"/>
                      <w:lang w:val="en-US" w:eastAsia="zh-CN"/>
                    </w:rPr>
                    <w:t>0.328</w:t>
                  </w:r>
                </w:p>
              </w:tc>
              <w:tc>
                <w:tcPr>
                  <w:tcW w:w="664" w:type="pct"/>
                  <w:tcBorders>
                    <w:tl2br w:val="nil"/>
                    <w:tr2bl w:val="nil"/>
                  </w:tcBorders>
                  <w:shd w:val="clear" w:color="auto" w:fill="auto"/>
                  <w:vAlign w:val="center"/>
                </w:tcPr>
                <w:p w14:paraId="308B6ECA">
                  <w:pPr>
                    <w:pStyle w:val="22"/>
                    <w:bidi w:val="0"/>
                    <w:rPr>
                      <w:rFonts w:hint="default"/>
                      <w:color w:val="auto"/>
                    </w:rPr>
                  </w:pPr>
                  <w:r>
                    <w:rPr>
                      <w:rFonts w:hint="default"/>
                      <w:color w:val="auto"/>
                      <w:lang w:val="en-US" w:eastAsia="zh-CN"/>
                    </w:rPr>
                    <w:t>0.286</w:t>
                  </w:r>
                </w:p>
              </w:tc>
              <w:tc>
                <w:tcPr>
                  <w:tcW w:w="641" w:type="pct"/>
                  <w:vMerge w:val="continue"/>
                  <w:tcBorders>
                    <w:tl2br w:val="nil"/>
                    <w:tr2bl w:val="nil"/>
                  </w:tcBorders>
                  <w:shd w:val="clear" w:color="auto" w:fill="auto"/>
                  <w:vAlign w:val="center"/>
                </w:tcPr>
                <w:p w14:paraId="5055EB6C">
                  <w:pPr>
                    <w:pStyle w:val="22"/>
                    <w:bidi w:val="0"/>
                    <w:rPr>
                      <w:rFonts w:hint="default"/>
                      <w:color w:val="auto"/>
                    </w:rPr>
                  </w:pPr>
                </w:p>
              </w:tc>
            </w:tr>
            <w:tr w14:paraId="21A9B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D78EEF8">
                  <w:pPr>
                    <w:pStyle w:val="22"/>
                    <w:bidi w:val="0"/>
                    <w:rPr>
                      <w:rFonts w:hint="default"/>
                      <w:color w:val="auto"/>
                    </w:rPr>
                  </w:pPr>
                </w:p>
              </w:tc>
              <w:tc>
                <w:tcPr>
                  <w:tcW w:w="1114" w:type="pct"/>
                  <w:tcBorders>
                    <w:tl2br w:val="nil"/>
                    <w:tr2bl w:val="nil"/>
                  </w:tcBorders>
                  <w:shd w:val="clear" w:color="auto" w:fill="auto"/>
                  <w:vAlign w:val="center"/>
                </w:tcPr>
                <w:p w14:paraId="2DB1DF04">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26809733">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452ABF9C">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09B91610">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21DF3C95">
                  <w:pPr>
                    <w:pStyle w:val="22"/>
                    <w:bidi w:val="0"/>
                    <w:rPr>
                      <w:rFonts w:hint="default"/>
                      <w:color w:val="auto"/>
                    </w:rPr>
                  </w:pPr>
                </w:p>
              </w:tc>
            </w:tr>
            <w:tr w14:paraId="776FB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6BBB3E2F">
                  <w:pPr>
                    <w:pStyle w:val="22"/>
                    <w:bidi w:val="0"/>
                    <w:rPr>
                      <w:rFonts w:hint="default"/>
                      <w:color w:val="auto"/>
                    </w:rPr>
                  </w:pPr>
                  <w:r>
                    <w:rPr>
                      <w:rFonts w:hint="default"/>
                      <w:color w:val="auto"/>
                      <w:lang w:val="en-US" w:eastAsia="zh-CN"/>
                    </w:rPr>
                    <w:t>总磷</w:t>
                  </w:r>
                </w:p>
              </w:tc>
              <w:tc>
                <w:tcPr>
                  <w:tcW w:w="1114" w:type="pct"/>
                  <w:tcBorders>
                    <w:tl2br w:val="nil"/>
                    <w:tr2bl w:val="nil"/>
                  </w:tcBorders>
                  <w:shd w:val="clear" w:color="auto" w:fill="auto"/>
                  <w:vAlign w:val="center"/>
                </w:tcPr>
                <w:p w14:paraId="7D0C1CC1">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507B8926">
                  <w:pPr>
                    <w:pStyle w:val="22"/>
                    <w:bidi w:val="0"/>
                    <w:rPr>
                      <w:rFonts w:hint="default"/>
                      <w:color w:val="auto"/>
                    </w:rPr>
                  </w:pPr>
                  <w:r>
                    <w:rPr>
                      <w:rFonts w:hint="default"/>
                      <w:color w:val="auto"/>
                      <w:lang w:val="en-US" w:eastAsia="zh-CN"/>
                    </w:rPr>
                    <w:t>0.13</w:t>
                  </w:r>
                </w:p>
              </w:tc>
              <w:tc>
                <w:tcPr>
                  <w:tcW w:w="643" w:type="pct"/>
                  <w:tcBorders>
                    <w:tl2br w:val="nil"/>
                    <w:tr2bl w:val="nil"/>
                  </w:tcBorders>
                  <w:shd w:val="clear" w:color="auto" w:fill="auto"/>
                  <w:vAlign w:val="center"/>
                </w:tcPr>
                <w:p w14:paraId="248AA25B">
                  <w:pPr>
                    <w:pStyle w:val="22"/>
                    <w:bidi w:val="0"/>
                    <w:rPr>
                      <w:rFonts w:hint="default"/>
                      <w:color w:val="auto"/>
                    </w:rPr>
                  </w:pPr>
                  <w:r>
                    <w:rPr>
                      <w:rFonts w:hint="default"/>
                      <w:color w:val="auto"/>
                      <w:lang w:val="en-US" w:eastAsia="zh-CN"/>
                    </w:rPr>
                    <w:t>0.13</w:t>
                  </w:r>
                </w:p>
              </w:tc>
              <w:tc>
                <w:tcPr>
                  <w:tcW w:w="664" w:type="pct"/>
                  <w:tcBorders>
                    <w:tl2br w:val="nil"/>
                    <w:tr2bl w:val="nil"/>
                  </w:tcBorders>
                  <w:shd w:val="clear" w:color="auto" w:fill="auto"/>
                  <w:vAlign w:val="center"/>
                </w:tcPr>
                <w:p w14:paraId="0459876B">
                  <w:pPr>
                    <w:pStyle w:val="22"/>
                    <w:bidi w:val="0"/>
                    <w:rPr>
                      <w:rFonts w:hint="default"/>
                      <w:color w:val="auto"/>
                    </w:rPr>
                  </w:pPr>
                  <w:r>
                    <w:rPr>
                      <w:rFonts w:hint="default"/>
                      <w:color w:val="auto"/>
                      <w:lang w:val="en-US" w:eastAsia="zh-CN"/>
                    </w:rPr>
                    <w:t>0.14</w:t>
                  </w:r>
                </w:p>
              </w:tc>
              <w:tc>
                <w:tcPr>
                  <w:tcW w:w="641" w:type="pct"/>
                  <w:vMerge w:val="restart"/>
                  <w:tcBorders>
                    <w:tl2br w:val="nil"/>
                    <w:tr2bl w:val="nil"/>
                  </w:tcBorders>
                  <w:shd w:val="clear" w:color="auto" w:fill="auto"/>
                  <w:vAlign w:val="center"/>
                </w:tcPr>
                <w:p w14:paraId="168DA71C">
                  <w:pPr>
                    <w:pStyle w:val="22"/>
                    <w:bidi w:val="0"/>
                    <w:rPr>
                      <w:rFonts w:hint="default"/>
                      <w:color w:val="auto"/>
                    </w:rPr>
                  </w:pPr>
                  <w:r>
                    <w:rPr>
                      <w:rFonts w:hint="default"/>
                      <w:color w:val="auto"/>
                      <w:lang w:val="en-US" w:eastAsia="zh-CN"/>
                    </w:rPr>
                    <w:t>≤0.2</w:t>
                  </w:r>
                </w:p>
              </w:tc>
            </w:tr>
            <w:tr w14:paraId="57BEF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163FC8B2">
                  <w:pPr>
                    <w:pStyle w:val="22"/>
                    <w:bidi w:val="0"/>
                    <w:rPr>
                      <w:rFonts w:hint="default"/>
                      <w:color w:val="auto"/>
                    </w:rPr>
                  </w:pPr>
                </w:p>
              </w:tc>
              <w:tc>
                <w:tcPr>
                  <w:tcW w:w="1114" w:type="pct"/>
                  <w:tcBorders>
                    <w:tl2br w:val="nil"/>
                    <w:tr2bl w:val="nil"/>
                  </w:tcBorders>
                  <w:shd w:val="clear" w:color="auto" w:fill="auto"/>
                  <w:vAlign w:val="center"/>
                </w:tcPr>
                <w:p w14:paraId="3A15BBBE">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62DE00BD">
                  <w:pPr>
                    <w:pStyle w:val="22"/>
                    <w:bidi w:val="0"/>
                    <w:rPr>
                      <w:rFonts w:hint="default"/>
                      <w:color w:val="auto"/>
                    </w:rPr>
                  </w:pPr>
                  <w:r>
                    <w:rPr>
                      <w:rFonts w:hint="default"/>
                      <w:color w:val="auto"/>
                      <w:lang w:val="en-US" w:eastAsia="zh-CN"/>
                    </w:rPr>
                    <w:t>0.65</w:t>
                  </w:r>
                </w:p>
              </w:tc>
              <w:tc>
                <w:tcPr>
                  <w:tcW w:w="643" w:type="pct"/>
                  <w:tcBorders>
                    <w:tl2br w:val="nil"/>
                    <w:tr2bl w:val="nil"/>
                  </w:tcBorders>
                  <w:shd w:val="clear" w:color="auto" w:fill="auto"/>
                  <w:vAlign w:val="center"/>
                </w:tcPr>
                <w:p w14:paraId="73385E26">
                  <w:pPr>
                    <w:pStyle w:val="22"/>
                    <w:bidi w:val="0"/>
                    <w:rPr>
                      <w:rFonts w:hint="default"/>
                      <w:color w:val="auto"/>
                    </w:rPr>
                  </w:pPr>
                  <w:r>
                    <w:rPr>
                      <w:rFonts w:hint="default"/>
                      <w:color w:val="auto"/>
                      <w:lang w:val="en-US" w:eastAsia="zh-CN"/>
                    </w:rPr>
                    <w:t>0.65</w:t>
                  </w:r>
                </w:p>
              </w:tc>
              <w:tc>
                <w:tcPr>
                  <w:tcW w:w="664" w:type="pct"/>
                  <w:tcBorders>
                    <w:tl2br w:val="nil"/>
                    <w:tr2bl w:val="nil"/>
                  </w:tcBorders>
                  <w:shd w:val="clear" w:color="auto" w:fill="auto"/>
                  <w:vAlign w:val="center"/>
                </w:tcPr>
                <w:p w14:paraId="595D7976">
                  <w:pPr>
                    <w:pStyle w:val="22"/>
                    <w:bidi w:val="0"/>
                    <w:rPr>
                      <w:rFonts w:hint="default"/>
                      <w:color w:val="auto"/>
                    </w:rPr>
                  </w:pPr>
                  <w:r>
                    <w:rPr>
                      <w:rFonts w:hint="default"/>
                      <w:color w:val="auto"/>
                      <w:lang w:val="en-US" w:eastAsia="zh-CN"/>
                    </w:rPr>
                    <w:t>0.7</w:t>
                  </w:r>
                </w:p>
              </w:tc>
              <w:tc>
                <w:tcPr>
                  <w:tcW w:w="641" w:type="pct"/>
                  <w:vMerge w:val="continue"/>
                  <w:tcBorders>
                    <w:tl2br w:val="nil"/>
                    <w:tr2bl w:val="nil"/>
                  </w:tcBorders>
                  <w:shd w:val="clear" w:color="auto" w:fill="auto"/>
                  <w:vAlign w:val="center"/>
                </w:tcPr>
                <w:p w14:paraId="4D581832">
                  <w:pPr>
                    <w:pStyle w:val="22"/>
                    <w:bidi w:val="0"/>
                    <w:rPr>
                      <w:rFonts w:hint="default"/>
                      <w:color w:val="auto"/>
                    </w:rPr>
                  </w:pPr>
                </w:p>
              </w:tc>
            </w:tr>
            <w:tr w14:paraId="46310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761A348">
                  <w:pPr>
                    <w:pStyle w:val="22"/>
                    <w:bidi w:val="0"/>
                    <w:rPr>
                      <w:rFonts w:hint="default"/>
                      <w:color w:val="auto"/>
                    </w:rPr>
                  </w:pPr>
                </w:p>
              </w:tc>
              <w:tc>
                <w:tcPr>
                  <w:tcW w:w="1114" w:type="pct"/>
                  <w:tcBorders>
                    <w:tl2br w:val="nil"/>
                    <w:tr2bl w:val="nil"/>
                  </w:tcBorders>
                  <w:shd w:val="clear" w:color="auto" w:fill="auto"/>
                  <w:vAlign w:val="center"/>
                </w:tcPr>
                <w:p w14:paraId="7BBF93C6">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6452833A">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34D2F1A2">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46982253">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39E44699">
                  <w:pPr>
                    <w:pStyle w:val="22"/>
                    <w:bidi w:val="0"/>
                    <w:rPr>
                      <w:rFonts w:hint="default"/>
                      <w:color w:val="auto"/>
                    </w:rPr>
                  </w:pPr>
                </w:p>
              </w:tc>
            </w:tr>
            <w:tr w14:paraId="4B1E6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4B386F28">
                  <w:pPr>
                    <w:pStyle w:val="22"/>
                    <w:bidi w:val="0"/>
                    <w:rPr>
                      <w:rFonts w:hint="default"/>
                      <w:color w:val="auto"/>
                    </w:rPr>
                  </w:pPr>
                  <w:r>
                    <w:rPr>
                      <w:rFonts w:hint="default"/>
                      <w:color w:val="auto"/>
                      <w:lang w:val="en-US" w:eastAsia="zh-CN"/>
                    </w:rPr>
                    <w:t>总氮</w:t>
                  </w:r>
                </w:p>
              </w:tc>
              <w:tc>
                <w:tcPr>
                  <w:tcW w:w="1114" w:type="pct"/>
                  <w:tcBorders>
                    <w:tl2br w:val="nil"/>
                    <w:tr2bl w:val="nil"/>
                  </w:tcBorders>
                  <w:shd w:val="clear" w:color="auto" w:fill="auto"/>
                  <w:vAlign w:val="center"/>
                </w:tcPr>
                <w:p w14:paraId="229AB54B">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1BE9FB23">
                  <w:pPr>
                    <w:pStyle w:val="22"/>
                    <w:bidi w:val="0"/>
                    <w:rPr>
                      <w:rFonts w:hint="default"/>
                      <w:color w:val="auto"/>
                    </w:rPr>
                  </w:pPr>
                  <w:r>
                    <w:rPr>
                      <w:rFonts w:hint="default"/>
                      <w:color w:val="auto"/>
                      <w:lang w:val="en-US" w:eastAsia="zh-CN"/>
                    </w:rPr>
                    <w:t>0.78</w:t>
                  </w:r>
                </w:p>
              </w:tc>
              <w:tc>
                <w:tcPr>
                  <w:tcW w:w="643" w:type="pct"/>
                  <w:tcBorders>
                    <w:tl2br w:val="nil"/>
                    <w:tr2bl w:val="nil"/>
                  </w:tcBorders>
                  <w:shd w:val="clear" w:color="auto" w:fill="auto"/>
                  <w:vAlign w:val="center"/>
                </w:tcPr>
                <w:p w14:paraId="44E3522C">
                  <w:pPr>
                    <w:pStyle w:val="22"/>
                    <w:bidi w:val="0"/>
                    <w:rPr>
                      <w:rFonts w:hint="default"/>
                      <w:color w:val="auto"/>
                    </w:rPr>
                  </w:pPr>
                  <w:r>
                    <w:rPr>
                      <w:rFonts w:hint="default"/>
                      <w:color w:val="auto"/>
                      <w:lang w:val="en-US" w:eastAsia="zh-CN"/>
                    </w:rPr>
                    <w:t>0.82</w:t>
                  </w:r>
                </w:p>
              </w:tc>
              <w:tc>
                <w:tcPr>
                  <w:tcW w:w="664" w:type="pct"/>
                  <w:tcBorders>
                    <w:tl2br w:val="nil"/>
                    <w:tr2bl w:val="nil"/>
                  </w:tcBorders>
                  <w:shd w:val="clear" w:color="auto" w:fill="auto"/>
                  <w:vAlign w:val="center"/>
                </w:tcPr>
                <w:p w14:paraId="71707265">
                  <w:pPr>
                    <w:pStyle w:val="22"/>
                    <w:bidi w:val="0"/>
                    <w:rPr>
                      <w:rFonts w:hint="default"/>
                      <w:color w:val="auto"/>
                    </w:rPr>
                  </w:pPr>
                  <w:r>
                    <w:rPr>
                      <w:rFonts w:hint="default"/>
                      <w:color w:val="auto"/>
                      <w:lang w:val="en-US" w:eastAsia="zh-CN"/>
                    </w:rPr>
                    <w:t>0.85</w:t>
                  </w:r>
                </w:p>
              </w:tc>
              <w:tc>
                <w:tcPr>
                  <w:tcW w:w="641" w:type="pct"/>
                  <w:vMerge w:val="restart"/>
                  <w:tcBorders>
                    <w:tl2br w:val="nil"/>
                    <w:tr2bl w:val="nil"/>
                  </w:tcBorders>
                  <w:shd w:val="clear" w:color="auto" w:fill="auto"/>
                  <w:vAlign w:val="center"/>
                </w:tcPr>
                <w:p w14:paraId="04E16A56">
                  <w:pPr>
                    <w:pStyle w:val="22"/>
                    <w:bidi w:val="0"/>
                    <w:rPr>
                      <w:rFonts w:hint="default"/>
                      <w:color w:val="auto"/>
                    </w:rPr>
                  </w:pPr>
                  <w:r>
                    <w:rPr>
                      <w:rFonts w:hint="default"/>
                      <w:color w:val="auto"/>
                      <w:lang w:val="en-US" w:eastAsia="zh-CN"/>
                    </w:rPr>
                    <w:t>≤1.0</w:t>
                  </w:r>
                </w:p>
              </w:tc>
            </w:tr>
            <w:tr w14:paraId="60681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FA00E08">
                  <w:pPr>
                    <w:pStyle w:val="22"/>
                    <w:bidi w:val="0"/>
                    <w:rPr>
                      <w:rFonts w:hint="default"/>
                      <w:color w:val="auto"/>
                    </w:rPr>
                  </w:pPr>
                </w:p>
              </w:tc>
              <w:tc>
                <w:tcPr>
                  <w:tcW w:w="1114" w:type="pct"/>
                  <w:tcBorders>
                    <w:tl2br w:val="nil"/>
                    <w:tr2bl w:val="nil"/>
                  </w:tcBorders>
                  <w:shd w:val="clear" w:color="auto" w:fill="auto"/>
                  <w:vAlign w:val="center"/>
                </w:tcPr>
                <w:p w14:paraId="0DBFA083">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0FDE96E8">
                  <w:pPr>
                    <w:pStyle w:val="22"/>
                    <w:bidi w:val="0"/>
                    <w:rPr>
                      <w:rFonts w:hint="default"/>
                      <w:color w:val="auto"/>
                    </w:rPr>
                  </w:pPr>
                  <w:r>
                    <w:rPr>
                      <w:rFonts w:hint="default"/>
                      <w:color w:val="auto"/>
                      <w:lang w:val="en-US" w:eastAsia="zh-CN"/>
                    </w:rPr>
                    <w:t>0.78</w:t>
                  </w:r>
                </w:p>
              </w:tc>
              <w:tc>
                <w:tcPr>
                  <w:tcW w:w="643" w:type="pct"/>
                  <w:tcBorders>
                    <w:tl2br w:val="nil"/>
                    <w:tr2bl w:val="nil"/>
                  </w:tcBorders>
                  <w:shd w:val="clear" w:color="auto" w:fill="auto"/>
                  <w:vAlign w:val="center"/>
                </w:tcPr>
                <w:p w14:paraId="1894E880">
                  <w:pPr>
                    <w:pStyle w:val="22"/>
                    <w:bidi w:val="0"/>
                    <w:rPr>
                      <w:rFonts w:hint="default"/>
                      <w:color w:val="auto"/>
                    </w:rPr>
                  </w:pPr>
                  <w:r>
                    <w:rPr>
                      <w:rFonts w:hint="default"/>
                      <w:color w:val="auto"/>
                      <w:lang w:val="en-US" w:eastAsia="zh-CN"/>
                    </w:rPr>
                    <w:t>0.82</w:t>
                  </w:r>
                </w:p>
              </w:tc>
              <w:tc>
                <w:tcPr>
                  <w:tcW w:w="664" w:type="pct"/>
                  <w:tcBorders>
                    <w:tl2br w:val="nil"/>
                    <w:tr2bl w:val="nil"/>
                  </w:tcBorders>
                  <w:shd w:val="clear" w:color="auto" w:fill="auto"/>
                  <w:vAlign w:val="center"/>
                </w:tcPr>
                <w:p w14:paraId="07863BA6">
                  <w:pPr>
                    <w:pStyle w:val="22"/>
                    <w:bidi w:val="0"/>
                    <w:rPr>
                      <w:rFonts w:hint="default"/>
                      <w:color w:val="auto"/>
                    </w:rPr>
                  </w:pPr>
                  <w:r>
                    <w:rPr>
                      <w:rFonts w:hint="default"/>
                      <w:color w:val="auto"/>
                      <w:lang w:val="en-US" w:eastAsia="zh-CN"/>
                    </w:rPr>
                    <w:t>0.85</w:t>
                  </w:r>
                </w:p>
              </w:tc>
              <w:tc>
                <w:tcPr>
                  <w:tcW w:w="641" w:type="pct"/>
                  <w:vMerge w:val="continue"/>
                  <w:tcBorders>
                    <w:tl2br w:val="nil"/>
                    <w:tr2bl w:val="nil"/>
                  </w:tcBorders>
                  <w:shd w:val="clear" w:color="auto" w:fill="auto"/>
                  <w:vAlign w:val="center"/>
                </w:tcPr>
                <w:p w14:paraId="75537495">
                  <w:pPr>
                    <w:pStyle w:val="22"/>
                    <w:bidi w:val="0"/>
                    <w:rPr>
                      <w:rFonts w:hint="default"/>
                      <w:color w:val="auto"/>
                    </w:rPr>
                  </w:pPr>
                </w:p>
              </w:tc>
            </w:tr>
            <w:tr w14:paraId="190B7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BDBE2C1">
                  <w:pPr>
                    <w:pStyle w:val="22"/>
                    <w:bidi w:val="0"/>
                    <w:rPr>
                      <w:rFonts w:hint="default"/>
                      <w:color w:val="auto"/>
                    </w:rPr>
                  </w:pPr>
                </w:p>
              </w:tc>
              <w:tc>
                <w:tcPr>
                  <w:tcW w:w="1114" w:type="pct"/>
                  <w:tcBorders>
                    <w:tl2br w:val="nil"/>
                    <w:tr2bl w:val="nil"/>
                  </w:tcBorders>
                  <w:shd w:val="clear" w:color="auto" w:fill="auto"/>
                  <w:vAlign w:val="center"/>
                </w:tcPr>
                <w:p w14:paraId="5013A7E6">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46290FBE">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135A4816">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2F2E76AA">
                  <w:pPr>
                    <w:pStyle w:val="22"/>
                    <w:bidi w:val="0"/>
                    <w:rPr>
                      <w:rFonts w:hint="default"/>
                      <w:color w:val="auto"/>
                    </w:rPr>
                  </w:pPr>
                  <w:r>
                    <w:rPr>
                      <w:rFonts w:hint="default"/>
                      <w:color w:val="auto"/>
                      <w:lang w:val="en-US" w:eastAsia="zh-CN"/>
                    </w:rPr>
                    <w:t>0</w:t>
                  </w:r>
                </w:p>
              </w:tc>
              <w:tc>
                <w:tcPr>
                  <w:tcW w:w="641" w:type="pct"/>
                  <w:tcBorders>
                    <w:tl2br w:val="nil"/>
                    <w:tr2bl w:val="nil"/>
                  </w:tcBorders>
                  <w:shd w:val="clear" w:color="auto" w:fill="auto"/>
                  <w:noWrap/>
                  <w:vAlign w:val="bottom"/>
                </w:tcPr>
                <w:p w14:paraId="4CD47A69">
                  <w:pPr>
                    <w:pStyle w:val="22"/>
                    <w:bidi w:val="0"/>
                    <w:rPr>
                      <w:rFonts w:hint="default"/>
                      <w:color w:val="auto"/>
                    </w:rPr>
                  </w:pPr>
                </w:p>
              </w:tc>
            </w:tr>
            <w:tr w14:paraId="128C6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619FDBE1">
                  <w:pPr>
                    <w:pStyle w:val="22"/>
                    <w:bidi w:val="0"/>
                    <w:rPr>
                      <w:rFonts w:hint="default"/>
                      <w:color w:val="auto"/>
                    </w:rPr>
                  </w:pPr>
                  <w:r>
                    <w:rPr>
                      <w:rFonts w:hint="default"/>
                      <w:color w:val="auto"/>
                      <w:lang w:val="en-US" w:eastAsia="zh-CN"/>
                    </w:rPr>
                    <w:t>氟化物</w:t>
                  </w:r>
                </w:p>
              </w:tc>
              <w:tc>
                <w:tcPr>
                  <w:tcW w:w="1114" w:type="pct"/>
                  <w:tcBorders>
                    <w:tl2br w:val="nil"/>
                    <w:tr2bl w:val="nil"/>
                  </w:tcBorders>
                  <w:shd w:val="clear" w:color="auto" w:fill="auto"/>
                  <w:vAlign w:val="center"/>
                </w:tcPr>
                <w:p w14:paraId="06F8E0FF">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4002D2EE">
                  <w:pPr>
                    <w:pStyle w:val="22"/>
                    <w:bidi w:val="0"/>
                    <w:rPr>
                      <w:rFonts w:hint="default"/>
                      <w:color w:val="auto"/>
                    </w:rPr>
                  </w:pPr>
                  <w:r>
                    <w:rPr>
                      <w:rFonts w:hint="default"/>
                      <w:color w:val="auto"/>
                      <w:lang w:val="en-US" w:eastAsia="zh-CN"/>
                    </w:rPr>
                    <w:t>0.76</w:t>
                  </w:r>
                </w:p>
              </w:tc>
              <w:tc>
                <w:tcPr>
                  <w:tcW w:w="643" w:type="pct"/>
                  <w:tcBorders>
                    <w:tl2br w:val="nil"/>
                    <w:tr2bl w:val="nil"/>
                  </w:tcBorders>
                  <w:shd w:val="clear" w:color="auto" w:fill="auto"/>
                  <w:vAlign w:val="center"/>
                </w:tcPr>
                <w:p w14:paraId="4D8DDF15">
                  <w:pPr>
                    <w:pStyle w:val="22"/>
                    <w:bidi w:val="0"/>
                    <w:rPr>
                      <w:rFonts w:hint="default"/>
                      <w:color w:val="auto"/>
                    </w:rPr>
                  </w:pPr>
                  <w:r>
                    <w:rPr>
                      <w:rFonts w:hint="default"/>
                      <w:color w:val="auto"/>
                      <w:lang w:val="en-US" w:eastAsia="zh-CN"/>
                    </w:rPr>
                    <w:t>0.75</w:t>
                  </w:r>
                </w:p>
              </w:tc>
              <w:tc>
                <w:tcPr>
                  <w:tcW w:w="664" w:type="pct"/>
                  <w:tcBorders>
                    <w:tl2br w:val="nil"/>
                    <w:tr2bl w:val="nil"/>
                  </w:tcBorders>
                  <w:shd w:val="clear" w:color="auto" w:fill="auto"/>
                  <w:vAlign w:val="center"/>
                </w:tcPr>
                <w:p w14:paraId="76ED3BDC">
                  <w:pPr>
                    <w:pStyle w:val="22"/>
                    <w:bidi w:val="0"/>
                    <w:rPr>
                      <w:rFonts w:hint="default"/>
                      <w:color w:val="auto"/>
                    </w:rPr>
                  </w:pPr>
                  <w:r>
                    <w:rPr>
                      <w:rFonts w:hint="default"/>
                      <w:color w:val="auto"/>
                      <w:lang w:val="en-US" w:eastAsia="zh-CN"/>
                    </w:rPr>
                    <w:t>0.74</w:t>
                  </w:r>
                </w:p>
              </w:tc>
              <w:tc>
                <w:tcPr>
                  <w:tcW w:w="641" w:type="pct"/>
                  <w:vMerge w:val="restart"/>
                  <w:tcBorders>
                    <w:tl2br w:val="nil"/>
                    <w:tr2bl w:val="nil"/>
                  </w:tcBorders>
                  <w:shd w:val="clear" w:color="auto" w:fill="auto"/>
                  <w:vAlign w:val="center"/>
                </w:tcPr>
                <w:p w14:paraId="100CC18E">
                  <w:pPr>
                    <w:pStyle w:val="22"/>
                    <w:bidi w:val="0"/>
                    <w:rPr>
                      <w:rFonts w:hint="default"/>
                      <w:color w:val="auto"/>
                    </w:rPr>
                  </w:pPr>
                  <w:r>
                    <w:rPr>
                      <w:rFonts w:hint="default"/>
                      <w:color w:val="auto"/>
                      <w:lang w:val="en-US" w:eastAsia="zh-CN"/>
                    </w:rPr>
                    <w:t>≤1.0</w:t>
                  </w:r>
                </w:p>
              </w:tc>
            </w:tr>
            <w:tr w14:paraId="03D02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68AAFE15">
                  <w:pPr>
                    <w:pStyle w:val="22"/>
                    <w:bidi w:val="0"/>
                    <w:rPr>
                      <w:rFonts w:hint="default"/>
                      <w:color w:val="auto"/>
                    </w:rPr>
                  </w:pPr>
                </w:p>
              </w:tc>
              <w:tc>
                <w:tcPr>
                  <w:tcW w:w="1114" w:type="pct"/>
                  <w:tcBorders>
                    <w:tl2br w:val="nil"/>
                    <w:tr2bl w:val="nil"/>
                  </w:tcBorders>
                  <w:shd w:val="clear" w:color="auto" w:fill="auto"/>
                  <w:vAlign w:val="center"/>
                </w:tcPr>
                <w:p w14:paraId="31A107C7">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2E241A38">
                  <w:pPr>
                    <w:pStyle w:val="22"/>
                    <w:bidi w:val="0"/>
                    <w:rPr>
                      <w:rFonts w:hint="default"/>
                      <w:color w:val="auto"/>
                    </w:rPr>
                  </w:pPr>
                  <w:r>
                    <w:rPr>
                      <w:rFonts w:hint="default"/>
                      <w:color w:val="auto"/>
                      <w:lang w:val="en-US" w:eastAsia="zh-CN"/>
                    </w:rPr>
                    <w:t>0.76</w:t>
                  </w:r>
                </w:p>
              </w:tc>
              <w:tc>
                <w:tcPr>
                  <w:tcW w:w="643" w:type="pct"/>
                  <w:tcBorders>
                    <w:tl2br w:val="nil"/>
                    <w:tr2bl w:val="nil"/>
                  </w:tcBorders>
                  <w:shd w:val="clear" w:color="auto" w:fill="auto"/>
                  <w:vAlign w:val="center"/>
                </w:tcPr>
                <w:p w14:paraId="5436EE53">
                  <w:pPr>
                    <w:pStyle w:val="22"/>
                    <w:bidi w:val="0"/>
                    <w:rPr>
                      <w:rFonts w:hint="default"/>
                      <w:color w:val="auto"/>
                    </w:rPr>
                  </w:pPr>
                  <w:r>
                    <w:rPr>
                      <w:rFonts w:hint="default"/>
                      <w:color w:val="auto"/>
                      <w:lang w:val="en-US" w:eastAsia="zh-CN"/>
                    </w:rPr>
                    <w:t>0.75</w:t>
                  </w:r>
                </w:p>
              </w:tc>
              <w:tc>
                <w:tcPr>
                  <w:tcW w:w="664" w:type="pct"/>
                  <w:tcBorders>
                    <w:tl2br w:val="nil"/>
                    <w:tr2bl w:val="nil"/>
                  </w:tcBorders>
                  <w:shd w:val="clear" w:color="auto" w:fill="auto"/>
                  <w:vAlign w:val="center"/>
                </w:tcPr>
                <w:p w14:paraId="12A0A864">
                  <w:pPr>
                    <w:pStyle w:val="22"/>
                    <w:bidi w:val="0"/>
                    <w:rPr>
                      <w:rFonts w:hint="default"/>
                      <w:color w:val="auto"/>
                    </w:rPr>
                  </w:pPr>
                  <w:r>
                    <w:rPr>
                      <w:rFonts w:hint="default"/>
                      <w:color w:val="auto"/>
                      <w:lang w:val="en-US" w:eastAsia="zh-CN"/>
                    </w:rPr>
                    <w:t>0.74</w:t>
                  </w:r>
                </w:p>
              </w:tc>
              <w:tc>
                <w:tcPr>
                  <w:tcW w:w="641" w:type="pct"/>
                  <w:vMerge w:val="continue"/>
                  <w:tcBorders>
                    <w:tl2br w:val="nil"/>
                    <w:tr2bl w:val="nil"/>
                  </w:tcBorders>
                  <w:shd w:val="clear" w:color="auto" w:fill="auto"/>
                  <w:vAlign w:val="center"/>
                </w:tcPr>
                <w:p w14:paraId="7642F3A7">
                  <w:pPr>
                    <w:pStyle w:val="22"/>
                    <w:bidi w:val="0"/>
                    <w:rPr>
                      <w:rFonts w:hint="default"/>
                      <w:color w:val="auto"/>
                    </w:rPr>
                  </w:pPr>
                </w:p>
              </w:tc>
            </w:tr>
            <w:tr w14:paraId="77831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5CC8566">
                  <w:pPr>
                    <w:pStyle w:val="22"/>
                    <w:bidi w:val="0"/>
                    <w:rPr>
                      <w:rFonts w:hint="default"/>
                      <w:color w:val="auto"/>
                    </w:rPr>
                  </w:pPr>
                </w:p>
              </w:tc>
              <w:tc>
                <w:tcPr>
                  <w:tcW w:w="1114" w:type="pct"/>
                  <w:tcBorders>
                    <w:tl2br w:val="nil"/>
                    <w:tr2bl w:val="nil"/>
                  </w:tcBorders>
                  <w:shd w:val="clear" w:color="auto" w:fill="auto"/>
                  <w:vAlign w:val="center"/>
                </w:tcPr>
                <w:p w14:paraId="7EF4B44B">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4EE46C46">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2CFB4836">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374DEA2E">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7268C618">
                  <w:pPr>
                    <w:pStyle w:val="22"/>
                    <w:bidi w:val="0"/>
                    <w:rPr>
                      <w:rFonts w:hint="default"/>
                      <w:color w:val="auto"/>
                    </w:rPr>
                  </w:pPr>
                </w:p>
              </w:tc>
            </w:tr>
            <w:tr w14:paraId="02A56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3CB96CF8">
                  <w:pPr>
                    <w:pStyle w:val="22"/>
                    <w:bidi w:val="0"/>
                    <w:rPr>
                      <w:rFonts w:hint="default"/>
                      <w:color w:val="auto"/>
                    </w:rPr>
                  </w:pPr>
                  <w:r>
                    <w:rPr>
                      <w:rFonts w:hint="default"/>
                      <w:color w:val="auto"/>
                      <w:lang w:val="en-US" w:eastAsia="zh-CN"/>
                    </w:rPr>
                    <w:t>挥发酚</w:t>
                  </w:r>
                </w:p>
              </w:tc>
              <w:tc>
                <w:tcPr>
                  <w:tcW w:w="1114" w:type="pct"/>
                  <w:tcBorders>
                    <w:tl2br w:val="nil"/>
                    <w:tr2bl w:val="nil"/>
                  </w:tcBorders>
                  <w:shd w:val="clear" w:color="auto" w:fill="auto"/>
                  <w:vAlign w:val="center"/>
                </w:tcPr>
                <w:p w14:paraId="28BF1E05">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4AD5E786">
                  <w:pPr>
                    <w:pStyle w:val="22"/>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03F61BCA">
                  <w:pPr>
                    <w:pStyle w:val="22"/>
                    <w:bidi w:val="0"/>
                    <w:rPr>
                      <w:rFonts w:hint="default"/>
                      <w:color w:val="auto"/>
                    </w:rPr>
                  </w:pPr>
                  <w:r>
                    <w:rPr>
                      <w:rFonts w:hint="default"/>
                      <w:color w:val="auto"/>
                      <w:lang w:val="en-US" w:eastAsia="zh-CN"/>
                    </w:rPr>
                    <w:t>0.0005</w:t>
                  </w:r>
                </w:p>
              </w:tc>
              <w:tc>
                <w:tcPr>
                  <w:tcW w:w="664" w:type="pct"/>
                  <w:tcBorders>
                    <w:tl2br w:val="nil"/>
                    <w:tr2bl w:val="nil"/>
                  </w:tcBorders>
                  <w:shd w:val="clear" w:color="auto" w:fill="auto"/>
                  <w:vAlign w:val="center"/>
                </w:tcPr>
                <w:p w14:paraId="6317B32E">
                  <w:pPr>
                    <w:pStyle w:val="22"/>
                    <w:bidi w:val="0"/>
                    <w:rPr>
                      <w:rFonts w:hint="default"/>
                      <w:color w:val="auto"/>
                    </w:rPr>
                  </w:pPr>
                  <w:r>
                    <w:rPr>
                      <w:rFonts w:hint="default"/>
                      <w:color w:val="auto"/>
                      <w:lang w:val="en-US" w:eastAsia="zh-CN"/>
                    </w:rPr>
                    <w:t>0.0006</w:t>
                  </w:r>
                </w:p>
              </w:tc>
              <w:tc>
                <w:tcPr>
                  <w:tcW w:w="641" w:type="pct"/>
                  <w:vMerge w:val="restart"/>
                  <w:tcBorders>
                    <w:tl2br w:val="nil"/>
                    <w:tr2bl w:val="nil"/>
                  </w:tcBorders>
                  <w:shd w:val="clear" w:color="auto" w:fill="auto"/>
                  <w:vAlign w:val="center"/>
                </w:tcPr>
                <w:p w14:paraId="03021124">
                  <w:pPr>
                    <w:pStyle w:val="22"/>
                    <w:bidi w:val="0"/>
                    <w:rPr>
                      <w:rFonts w:hint="default"/>
                      <w:color w:val="auto"/>
                    </w:rPr>
                  </w:pPr>
                  <w:r>
                    <w:rPr>
                      <w:rFonts w:hint="default"/>
                      <w:color w:val="auto"/>
                      <w:lang w:val="en-US" w:eastAsia="zh-CN"/>
                    </w:rPr>
                    <w:t>≤0.005</w:t>
                  </w:r>
                </w:p>
              </w:tc>
            </w:tr>
            <w:tr w14:paraId="15233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139524F5">
                  <w:pPr>
                    <w:pStyle w:val="22"/>
                    <w:bidi w:val="0"/>
                    <w:rPr>
                      <w:rFonts w:hint="default"/>
                      <w:color w:val="auto"/>
                    </w:rPr>
                  </w:pPr>
                </w:p>
              </w:tc>
              <w:tc>
                <w:tcPr>
                  <w:tcW w:w="1114" w:type="pct"/>
                  <w:tcBorders>
                    <w:tl2br w:val="nil"/>
                    <w:tr2bl w:val="nil"/>
                  </w:tcBorders>
                  <w:shd w:val="clear" w:color="auto" w:fill="auto"/>
                  <w:vAlign w:val="center"/>
                </w:tcPr>
                <w:p w14:paraId="56125973">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105CEC2B">
                  <w:pPr>
                    <w:pStyle w:val="22"/>
                    <w:bidi w:val="0"/>
                    <w:rPr>
                      <w:rFonts w:hint="default"/>
                      <w:color w:val="auto"/>
                    </w:rPr>
                  </w:pPr>
                  <w:r>
                    <w:rPr>
                      <w:rFonts w:hint="default"/>
                      <w:color w:val="auto"/>
                      <w:lang w:val="en-US" w:eastAsia="zh-CN"/>
                    </w:rPr>
                    <w:t>0.03</w:t>
                  </w:r>
                </w:p>
              </w:tc>
              <w:tc>
                <w:tcPr>
                  <w:tcW w:w="643" w:type="pct"/>
                  <w:tcBorders>
                    <w:tl2br w:val="nil"/>
                    <w:tr2bl w:val="nil"/>
                  </w:tcBorders>
                  <w:shd w:val="clear" w:color="auto" w:fill="auto"/>
                  <w:vAlign w:val="center"/>
                </w:tcPr>
                <w:p w14:paraId="3E573F24">
                  <w:pPr>
                    <w:pStyle w:val="22"/>
                    <w:bidi w:val="0"/>
                    <w:rPr>
                      <w:rFonts w:hint="default"/>
                      <w:color w:val="auto"/>
                    </w:rPr>
                  </w:pPr>
                  <w:r>
                    <w:rPr>
                      <w:rFonts w:hint="default"/>
                      <w:color w:val="auto"/>
                      <w:lang w:val="en-US" w:eastAsia="zh-CN"/>
                    </w:rPr>
                    <w:t>0.1</w:t>
                  </w:r>
                </w:p>
              </w:tc>
              <w:tc>
                <w:tcPr>
                  <w:tcW w:w="664" w:type="pct"/>
                  <w:tcBorders>
                    <w:tl2br w:val="nil"/>
                    <w:tr2bl w:val="nil"/>
                  </w:tcBorders>
                  <w:shd w:val="clear" w:color="auto" w:fill="auto"/>
                  <w:vAlign w:val="center"/>
                </w:tcPr>
                <w:p w14:paraId="587DC2B3">
                  <w:pPr>
                    <w:pStyle w:val="22"/>
                    <w:bidi w:val="0"/>
                    <w:rPr>
                      <w:rFonts w:hint="default"/>
                      <w:color w:val="auto"/>
                    </w:rPr>
                  </w:pPr>
                  <w:r>
                    <w:rPr>
                      <w:rFonts w:hint="default"/>
                      <w:color w:val="auto"/>
                      <w:lang w:val="en-US" w:eastAsia="zh-CN"/>
                    </w:rPr>
                    <w:t>0.12</w:t>
                  </w:r>
                </w:p>
              </w:tc>
              <w:tc>
                <w:tcPr>
                  <w:tcW w:w="641" w:type="pct"/>
                  <w:vMerge w:val="continue"/>
                  <w:tcBorders>
                    <w:tl2br w:val="nil"/>
                    <w:tr2bl w:val="nil"/>
                  </w:tcBorders>
                  <w:shd w:val="clear" w:color="auto" w:fill="auto"/>
                  <w:vAlign w:val="center"/>
                </w:tcPr>
                <w:p w14:paraId="69EF9349">
                  <w:pPr>
                    <w:pStyle w:val="22"/>
                    <w:bidi w:val="0"/>
                    <w:rPr>
                      <w:rFonts w:hint="default"/>
                      <w:color w:val="auto"/>
                    </w:rPr>
                  </w:pPr>
                </w:p>
              </w:tc>
            </w:tr>
            <w:tr w14:paraId="33DFB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28CC9FE4">
                  <w:pPr>
                    <w:pStyle w:val="22"/>
                    <w:bidi w:val="0"/>
                    <w:rPr>
                      <w:rFonts w:hint="default"/>
                      <w:color w:val="auto"/>
                    </w:rPr>
                  </w:pPr>
                </w:p>
              </w:tc>
              <w:tc>
                <w:tcPr>
                  <w:tcW w:w="1114" w:type="pct"/>
                  <w:tcBorders>
                    <w:tl2br w:val="nil"/>
                    <w:tr2bl w:val="nil"/>
                  </w:tcBorders>
                  <w:shd w:val="clear" w:color="auto" w:fill="auto"/>
                  <w:vAlign w:val="center"/>
                </w:tcPr>
                <w:p w14:paraId="6E2E04F8">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17B58E1B">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45E70D15">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19654065">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1AF4ABA9">
                  <w:pPr>
                    <w:pStyle w:val="22"/>
                    <w:bidi w:val="0"/>
                    <w:rPr>
                      <w:rFonts w:hint="default"/>
                      <w:color w:val="auto"/>
                    </w:rPr>
                  </w:pPr>
                </w:p>
              </w:tc>
            </w:tr>
            <w:tr w14:paraId="253D9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75E276F9">
                  <w:pPr>
                    <w:pStyle w:val="22"/>
                    <w:bidi w:val="0"/>
                    <w:rPr>
                      <w:rFonts w:hint="default"/>
                      <w:color w:val="auto"/>
                    </w:rPr>
                  </w:pPr>
                  <w:r>
                    <w:rPr>
                      <w:rFonts w:hint="default"/>
                      <w:color w:val="auto"/>
                      <w:lang w:val="en-US" w:eastAsia="zh-CN"/>
                    </w:rPr>
                    <w:t>石油类</w:t>
                  </w:r>
                </w:p>
              </w:tc>
              <w:tc>
                <w:tcPr>
                  <w:tcW w:w="1114" w:type="pct"/>
                  <w:tcBorders>
                    <w:tl2br w:val="nil"/>
                    <w:tr2bl w:val="nil"/>
                  </w:tcBorders>
                  <w:shd w:val="clear" w:color="auto" w:fill="auto"/>
                  <w:vAlign w:val="center"/>
                </w:tcPr>
                <w:p w14:paraId="17554A7C">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434F600C">
                  <w:pPr>
                    <w:pStyle w:val="22"/>
                    <w:bidi w:val="0"/>
                    <w:rPr>
                      <w:rFonts w:hint="default"/>
                      <w:color w:val="auto"/>
                    </w:rPr>
                  </w:pPr>
                  <w:r>
                    <w:rPr>
                      <w:rFonts w:hint="default"/>
                      <w:color w:val="auto"/>
                      <w:lang w:val="en-US" w:eastAsia="zh-CN"/>
                    </w:rPr>
                    <w:t>0.02</w:t>
                  </w:r>
                </w:p>
              </w:tc>
              <w:tc>
                <w:tcPr>
                  <w:tcW w:w="643" w:type="pct"/>
                  <w:tcBorders>
                    <w:tl2br w:val="nil"/>
                    <w:tr2bl w:val="nil"/>
                  </w:tcBorders>
                  <w:shd w:val="clear" w:color="auto" w:fill="auto"/>
                  <w:vAlign w:val="center"/>
                </w:tcPr>
                <w:p w14:paraId="6578E7DD">
                  <w:pPr>
                    <w:pStyle w:val="22"/>
                    <w:bidi w:val="0"/>
                    <w:rPr>
                      <w:rFonts w:hint="default"/>
                      <w:color w:val="auto"/>
                    </w:rPr>
                  </w:pPr>
                  <w:r>
                    <w:rPr>
                      <w:rFonts w:hint="default"/>
                      <w:color w:val="auto"/>
                      <w:lang w:val="en-US" w:eastAsia="zh-CN"/>
                    </w:rPr>
                    <w:t>00.02</w:t>
                  </w:r>
                </w:p>
              </w:tc>
              <w:tc>
                <w:tcPr>
                  <w:tcW w:w="664" w:type="pct"/>
                  <w:tcBorders>
                    <w:tl2br w:val="nil"/>
                    <w:tr2bl w:val="nil"/>
                  </w:tcBorders>
                  <w:shd w:val="clear" w:color="auto" w:fill="auto"/>
                  <w:vAlign w:val="center"/>
                </w:tcPr>
                <w:p w14:paraId="3B743C28">
                  <w:pPr>
                    <w:pStyle w:val="22"/>
                    <w:bidi w:val="0"/>
                    <w:rPr>
                      <w:rFonts w:hint="default"/>
                      <w:color w:val="auto"/>
                    </w:rPr>
                  </w:pPr>
                  <w:r>
                    <w:rPr>
                      <w:rFonts w:hint="default"/>
                      <w:color w:val="auto"/>
                      <w:lang w:val="en-US" w:eastAsia="zh-CN"/>
                    </w:rPr>
                    <w:t>0.01</w:t>
                  </w:r>
                </w:p>
              </w:tc>
              <w:tc>
                <w:tcPr>
                  <w:tcW w:w="641" w:type="pct"/>
                  <w:vMerge w:val="restart"/>
                  <w:tcBorders>
                    <w:tl2br w:val="nil"/>
                    <w:tr2bl w:val="nil"/>
                  </w:tcBorders>
                  <w:shd w:val="clear" w:color="auto" w:fill="auto"/>
                  <w:vAlign w:val="center"/>
                </w:tcPr>
                <w:p w14:paraId="46AA263D">
                  <w:pPr>
                    <w:pStyle w:val="22"/>
                    <w:bidi w:val="0"/>
                    <w:rPr>
                      <w:rFonts w:hint="default"/>
                      <w:color w:val="auto"/>
                    </w:rPr>
                  </w:pPr>
                  <w:r>
                    <w:rPr>
                      <w:rFonts w:hint="default"/>
                      <w:color w:val="auto"/>
                      <w:lang w:val="en-US" w:eastAsia="zh-CN"/>
                    </w:rPr>
                    <w:t>≤0.05</w:t>
                  </w:r>
                </w:p>
              </w:tc>
            </w:tr>
            <w:tr w14:paraId="44409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09569AD">
                  <w:pPr>
                    <w:pStyle w:val="22"/>
                    <w:bidi w:val="0"/>
                    <w:rPr>
                      <w:rFonts w:hint="default"/>
                      <w:color w:val="auto"/>
                    </w:rPr>
                  </w:pPr>
                </w:p>
              </w:tc>
              <w:tc>
                <w:tcPr>
                  <w:tcW w:w="1114" w:type="pct"/>
                  <w:tcBorders>
                    <w:tl2br w:val="nil"/>
                    <w:tr2bl w:val="nil"/>
                  </w:tcBorders>
                  <w:shd w:val="clear" w:color="auto" w:fill="auto"/>
                  <w:vAlign w:val="center"/>
                </w:tcPr>
                <w:p w14:paraId="4F0F6DE0">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54A57A60">
                  <w:pPr>
                    <w:pStyle w:val="22"/>
                    <w:bidi w:val="0"/>
                    <w:rPr>
                      <w:rFonts w:hint="default"/>
                      <w:color w:val="auto"/>
                    </w:rPr>
                  </w:pPr>
                  <w:r>
                    <w:rPr>
                      <w:rFonts w:hint="default"/>
                      <w:color w:val="auto"/>
                      <w:lang w:val="en-US" w:eastAsia="zh-CN"/>
                    </w:rPr>
                    <w:t>0.4</w:t>
                  </w:r>
                </w:p>
              </w:tc>
              <w:tc>
                <w:tcPr>
                  <w:tcW w:w="643" w:type="pct"/>
                  <w:tcBorders>
                    <w:tl2br w:val="nil"/>
                    <w:tr2bl w:val="nil"/>
                  </w:tcBorders>
                  <w:shd w:val="clear" w:color="auto" w:fill="auto"/>
                  <w:vAlign w:val="center"/>
                </w:tcPr>
                <w:p w14:paraId="19E7452A">
                  <w:pPr>
                    <w:pStyle w:val="22"/>
                    <w:bidi w:val="0"/>
                    <w:rPr>
                      <w:rFonts w:hint="default"/>
                      <w:color w:val="auto"/>
                    </w:rPr>
                  </w:pPr>
                  <w:r>
                    <w:rPr>
                      <w:rFonts w:hint="default"/>
                      <w:color w:val="auto"/>
                      <w:lang w:val="en-US" w:eastAsia="zh-CN"/>
                    </w:rPr>
                    <w:t>0.4</w:t>
                  </w:r>
                </w:p>
              </w:tc>
              <w:tc>
                <w:tcPr>
                  <w:tcW w:w="664" w:type="pct"/>
                  <w:tcBorders>
                    <w:tl2br w:val="nil"/>
                    <w:tr2bl w:val="nil"/>
                  </w:tcBorders>
                  <w:shd w:val="clear" w:color="auto" w:fill="auto"/>
                  <w:vAlign w:val="center"/>
                </w:tcPr>
                <w:p w14:paraId="0483B7EA">
                  <w:pPr>
                    <w:pStyle w:val="22"/>
                    <w:bidi w:val="0"/>
                    <w:rPr>
                      <w:rFonts w:hint="default"/>
                      <w:color w:val="auto"/>
                    </w:rPr>
                  </w:pPr>
                  <w:r>
                    <w:rPr>
                      <w:rFonts w:hint="default"/>
                      <w:color w:val="auto"/>
                      <w:lang w:val="en-US" w:eastAsia="zh-CN"/>
                    </w:rPr>
                    <w:t>0.2</w:t>
                  </w:r>
                </w:p>
              </w:tc>
              <w:tc>
                <w:tcPr>
                  <w:tcW w:w="641" w:type="pct"/>
                  <w:vMerge w:val="continue"/>
                  <w:tcBorders>
                    <w:tl2br w:val="nil"/>
                    <w:tr2bl w:val="nil"/>
                  </w:tcBorders>
                  <w:shd w:val="clear" w:color="auto" w:fill="auto"/>
                  <w:vAlign w:val="center"/>
                </w:tcPr>
                <w:p w14:paraId="3BECFFB0">
                  <w:pPr>
                    <w:pStyle w:val="22"/>
                    <w:bidi w:val="0"/>
                    <w:rPr>
                      <w:rFonts w:hint="default"/>
                      <w:color w:val="auto"/>
                    </w:rPr>
                  </w:pPr>
                </w:p>
              </w:tc>
            </w:tr>
            <w:tr w14:paraId="24CAB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6BAE0B49">
                  <w:pPr>
                    <w:pStyle w:val="22"/>
                    <w:bidi w:val="0"/>
                    <w:rPr>
                      <w:rFonts w:hint="default"/>
                      <w:color w:val="auto"/>
                    </w:rPr>
                  </w:pPr>
                </w:p>
              </w:tc>
              <w:tc>
                <w:tcPr>
                  <w:tcW w:w="1114" w:type="pct"/>
                  <w:tcBorders>
                    <w:tl2br w:val="nil"/>
                    <w:tr2bl w:val="nil"/>
                  </w:tcBorders>
                  <w:shd w:val="clear" w:color="auto" w:fill="auto"/>
                  <w:vAlign w:val="center"/>
                </w:tcPr>
                <w:p w14:paraId="188DF169">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16E7CA44">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5D314CC8">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250EE218">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4995B78B">
                  <w:pPr>
                    <w:pStyle w:val="22"/>
                    <w:bidi w:val="0"/>
                    <w:rPr>
                      <w:rFonts w:hint="default"/>
                      <w:color w:val="auto"/>
                    </w:rPr>
                  </w:pPr>
                </w:p>
              </w:tc>
            </w:tr>
            <w:tr w14:paraId="59187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56195634">
                  <w:pPr>
                    <w:pStyle w:val="22"/>
                    <w:bidi w:val="0"/>
                    <w:rPr>
                      <w:rFonts w:hint="default"/>
                      <w:color w:val="auto"/>
                    </w:rPr>
                  </w:pPr>
                  <w:r>
                    <w:rPr>
                      <w:rFonts w:hint="default"/>
                      <w:color w:val="auto"/>
                      <w:lang w:val="en-US" w:eastAsia="zh-CN"/>
                    </w:rPr>
                    <w:t>阴离子表面活性</w:t>
                  </w:r>
                </w:p>
              </w:tc>
              <w:tc>
                <w:tcPr>
                  <w:tcW w:w="1114" w:type="pct"/>
                  <w:tcBorders>
                    <w:tl2br w:val="nil"/>
                    <w:tr2bl w:val="nil"/>
                  </w:tcBorders>
                  <w:shd w:val="clear" w:color="auto" w:fill="auto"/>
                  <w:vAlign w:val="center"/>
                </w:tcPr>
                <w:p w14:paraId="2FA4B866">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0AF2BE13">
                  <w:pPr>
                    <w:pStyle w:val="22"/>
                    <w:bidi w:val="0"/>
                    <w:rPr>
                      <w:rFonts w:hint="default"/>
                      <w:color w:val="auto"/>
                    </w:rPr>
                  </w:pPr>
                  <w:r>
                    <w:rPr>
                      <w:rFonts w:hint="default"/>
                      <w:color w:val="auto"/>
                      <w:lang w:val="en-US" w:eastAsia="zh-CN"/>
                    </w:rPr>
                    <w:t>0.065</w:t>
                  </w:r>
                </w:p>
              </w:tc>
              <w:tc>
                <w:tcPr>
                  <w:tcW w:w="643" w:type="pct"/>
                  <w:tcBorders>
                    <w:tl2br w:val="nil"/>
                    <w:tr2bl w:val="nil"/>
                  </w:tcBorders>
                  <w:shd w:val="clear" w:color="auto" w:fill="auto"/>
                  <w:vAlign w:val="center"/>
                </w:tcPr>
                <w:p w14:paraId="0AD46874">
                  <w:pPr>
                    <w:pStyle w:val="22"/>
                    <w:bidi w:val="0"/>
                    <w:rPr>
                      <w:rFonts w:hint="default"/>
                      <w:color w:val="auto"/>
                    </w:rPr>
                  </w:pPr>
                  <w:r>
                    <w:rPr>
                      <w:rFonts w:hint="default"/>
                      <w:color w:val="auto"/>
                      <w:lang w:val="en-US" w:eastAsia="zh-CN"/>
                    </w:rPr>
                    <w:t>0.077</w:t>
                  </w:r>
                </w:p>
              </w:tc>
              <w:tc>
                <w:tcPr>
                  <w:tcW w:w="664" w:type="pct"/>
                  <w:tcBorders>
                    <w:tl2br w:val="nil"/>
                    <w:tr2bl w:val="nil"/>
                  </w:tcBorders>
                  <w:shd w:val="clear" w:color="auto" w:fill="auto"/>
                  <w:vAlign w:val="center"/>
                </w:tcPr>
                <w:p w14:paraId="52FDC0F0">
                  <w:pPr>
                    <w:pStyle w:val="22"/>
                    <w:bidi w:val="0"/>
                    <w:rPr>
                      <w:rFonts w:hint="default"/>
                      <w:color w:val="auto"/>
                    </w:rPr>
                  </w:pPr>
                  <w:r>
                    <w:rPr>
                      <w:rFonts w:hint="default"/>
                      <w:color w:val="auto"/>
                      <w:lang w:val="en-US" w:eastAsia="zh-CN"/>
                    </w:rPr>
                    <w:t>0.053</w:t>
                  </w:r>
                </w:p>
              </w:tc>
              <w:tc>
                <w:tcPr>
                  <w:tcW w:w="641" w:type="pct"/>
                  <w:vMerge w:val="restart"/>
                  <w:tcBorders>
                    <w:tl2br w:val="nil"/>
                    <w:tr2bl w:val="nil"/>
                  </w:tcBorders>
                  <w:shd w:val="clear" w:color="auto" w:fill="auto"/>
                  <w:vAlign w:val="center"/>
                </w:tcPr>
                <w:p w14:paraId="35A01B73">
                  <w:pPr>
                    <w:pStyle w:val="22"/>
                    <w:bidi w:val="0"/>
                    <w:rPr>
                      <w:rFonts w:hint="default"/>
                      <w:color w:val="auto"/>
                    </w:rPr>
                  </w:pPr>
                  <w:r>
                    <w:rPr>
                      <w:rFonts w:hint="default"/>
                      <w:color w:val="auto"/>
                      <w:lang w:val="en-US" w:eastAsia="zh-CN"/>
                    </w:rPr>
                    <w:t>≤0.2</w:t>
                  </w:r>
                </w:p>
              </w:tc>
            </w:tr>
            <w:tr w14:paraId="5985C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9F4AA00">
                  <w:pPr>
                    <w:pStyle w:val="22"/>
                    <w:bidi w:val="0"/>
                    <w:rPr>
                      <w:rFonts w:hint="default"/>
                      <w:color w:val="auto"/>
                    </w:rPr>
                  </w:pPr>
                </w:p>
              </w:tc>
              <w:tc>
                <w:tcPr>
                  <w:tcW w:w="1114" w:type="pct"/>
                  <w:tcBorders>
                    <w:tl2br w:val="nil"/>
                    <w:tr2bl w:val="nil"/>
                  </w:tcBorders>
                  <w:shd w:val="clear" w:color="auto" w:fill="auto"/>
                  <w:vAlign w:val="center"/>
                </w:tcPr>
                <w:p w14:paraId="1341E99D">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24C95551">
                  <w:pPr>
                    <w:pStyle w:val="22"/>
                    <w:bidi w:val="0"/>
                    <w:rPr>
                      <w:rFonts w:hint="default"/>
                      <w:color w:val="auto"/>
                    </w:rPr>
                  </w:pPr>
                  <w:r>
                    <w:rPr>
                      <w:rFonts w:hint="default"/>
                      <w:color w:val="auto"/>
                      <w:lang w:val="en-US" w:eastAsia="zh-CN"/>
                    </w:rPr>
                    <w:t>0.325</w:t>
                  </w:r>
                </w:p>
              </w:tc>
              <w:tc>
                <w:tcPr>
                  <w:tcW w:w="643" w:type="pct"/>
                  <w:tcBorders>
                    <w:tl2br w:val="nil"/>
                    <w:tr2bl w:val="nil"/>
                  </w:tcBorders>
                  <w:shd w:val="clear" w:color="auto" w:fill="auto"/>
                  <w:vAlign w:val="center"/>
                </w:tcPr>
                <w:p w14:paraId="194A1A42">
                  <w:pPr>
                    <w:pStyle w:val="22"/>
                    <w:bidi w:val="0"/>
                    <w:rPr>
                      <w:rFonts w:hint="default"/>
                      <w:color w:val="auto"/>
                    </w:rPr>
                  </w:pPr>
                  <w:r>
                    <w:rPr>
                      <w:rFonts w:hint="default"/>
                      <w:color w:val="auto"/>
                      <w:lang w:val="en-US" w:eastAsia="zh-CN"/>
                    </w:rPr>
                    <w:t>0.385</w:t>
                  </w:r>
                </w:p>
              </w:tc>
              <w:tc>
                <w:tcPr>
                  <w:tcW w:w="664" w:type="pct"/>
                  <w:tcBorders>
                    <w:tl2br w:val="nil"/>
                    <w:tr2bl w:val="nil"/>
                  </w:tcBorders>
                  <w:shd w:val="clear" w:color="auto" w:fill="auto"/>
                  <w:vAlign w:val="center"/>
                </w:tcPr>
                <w:p w14:paraId="37BFAA13">
                  <w:pPr>
                    <w:pStyle w:val="22"/>
                    <w:bidi w:val="0"/>
                    <w:rPr>
                      <w:rFonts w:hint="default"/>
                      <w:color w:val="auto"/>
                    </w:rPr>
                  </w:pPr>
                  <w:r>
                    <w:rPr>
                      <w:rFonts w:hint="default"/>
                      <w:color w:val="auto"/>
                      <w:lang w:val="en-US" w:eastAsia="zh-CN"/>
                    </w:rPr>
                    <w:t>0.265</w:t>
                  </w:r>
                </w:p>
              </w:tc>
              <w:tc>
                <w:tcPr>
                  <w:tcW w:w="641" w:type="pct"/>
                  <w:vMerge w:val="continue"/>
                  <w:tcBorders>
                    <w:tl2br w:val="nil"/>
                    <w:tr2bl w:val="nil"/>
                  </w:tcBorders>
                  <w:shd w:val="clear" w:color="auto" w:fill="auto"/>
                  <w:vAlign w:val="center"/>
                </w:tcPr>
                <w:p w14:paraId="485F7399">
                  <w:pPr>
                    <w:pStyle w:val="22"/>
                    <w:bidi w:val="0"/>
                    <w:rPr>
                      <w:rFonts w:hint="default"/>
                      <w:color w:val="auto"/>
                    </w:rPr>
                  </w:pPr>
                </w:p>
              </w:tc>
            </w:tr>
            <w:tr w14:paraId="48857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B414DC7">
                  <w:pPr>
                    <w:pStyle w:val="22"/>
                    <w:bidi w:val="0"/>
                    <w:rPr>
                      <w:rFonts w:hint="default"/>
                      <w:color w:val="auto"/>
                    </w:rPr>
                  </w:pPr>
                </w:p>
              </w:tc>
              <w:tc>
                <w:tcPr>
                  <w:tcW w:w="1114" w:type="pct"/>
                  <w:tcBorders>
                    <w:tl2br w:val="nil"/>
                    <w:tr2bl w:val="nil"/>
                  </w:tcBorders>
                  <w:shd w:val="clear" w:color="auto" w:fill="auto"/>
                  <w:vAlign w:val="center"/>
                </w:tcPr>
                <w:p w14:paraId="7637B8EB">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0D4AB211">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4D55DC5D">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3D098B23">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2D9E80B4">
                  <w:pPr>
                    <w:pStyle w:val="22"/>
                    <w:bidi w:val="0"/>
                    <w:rPr>
                      <w:rFonts w:hint="default"/>
                      <w:color w:val="auto"/>
                    </w:rPr>
                  </w:pPr>
                </w:p>
              </w:tc>
            </w:tr>
            <w:tr w14:paraId="53BFD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15342AF6">
                  <w:pPr>
                    <w:pStyle w:val="22"/>
                    <w:bidi w:val="0"/>
                    <w:rPr>
                      <w:rFonts w:hint="default"/>
                      <w:color w:val="auto"/>
                    </w:rPr>
                  </w:pPr>
                  <w:r>
                    <w:rPr>
                      <w:rFonts w:hint="default"/>
                      <w:color w:val="auto"/>
                      <w:lang w:val="en-US" w:eastAsia="zh-CN"/>
                    </w:rPr>
                    <w:t>硫化物</w:t>
                  </w:r>
                </w:p>
              </w:tc>
              <w:tc>
                <w:tcPr>
                  <w:tcW w:w="1114" w:type="pct"/>
                  <w:tcBorders>
                    <w:tl2br w:val="nil"/>
                    <w:tr2bl w:val="nil"/>
                  </w:tcBorders>
                  <w:shd w:val="clear" w:color="auto" w:fill="auto"/>
                  <w:vAlign w:val="center"/>
                </w:tcPr>
                <w:p w14:paraId="607D3F7B">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19E9A26B">
                  <w:pPr>
                    <w:pStyle w:val="22"/>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6EB373A3">
                  <w:pPr>
                    <w:pStyle w:val="22"/>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3DD56267">
                  <w:pPr>
                    <w:pStyle w:val="22"/>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57554BA6">
                  <w:pPr>
                    <w:pStyle w:val="22"/>
                    <w:bidi w:val="0"/>
                    <w:rPr>
                      <w:rFonts w:hint="default"/>
                      <w:color w:val="auto"/>
                    </w:rPr>
                  </w:pPr>
                  <w:r>
                    <w:rPr>
                      <w:rFonts w:hint="default"/>
                      <w:color w:val="auto"/>
                      <w:lang w:val="en-US" w:eastAsia="zh-CN"/>
                    </w:rPr>
                    <w:t>≤0.2</w:t>
                  </w:r>
                </w:p>
              </w:tc>
            </w:tr>
            <w:tr w14:paraId="6EA10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3CA1B57">
                  <w:pPr>
                    <w:pStyle w:val="22"/>
                    <w:bidi w:val="0"/>
                    <w:rPr>
                      <w:rFonts w:hint="default"/>
                      <w:color w:val="auto"/>
                    </w:rPr>
                  </w:pPr>
                </w:p>
              </w:tc>
              <w:tc>
                <w:tcPr>
                  <w:tcW w:w="1114" w:type="pct"/>
                  <w:tcBorders>
                    <w:tl2br w:val="nil"/>
                    <w:tr2bl w:val="nil"/>
                  </w:tcBorders>
                  <w:shd w:val="clear" w:color="auto" w:fill="auto"/>
                  <w:vAlign w:val="center"/>
                </w:tcPr>
                <w:p w14:paraId="32579469">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6984ED2F">
                  <w:pPr>
                    <w:pStyle w:val="22"/>
                    <w:bidi w:val="0"/>
                    <w:rPr>
                      <w:rFonts w:hint="default"/>
                      <w:color w:val="auto"/>
                    </w:rPr>
                  </w:pPr>
                  <w:r>
                    <w:rPr>
                      <w:rFonts w:hint="default"/>
                      <w:color w:val="auto"/>
                      <w:lang w:val="en-US" w:eastAsia="zh-CN"/>
                    </w:rPr>
                    <w:t>0.025</w:t>
                  </w:r>
                </w:p>
              </w:tc>
              <w:tc>
                <w:tcPr>
                  <w:tcW w:w="643" w:type="pct"/>
                  <w:tcBorders>
                    <w:tl2br w:val="nil"/>
                    <w:tr2bl w:val="nil"/>
                  </w:tcBorders>
                  <w:shd w:val="clear" w:color="auto" w:fill="auto"/>
                  <w:vAlign w:val="center"/>
                </w:tcPr>
                <w:p w14:paraId="1BE60F48">
                  <w:pPr>
                    <w:pStyle w:val="22"/>
                    <w:bidi w:val="0"/>
                    <w:rPr>
                      <w:rFonts w:hint="default"/>
                      <w:color w:val="auto"/>
                    </w:rPr>
                  </w:pPr>
                  <w:r>
                    <w:rPr>
                      <w:rFonts w:hint="default"/>
                      <w:color w:val="auto"/>
                      <w:lang w:val="en-US" w:eastAsia="zh-CN"/>
                    </w:rPr>
                    <w:t>0.025</w:t>
                  </w:r>
                </w:p>
              </w:tc>
              <w:tc>
                <w:tcPr>
                  <w:tcW w:w="664" w:type="pct"/>
                  <w:tcBorders>
                    <w:tl2br w:val="nil"/>
                    <w:tr2bl w:val="nil"/>
                  </w:tcBorders>
                  <w:shd w:val="clear" w:color="auto" w:fill="auto"/>
                  <w:vAlign w:val="center"/>
                </w:tcPr>
                <w:p w14:paraId="04E55C5F">
                  <w:pPr>
                    <w:pStyle w:val="22"/>
                    <w:bidi w:val="0"/>
                    <w:rPr>
                      <w:rFonts w:hint="default"/>
                      <w:color w:val="auto"/>
                    </w:rPr>
                  </w:pPr>
                  <w:r>
                    <w:rPr>
                      <w:rFonts w:hint="default"/>
                      <w:color w:val="auto"/>
                      <w:lang w:val="en-US" w:eastAsia="zh-CN"/>
                    </w:rPr>
                    <w:t>0.025</w:t>
                  </w:r>
                </w:p>
              </w:tc>
              <w:tc>
                <w:tcPr>
                  <w:tcW w:w="641" w:type="pct"/>
                  <w:vMerge w:val="continue"/>
                  <w:tcBorders>
                    <w:tl2br w:val="nil"/>
                    <w:tr2bl w:val="nil"/>
                  </w:tcBorders>
                  <w:shd w:val="clear" w:color="auto" w:fill="auto"/>
                  <w:vAlign w:val="center"/>
                </w:tcPr>
                <w:p w14:paraId="5820300F">
                  <w:pPr>
                    <w:pStyle w:val="22"/>
                    <w:bidi w:val="0"/>
                    <w:rPr>
                      <w:rFonts w:hint="default"/>
                      <w:color w:val="auto"/>
                    </w:rPr>
                  </w:pPr>
                </w:p>
              </w:tc>
            </w:tr>
            <w:tr w14:paraId="15FC6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1C4ACA3">
                  <w:pPr>
                    <w:pStyle w:val="22"/>
                    <w:bidi w:val="0"/>
                    <w:rPr>
                      <w:rFonts w:hint="default"/>
                      <w:color w:val="auto"/>
                    </w:rPr>
                  </w:pPr>
                </w:p>
              </w:tc>
              <w:tc>
                <w:tcPr>
                  <w:tcW w:w="1114" w:type="pct"/>
                  <w:tcBorders>
                    <w:tl2br w:val="nil"/>
                    <w:tr2bl w:val="nil"/>
                  </w:tcBorders>
                  <w:shd w:val="clear" w:color="auto" w:fill="auto"/>
                  <w:vAlign w:val="center"/>
                </w:tcPr>
                <w:p w14:paraId="7683DFB0">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603B6D0B">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25C40D18">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10143ADE">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2252D614">
                  <w:pPr>
                    <w:pStyle w:val="22"/>
                    <w:bidi w:val="0"/>
                    <w:rPr>
                      <w:rFonts w:hint="default"/>
                      <w:color w:val="auto"/>
                    </w:rPr>
                  </w:pPr>
                </w:p>
              </w:tc>
            </w:tr>
            <w:tr w14:paraId="399C6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7E22C3B1">
                  <w:pPr>
                    <w:pStyle w:val="22"/>
                    <w:bidi w:val="0"/>
                    <w:rPr>
                      <w:rFonts w:hint="default"/>
                      <w:color w:val="auto"/>
                    </w:rPr>
                  </w:pPr>
                  <w:r>
                    <w:rPr>
                      <w:rFonts w:hint="default"/>
                      <w:color w:val="auto"/>
                      <w:lang w:val="en-US" w:eastAsia="zh-CN"/>
                    </w:rPr>
                    <w:t>锌</w:t>
                  </w:r>
                </w:p>
              </w:tc>
              <w:tc>
                <w:tcPr>
                  <w:tcW w:w="1114" w:type="pct"/>
                  <w:tcBorders>
                    <w:tl2br w:val="nil"/>
                    <w:tr2bl w:val="nil"/>
                  </w:tcBorders>
                  <w:shd w:val="clear" w:color="auto" w:fill="auto"/>
                  <w:vAlign w:val="center"/>
                </w:tcPr>
                <w:p w14:paraId="1A0D6410">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67F6ACC4">
                  <w:pPr>
                    <w:pStyle w:val="22"/>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2F2667FF">
                  <w:pPr>
                    <w:pStyle w:val="22"/>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67D54253">
                  <w:pPr>
                    <w:pStyle w:val="22"/>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7FA5A4B0">
                  <w:pPr>
                    <w:pStyle w:val="22"/>
                    <w:bidi w:val="0"/>
                    <w:rPr>
                      <w:rFonts w:hint="default"/>
                      <w:color w:val="auto"/>
                    </w:rPr>
                  </w:pPr>
                  <w:r>
                    <w:rPr>
                      <w:rFonts w:hint="default"/>
                      <w:color w:val="auto"/>
                      <w:lang w:val="en-US" w:eastAsia="zh-CN"/>
                    </w:rPr>
                    <w:t>≤1.0</w:t>
                  </w:r>
                </w:p>
              </w:tc>
            </w:tr>
            <w:tr w14:paraId="00867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B0E528E">
                  <w:pPr>
                    <w:pStyle w:val="22"/>
                    <w:bidi w:val="0"/>
                    <w:rPr>
                      <w:rFonts w:hint="default"/>
                      <w:color w:val="auto"/>
                    </w:rPr>
                  </w:pPr>
                </w:p>
              </w:tc>
              <w:tc>
                <w:tcPr>
                  <w:tcW w:w="1114" w:type="pct"/>
                  <w:tcBorders>
                    <w:tl2br w:val="nil"/>
                    <w:tr2bl w:val="nil"/>
                  </w:tcBorders>
                  <w:shd w:val="clear" w:color="auto" w:fill="auto"/>
                  <w:vAlign w:val="center"/>
                </w:tcPr>
                <w:p w14:paraId="79B8DCFF">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7B9E5BED">
                  <w:pPr>
                    <w:pStyle w:val="22"/>
                    <w:bidi w:val="0"/>
                    <w:rPr>
                      <w:rFonts w:hint="default"/>
                      <w:color w:val="auto"/>
                    </w:rPr>
                  </w:pPr>
                  <w:r>
                    <w:rPr>
                      <w:rFonts w:hint="default"/>
                      <w:color w:val="auto"/>
                      <w:lang w:val="en-US" w:eastAsia="zh-CN"/>
                    </w:rPr>
                    <w:t>0.025</w:t>
                  </w:r>
                </w:p>
              </w:tc>
              <w:tc>
                <w:tcPr>
                  <w:tcW w:w="643" w:type="pct"/>
                  <w:tcBorders>
                    <w:tl2br w:val="nil"/>
                    <w:tr2bl w:val="nil"/>
                  </w:tcBorders>
                  <w:shd w:val="clear" w:color="auto" w:fill="auto"/>
                  <w:vAlign w:val="center"/>
                </w:tcPr>
                <w:p w14:paraId="73B69A4C">
                  <w:pPr>
                    <w:pStyle w:val="22"/>
                    <w:bidi w:val="0"/>
                    <w:rPr>
                      <w:rFonts w:hint="default"/>
                      <w:color w:val="auto"/>
                    </w:rPr>
                  </w:pPr>
                  <w:r>
                    <w:rPr>
                      <w:rFonts w:hint="default"/>
                      <w:color w:val="auto"/>
                      <w:lang w:val="en-US" w:eastAsia="zh-CN"/>
                    </w:rPr>
                    <w:t>0.025</w:t>
                  </w:r>
                </w:p>
              </w:tc>
              <w:tc>
                <w:tcPr>
                  <w:tcW w:w="664" w:type="pct"/>
                  <w:tcBorders>
                    <w:tl2br w:val="nil"/>
                    <w:tr2bl w:val="nil"/>
                  </w:tcBorders>
                  <w:shd w:val="clear" w:color="auto" w:fill="auto"/>
                  <w:vAlign w:val="center"/>
                </w:tcPr>
                <w:p w14:paraId="3202F91E">
                  <w:pPr>
                    <w:pStyle w:val="22"/>
                    <w:bidi w:val="0"/>
                    <w:rPr>
                      <w:rFonts w:hint="default"/>
                      <w:color w:val="auto"/>
                    </w:rPr>
                  </w:pPr>
                  <w:r>
                    <w:rPr>
                      <w:rFonts w:hint="default"/>
                      <w:color w:val="auto"/>
                      <w:lang w:val="en-US" w:eastAsia="zh-CN"/>
                    </w:rPr>
                    <w:t>0.025</w:t>
                  </w:r>
                </w:p>
              </w:tc>
              <w:tc>
                <w:tcPr>
                  <w:tcW w:w="641" w:type="pct"/>
                  <w:vMerge w:val="continue"/>
                  <w:tcBorders>
                    <w:tl2br w:val="nil"/>
                    <w:tr2bl w:val="nil"/>
                  </w:tcBorders>
                  <w:shd w:val="clear" w:color="auto" w:fill="auto"/>
                  <w:vAlign w:val="center"/>
                </w:tcPr>
                <w:p w14:paraId="567D169D">
                  <w:pPr>
                    <w:pStyle w:val="22"/>
                    <w:bidi w:val="0"/>
                    <w:rPr>
                      <w:rFonts w:hint="default"/>
                      <w:color w:val="auto"/>
                    </w:rPr>
                  </w:pPr>
                </w:p>
              </w:tc>
            </w:tr>
            <w:tr w14:paraId="3FC93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486C0CAD">
                  <w:pPr>
                    <w:pStyle w:val="22"/>
                    <w:bidi w:val="0"/>
                    <w:rPr>
                      <w:rFonts w:hint="default"/>
                      <w:color w:val="auto"/>
                    </w:rPr>
                  </w:pPr>
                </w:p>
              </w:tc>
              <w:tc>
                <w:tcPr>
                  <w:tcW w:w="1114" w:type="pct"/>
                  <w:tcBorders>
                    <w:tl2br w:val="nil"/>
                    <w:tr2bl w:val="nil"/>
                  </w:tcBorders>
                  <w:shd w:val="clear" w:color="auto" w:fill="auto"/>
                  <w:vAlign w:val="center"/>
                </w:tcPr>
                <w:p w14:paraId="57E77CBC">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1BCAC364">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11ED79B2">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5542DA62">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4AF81E50">
                  <w:pPr>
                    <w:pStyle w:val="22"/>
                    <w:bidi w:val="0"/>
                    <w:rPr>
                      <w:rFonts w:hint="default"/>
                      <w:color w:val="auto"/>
                    </w:rPr>
                  </w:pPr>
                </w:p>
              </w:tc>
            </w:tr>
            <w:tr w14:paraId="4B124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58687303">
                  <w:pPr>
                    <w:pStyle w:val="22"/>
                    <w:bidi w:val="0"/>
                    <w:rPr>
                      <w:rFonts w:hint="default"/>
                      <w:color w:val="auto"/>
                    </w:rPr>
                  </w:pPr>
                  <w:r>
                    <w:rPr>
                      <w:rFonts w:hint="default"/>
                      <w:color w:val="auto"/>
                      <w:lang w:val="en-US" w:eastAsia="zh-CN"/>
                    </w:rPr>
                    <w:t>硫酸盐</w:t>
                  </w:r>
                </w:p>
              </w:tc>
              <w:tc>
                <w:tcPr>
                  <w:tcW w:w="1114" w:type="pct"/>
                  <w:tcBorders>
                    <w:tl2br w:val="nil"/>
                    <w:tr2bl w:val="nil"/>
                  </w:tcBorders>
                  <w:shd w:val="clear" w:color="auto" w:fill="auto"/>
                  <w:vAlign w:val="center"/>
                </w:tcPr>
                <w:p w14:paraId="4CEC5ED4">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08E27428">
                  <w:pPr>
                    <w:pStyle w:val="22"/>
                    <w:bidi w:val="0"/>
                    <w:rPr>
                      <w:rFonts w:hint="default"/>
                      <w:color w:val="auto"/>
                    </w:rPr>
                  </w:pPr>
                  <w:r>
                    <w:rPr>
                      <w:rFonts w:hint="default"/>
                      <w:color w:val="auto"/>
                      <w:lang w:val="en-US" w:eastAsia="zh-CN"/>
                    </w:rPr>
                    <w:t>56.6</w:t>
                  </w:r>
                </w:p>
              </w:tc>
              <w:tc>
                <w:tcPr>
                  <w:tcW w:w="643" w:type="pct"/>
                  <w:tcBorders>
                    <w:tl2br w:val="nil"/>
                    <w:tr2bl w:val="nil"/>
                  </w:tcBorders>
                  <w:shd w:val="clear" w:color="auto" w:fill="auto"/>
                  <w:vAlign w:val="center"/>
                </w:tcPr>
                <w:p w14:paraId="5A1B4E49">
                  <w:pPr>
                    <w:pStyle w:val="22"/>
                    <w:bidi w:val="0"/>
                    <w:rPr>
                      <w:rFonts w:hint="default"/>
                      <w:color w:val="auto"/>
                    </w:rPr>
                  </w:pPr>
                  <w:r>
                    <w:rPr>
                      <w:rFonts w:hint="default"/>
                      <w:color w:val="auto"/>
                      <w:lang w:val="en-US" w:eastAsia="zh-CN"/>
                    </w:rPr>
                    <w:t>58.8</w:t>
                  </w:r>
                </w:p>
              </w:tc>
              <w:tc>
                <w:tcPr>
                  <w:tcW w:w="664" w:type="pct"/>
                  <w:tcBorders>
                    <w:tl2br w:val="nil"/>
                    <w:tr2bl w:val="nil"/>
                  </w:tcBorders>
                  <w:shd w:val="clear" w:color="auto" w:fill="auto"/>
                  <w:vAlign w:val="center"/>
                </w:tcPr>
                <w:p w14:paraId="7EB08CC5">
                  <w:pPr>
                    <w:pStyle w:val="22"/>
                    <w:bidi w:val="0"/>
                    <w:rPr>
                      <w:rFonts w:hint="default"/>
                      <w:color w:val="auto"/>
                    </w:rPr>
                  </w:pPr>
                  <w:r>
                    <w:rPr>
                      <w:rFonts w:hint="default"/>
                      <w:color w:val="auto"/>
                      <w:lang w:val="en-US" w:eastAsia="zh-CN"/>
                    </w:rPr>
                    <w:t>55.9</w:t>
                  </w:r>
                </w:p>
              </w:tc>
              <w:tc>
                <w:tcPr>
                  <w:tcW w:w="641" w:type="pct"/>
                  <w:vMerge w:val="restart"/>
                  <w:tcBorders>
                    <w:tl2br w:val="nil"/>
                    <w:tr2bl w:val="nil"/>
                  </w:tcBorders>
                  <w:shd w:val="clear" w:color="auto" w:fill="auto"/>
                  <w:vAlign w:val="center"/>
                </w:tcPr>
                <w:p w14:paraId="3ACB02D9">
                  <w:pPr>
                    <w:pStyle w:val="22"/>
                    <w:bidi w:val="0"/>
                    <w:rPr>
                      <w:rFonts w:hint="default"/>
                      <w:color w:val="auto"/>
                    </w:rPr>
                  </w:pPr>
                  <w:r>
                    <w:rPr>
                      <w:rFonts w:hint="default"/>
                      <w:color w:val="auto"/>
                      <w:lang w:val="en-US" w:eastAsia="zh-CN"/>
                    </w:rPr>
                    <w:t>≤250</w:t>
                  </w:r>
                </w:p>
              </w:tc>
            </w:tr>
            <w:tr w14:paraId="5047A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1483A8C5">
                  <w:pPr>
                    <w:pStyle w:val="22"/>
                    <w:bidi w:val="0"/>
                    <w:rPr>
                      <w:rFonts w:hint="default"/>
                      <w:color w:val="auto"/>
                    </w:rPr>
                  </w:pPr>
                </w:p>
              </w:tc>
              <w:tc>
                <w:tcPr>
                  <w:tcW w:w="1114" w:type="pct"/>
                  <w:tcBorders>
                    <w:tl2br w:val="nil"/>
                    <w:tr2bl w:val="nil"/>
                  </w:tcBorders>
                  <w:shd w:val="clear" w:color="auto" w:fill="auto"/>
                  <w:vAlign w:val="center"/>
                </w:tcPr>
                <w:p w14:paraId="529F2023">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0C5CD315">
                  <w:pPr>
                    <w:pStyle w:val="22"/>
                    <w:bidi w:val="0"/>
                    <w:rPr>
                      <w:rFonts w:hint="default"/>
                      <w:color w:val="auto"/>
                    </w:rPr>
                  </w:pPr>
                  <w:r>
                    <w:rPr>
                      <w:rFonts w:hint="default"/>
                      <w:color w:val="auto"/>
                      <w:lang w:val="en-US" w:eastAsia="zh-CN"/>
                    </w:rPr>
                    <w:t>0.226</w:t>
                  </w:r>
                </w:p>
              </w:tc>
              <w:tc>
                <w:tcPr>
                  <w:tcW w:w="643" w:type="pct"/>
                  <w:tcBorders>
                    <w:tl2br w:val="nil"/>
                    <w:tr2bl w:val="nil"/>
                  </w:tcBorders>
                  <w:shd w:val="clear" w:color="auto" w:fill="auto"/>
                  <w:vAlign w:val="center"/>
                </w:tcPr>
                <w:p w14:paraId="6FC28153">
                  <w:pPr>
                    <w:pStyle w:val="22"/>
                    <w:bidi w:val="0"/>
                    <w:rPr>
                      <w:rFonts w:hint="default"/>
                      <w:color w:val="auto"/>
                    </w:rPr>
                  </w:pPr>
                  <w:r>
                    <w:rPr>
                      <w:rFonts w:hint="default"/>
                      <w:color w:val="auto"/>
                      <w:lang w:val="en-US" w:eastAsia="zh-CN"/>
                    </w:rPr>
                    <w:t>0.235</w:t>
                  </w:r>
                </w:p>
              </w:tc>
              <w:tc>
                <w:tcPr>
                  <w:tcW w:w="664" w:type="pct"/>
                  <w:tcBorders>
                    <w:tl2br w:val="nil"/>
                    <w:tr2bl w:val="nil"/>
                  </w:tcBorders>
                  <w:shd w:val="clear" w:color="auto" w:fill="auto"/>
                  <w:vAlign w:val="center"/>
                </w:tcPr>
                <w:p w14:paraId="67D9B2BD">
                  <w:pPr>
                    <w:pStyle w:val="22"/>
                    <w:bidi w:val="0"/>
                    <w:rPr>
                      <w:rFonts w:hint="default"/>
                      <w:color w:val="auto"/>
                    </w:rPr>
                  </w:pPr>
                  <w:r>
                    <w:rPr>
                      <w:rFonts w:hint="default"/>
                      <w:color w:val="auto"/>
                      <w:lang w:val="en-US" w:eastAsia="zh-CN"/>
                    </w:rPr>
                    <w:t>0.224</w:t>
                  </w:r>
                </w:p>
              </w:tc>
              <w:tc>
                <w:tcPr>
                  <w:tcW w:w="641" w:type="pct"/>
                  <w:vMerge w:val="continue"/>
                  <w:tcBorders>
                    <w:tl2br w:val="nil"/>
                    <w:tr2bl w:val="nil"/>
                  </w:tcBorders>
                  <w:shd w:val="clear" w:color="auto" w:fill="auto"/>
                  <w:vAlign w:val="center"/>
                </w:tcPr>
                <w:p w14:paraId="2F6204B5">
                  <w:pPr>
                    <w:pStyle w:val="22"/>
                    <w:bidi w:val="0"/>
                    <w:rPr>
                      <w:rFonts w:hint="default"/>
                      <w:color w:val="auto"/>
                    </w:rPr>
                  </w:pPr>
                </w:p>
              </w:tc>
            </w:tr>
            <w:tr w14:paraId="7E1FF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D2819DE">
                  <w:pPr>
                    <w:pStyle w:val="22"/>
                    <w:bidi w:val="0"/>
                    <w:rPr>
                      <w:rFonts w:hint="default"/>
                      <w:color w:val="auto"/>
                    </w:rPr>
                  </w:pPr>
                </w:p>
              </w:tc>
              <w:tc>
                <w:tcPr>
                  <w:tcW w:w="1114" w:type="pct"/>
                  <w:tcBorders>
                    <w:tl2br w:val="nil"/>
                    <w:tr2bl w:val="nil"/>
                  </w:tcBorders>
                  <w:shd w:val="clear" w:color="auto" w:fill="auto"/>
                  <w:vAlign w:val="center"/>
                </w:tcPr>
                <w:p w14:paraId="54954974">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487CFCF5">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609F7F42">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032EFDC2">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3F3087AD">
                  <w:pPr>
                    <w:pStyle w:val="22"/>
                    <w:bidi w:val="0"/>
                    <w:rPr>
                      <w:rFonts w:hint="default"/>
                      <w:color w:val="auto"/>
                    </w:rPr>
                  </w:pPr>
                </w:p>
              </w:tc>
            </w:tr>
            <w:tr w14:paraId="4C6A5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0E4D0B11">
                  <w:pPr>
                    <w:pStyle w:val="22"/>
                    <w:bidi w:val="0"/>
                    <w:rPr>
                      <w:rFonts w:hint="default"/>
                      <w:color w:val="auto"/>
                    </w:rPr>
                  </w:pPr>
                  <w:r>
                    <w:rPr>
                      <w:rFonts w:hint="default"/>
                      <w:color w:val="auto"/>
                      <w:lang w:val="en-US" w:eastAsia="zh-CN"/>
                    </w:rPr>
                    <w:t>氰化物</w:t>
                  </w:r>
                </w:p>
              </w:tc>
              <w:tc>
                <w:tcPr>
                  <w:tcW w:w="1114" w:type="pct"/>
                  <w:tcBorders>
                    <w:tl2br w:val="nil"/>
                    <w:tr2bl w:val="nil"/>
                  </w:tcBorders>
                  <w:shd w:val="clear" w:color="auto" w:fill="auto"/>
                  <w:vAlign w:val="center"/>
                </w:tcPr>
                <w:p w14:paraId="1E060994">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077D37DE">
                  <w:pPr>
                    <w:pStyle w:val="22"/>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45D67044">
                  <w:pPr>
                    <w:pStyle w:val="22"/>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0B239435">
                  <w:pPr>
                    <w:pStyle w:val="22"/>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2045D2B4">
                  <w:pPr>
                    <w:pStyle w:val="22"/>
                    <w:bidi w:val="0"/>
                    <w:rPr>
                      <w:rFonts w:hint="default"/>
                      <w:color w:val="auto"/>
                    </w:rPr>
                  </w:pPr>
                  <w:r>
                    <w:rPr>
                      <w:rFonts w:hint="default"/>
                      <w:color w:val="auto"/>
                      <w:lang w:val="en-US" w:eastAsia="zh-CN"/>
                    </w:rPr>
                    <w:t>≤0.2</w:t>
                  </w:r>
                </w:p>
              </w:tc>
            </w:tr>
            <w:tr w14:paraId="346F1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6A95446">
                  <w:pPr>
                    <w:pStyle w:val="22"/>
                    <w:bidi w:val="0"/>
                    <w:rPr>
                      <w:rFonts w:hint="default"/>
                      <w:color w:val="auto"/>
                    </w:rPr>
                  </w:pPr>
                </w:p>
              </w:tc>
              <w:tc>
                <w:tcPr>
                  <w:tcW w:w="1114" w:type="pct"/>
                  <w:tcBorders>
                    <w:tl2br w:val="nil"/>
                    <w:tr2bl w:val="nil"/>
                  </w:tcBorders>
                  <w:shd w:val="clear" w:color="auto" w:fill="auto"/>
                  <w:vAlign w:val="center"/>
                </w:tcPr>
                <w:p w14:paraId="4F08C9D0">
                  <w:pPr>
                    <w:pStyle w:val="22"/>
                    <w:bidi w:val="0"/>
                    <w:rPr>
                      <w:rFonts w:hint="default"/>
                      <w:color w:val="auto"/>
                    </w:rPr>
                  </w:pPr>
                  <w:r>
                    <w:rPr>
                      <w:rFonts w:hint="default"/>
                      <w:color w:val="auto"/>
                      <w:lang w:val="en-US" w:eastAsia="zh-CN"/>
                    </w:rPr>
                    <w:t>单因子指数</w:t>
                  </w:r>
                </w:p>
              </w:tc>
              <w:tc>
                <w:tcPr>
                  <w:tcW w:w="641" w:type="pct"/>
                  <w:tcBorders>
                    <w:tl2br w:val="nil"/>
                    <w:tr2bl w:val="nil"/>
                  </w:tcBorders>
                  <w:shd w:val="clear" w:color="auto" w:fill="auto"/>
                  <w:vAlign w:val="center"/>
                </w:tcPr>
                <w:p w14:paraId="519BB9B3">
                  <w:pPr>
                    <w:pStyle w:val="22"/>
                    <w:bidi w:val="0"/>
                    <w:rPr>
                      <w:rFonts w:hint="default"/>
                      <w:color w:val="auto"/>
                    </w:rPr>
                  </w:pPr>
                  <w:r>
                    <w:rPr>
                      <w:rFonts w:hint="default"/>
                      <w:color w:val="auto"/>
                      <w:lang w:val="en-US" w:eastAsia="zh-CN"/>
                    </w:rPr>
                    <w:t>0.1</w:t>
                  </w:r>
                </w:p>
              </w:tc>
              <w:tc>
                <w:tcPr>
                  <w:tcW w:w="643" w:type="pct"/>
                  <w:tcBorders>
                    <w:tl2br w:val="nil"/>
                    <w:tr2bl w:val="nil"/>
                  </w:tcBorders>
                  <w:shd w:val="clear" w:color="auto" w:fill="auto"/>
                  <w:vAlign w:val="center"/>
                </w:tcPr>
                <w:p w14:paraId="0B9BC733">
                  <w:pPr>
                    <w:pStyle w:val="22"/>
                    <w:bidi w:val="0"/>
                    <w:rPr>
                      <w:rFonts w:hint="default"/>
                      <w:color w:val="auto"/>
                    </w:rPr>
                  </w:pPr>
                  <w:r>
                    <w:rPr>
                      <w:rFonts w:hint="default"/>
                      <w:color w:val="auto"/>
                      <w:lang w:val="en-US" w:eastAsia="zh-CN"/>
                    </w:rPr>
                    <w:t>0.1</w:t>
                  </w:r>
                </w:p>
              </w:tc>
              <w:tc>
                <w:tcPr>
                  <w:tcW w:w="664" w:type="pct"/>
                  <w:tcBorders>
                    <w:tl2br w:val="nil"/>
                    <w:tr2bl w:val="nil"/>
                  </w:tcBorders>
                  <w:shd w:val="clear" w:color="auto" w:fill="auto"/>
                  <w:vAlign w:val="center"/>
                </w:tcPr>
                <w:p w14:paraId="50D26640">
                  <w:pPr>
                    <w:pStyle w:val="22"/>
                    <w:bidi w:val="0"/>
                    <w:rPr>
                      <w:rFonts w:hint="default"/>
                      <w:color w:val="auto"/>
                    </w:rPr>
                  </w:pPr>
                  <w:r>
                    <w:rPr>
                      <w:rFonts w:hint="default"/>
                      <w:color w:val="auto"/>
                      <w:lang w:val="en-US" w:eastAsia="zh-CN"/>
                    </w:rPr>
                    <w:t>0.1</w:t>
                  </w:r>
                </w:p>
              </w:tc>
              <w:tc>
                <w:tcPr>
                  <w:tcW w:w="641" w:type="pct"/>
                  <w:vMerge w:val="continue"/>
                  <w:tcBorders>
                    <w:tl2br w:val="nil"/>
                    <w:tr2bl w:val="nil"/>
                  </w:tcBorders>
                  <w:shd w:val="clear" w:color="auto" w:fill="auto"/>
                  <w:vAlign w:val="center"/>
                </w:tcPr>
                <w:p w14:paraId="2E1BD0FB">
                  <w:pPr>
                    <w:pStyle w:val="22"/>
                    <w:bidi w:val="0"/>
                    <w:rPr>
                      <w:rFonts w:hint="default"/>
                      <w:color w:val="auto"/>
                    </w:rPr>
                  </w:pPr>
                </w:p>
              </w:tc>
            </w:tr>
            <w:tr w14:paraId="3D930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16DE79A">
                  <w:pPr>
                    <w:pStyle w:val="22"/>
                    <w:bidi w:val="0"/>
                    <w:rPr>
                      <w:rFonts w:hint="default"/>
                      <w:color w:val="auto"/>
                    </w:rPr>
                  </w:pPr>
                </w:p>
              </w:tc>
              <w:tc>
                <w:tcPr>
                  <w:tcW w:w="1114" w:type="pct"/>
                  <w:tcBorders>
                    <w:tl2br w:val="nil"/>
                    <w:tr2bl w:val="nil"/>
                  </w:tcBorders>
                  <w:shd w:val="clear" w:color="auto" w:fill="auto"/>
                  <w:vAlign w:val="center"/>
                </w:tcPr>
                <w:p w14:paraId="16720DAB">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2DA6D8F7">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4A64E24E">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76B3D076">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11BAA17F">
                  <w:pPr>
                    <w:pStyle w:val="22"/>
                    <w:bidi w:val="0"/>
                    <w:rPr>
                      <w:rFonts w:hint="default"/>
                      <w:color w:val="auto"/>
                    </w:rPr>
                  </w:pPr>
                </w:p>
              </w:tc>
            </w:tr>
            <w:tr w14:paraId="3BA59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26AF65BA">
                  <w:pPr>
                    <w:pStyle w:val="22"/>
                    <w:bidi w:val="0"/>
                    <w:rPr>
                      <w:rFonts w:hint="default"/>
                      <w:color w:val="auto"/>
                    </w:rPr>
                  </w:pPr>
                  <w:r>
                    <w:rPr>
                      <w:rFonts w:hint="default"/>
                      <w:color w:val="auto"/>
                      <w:lang w:val="en-US" w:eastAsia="zh-CN"/>
                    </w:rPr>
                    <w:t>苯</w:t>
                  </w:r>
                </w:p>
              </w:tc>
              <w:tc>
                <w:tcPr>
                  <w:tcW w:w="1114" w:type="pct"/>
                  <w:tcBorders>
                    <w:tl2br w:val="nil"/>
                    <w:tr2bl w:val="nil"/>
                  </w:tcBorders>
                  <w:shd w:val="clear" w:color="auto" w:fill="auto"/>
                  <w:vAlign w:val="center"/>
                </w:tcPr>
                <w:p w14:paraId="49D86048">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240ADB2B">
                  <w:pPr>
                    <w:pStyle w:val="22"/>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742863DB">
                  <w:pPr>
                    <w:pStyle w:val="22"/>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3C540C07">
                  <w:pPr>
                    <w:pStyle w:val="22"/>
                    <w:bidi w:val="0"/>
                    <w:rPr>
                      <w:rFonts w:hint="default"/>
                      <w:color w:val="auto"/>
                    </w:rPr>
                  </w:pPr>
                  <w:r>
                    <w:rPr>
                      <w:rFonts w:hint="default"/>
                      <w:color w:val="auto"/>
                      <w:lang w:val="en-US" w:eastAsia="zh-CN"/>
                    </w:rPr>
                    <w:t>ND</w:t>
                  </w:r>
                </w:p>
              </w:tc>
              <w:tc>
                <w:tcPr>
                  <w:tcW w:w="641" w:type="pct"/>
                  <w:tcBorders>
                    <w:tl2br w:val="nil"/>
                    <w:tr2bl w:val="nil"/>
                  </w:tcBorders>
                  <w:shd w:val="clear" w:color="auto" w:fill="auto"/>
                  <w:vAlign w:val="center"/>
                </w:tcPr>
                <w:p w14:paraId="26894A54">
                  <w:pPr>
                    <w:pStyle w:val="22"/>
                    <w:bidi w:val="0"/>
                    <w:rPr>
                      <w:rFonts w:hint="default"/>
                      <w:color w:val="auto"/>
                    </w:rPr>
                  </w:pPr>
                  <w:r>
                    <w:rPr>
                      <w:rFonts w:hint="default"/>
                      <w:color w:val="auto"/>
                      <w:lang w:val="en-US" w:eastAsia="zh-CN"/>
                    </w:rPr>
                    <w:t>/</w:t>
                  </w:r>
                </w:p>
              </w:tc>
            </w:tr>
            <w:tr w14:paraId="36D4E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411E9AFA">
                  <w:pPr>
                    <w:pStyle w:val="22"/>
                    <w:bidi w:val="0"/>
                    <w:rPr>
                      <w:rFonts w:hint="default"/>
                      <w:color w:val="auto"/>
                    </w:rPr>
                  </w:pPr>
                </w:p>
              </w:tc>
              <w:tc>
                <w:tcPr>
                  <w:tcW w:w="1114" w:type="pct"/>
                  <w:tcBorders>
                    <w:tl2br w:val="nil"/>
                    <w:tr2bl w:val="nil"/>
                  </w:tcBorders>
                  <w:shd w:val="clear" w:color="auto" w:fill="auto"/>
                  <w:vAlign w:val="center"/>
                </w:tcPr>
                <w:p w14:paraId="092D7E42">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642ED587">
                  <w:pPr>
                    <w:pStyle w:val="22"/>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506847EE">
                  <w:pPr>
                    <w:pStyle w:val="22"/>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79A1F6A6">
                  <w:pPr>
                    <w:pStyle w:val="22"/>
                    <w:bidi w:val="0"/>
                    <w:rPr>
                      <w:rFonts w:hint="default"/>
                      <w:color w:val="auto"/>
                    </w:rPr>
                  </w:pPr>
                  <w:r>
                    <w:rPr>
                      <w:rFonts w:hint="default"/>
                      <w:color w:val="auto"/>
                      <w:lang w:val="en-US" w:eastAsia="zh-CN"/>
                    </w:rPr>
                    <w:t>/</w:t>
                  </w:r>
                </w:p>
              </w:tc>
              <w:tc>
                <w:tcPr>
                  <w:tcW w:w="641" w:type="pct"/>
                  <w:vMerge w:val="restart"/>
                  <w:tcBorders>
                    <w:tl2br w:val="nil"/>
                    <w:tr2bl w:val="nil"/>
                  </w:tcBorders>
                  <w:shd w:val="clear" w:color="auto" w:fill="auto"/>
                  <w:vAlign w:val="center"/>
                </w:tcPr>
                <w:p w14:paraId="20DD95C1">
                  <w:pPr>
                    <w:pStyle w:val="22"/>
                    <w:bidi w:val="0"/>
                    <w:rPr>
                      <w:rFonts w:hint="default"/>
                      <w:color w:val="auto"/>
                    </w:rPr>
                  </w:pPr>
                </w:p>
              </w:tc>
            </w:tr>
            <w:tr w14:paraId="23A51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A1403F7">
                  <w:pPr>
                    <w:pStyle w:val="22"/>
                    <w:bidi w:val="0"/>
                    <w:rPr>
                      <w:rFonts w:hint="default"/>
                      <w:color w:val="auto"/>
                    </w:rPr>
                  </w:pPr>
                </w:p>
              </w:tc>
              <w:tc>
                <w:tcPr>
                  <w:tcW w:w="1114" w:type="pct"/>
                  <w:tcBorders>
                    <w:tl2br w:val="nil"/>
                    <w:tr2bl w:val="nil"/>
                  </w:tcBorders>
                  <w:shd w:val="clear" w:color="auto" w:fill="auto"/>
                  <w:vAlign w:val="center"/>
                </w:tcPr>
                <w:p w14:paraId="01D9981A">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37AB586D">
                  <w:pPr>
                    <w:pStyle w:val="22"/>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18758976">
                  <w:pPr>
                    <w:pStyle w:val="22"/>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099A0A4D">
                  <w:pPr>
                    <w:pStyle w:val="22"/>
                    <w:bidi w:val="0"/>
                    <w:rPr>
                      <w:rFonts w:hint="default"/>
                      <w:color w:val="auto"/>
                    </w:rPr>
                  </w:pPr>
                  <w:r>
                    <w:rPr>
                      <w:rFonts w:hint="default"/>
                      <w:color w:val="auto"/>
                      <w:lang w:val="en-US" w:eastAsia="zh-CN"/>
                    </w:rPr>
                    <w:t>/</w:t>
                  </w:r>
                </w:p>
              </w:tc>
              <w:tc>
                <w:tcPr>
                  <w:tcW w:w="641" w:type="pct"/>
                  <w:vMerge w:val="continue"/>
                  <w:tcBorders>
                    <w:tl2br w:val="nil"/>
                    <w:tr2bl w:val="nil"/>
                  </w:tcBorders>
                  <w:shd w:val="clear" w:color="auto" w:fill="auto"/>
                  <w:vAlign w:val="center"/>
                </w:tcPr>
                <w:p w14:paraId="01962916">
                  <w:pPr>
                    <w:pStyle w:val="22"/>
                    <w:bidi w:val="0"/>
                    <w:rPr>
                      <w:rFonts w:hint="default"/>
                      <w:color w:val="auto"/>
                    </w:rPr>
                  </w:pPr>
                </w:p>
              </w:tc>
            </w:tr>
            <w:tr w14:paraId="4D2D0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46139C89">
                  <w:pPr>
                    <w:pStyle w:val="22"/>
                    <w:bidi w:val="0"/>
                    <w:rPr>
                      <w:rFonts w:hint="default"/>
                      <w:color w:val="auto"/>
                    </w:rPr>
                  </w:pPr>
                  <w:r>
                    <w:rPr>
                      <w:rFonts w:hint="default"/>
                      <w:color w:val="auto"/>
                      <w:lang w:val="en-US" w:eastAsia="zh-CN"/>
                    </w:rPr>
                    <w:t>甲苯</w:t>
                  </w:r>
                </w:p>
              </w:tc>
              <w:tc>
                <w:tcPr>
                  <w:tcW w:w="1114" w:type="pct"/>
                  <w:tcBorders>
                    <w:tl2br w:val="nil"/>
                    <w:tr2bl w:val="nil"/>
                  </w:tcBorders>
                  <w:shd w:val="clear" w:color="auto" w:fill="auto"/>
                  <w:vAlign w:val="center"/>
                </w:tcPr>
                <w:p w14:paraId="20F6011C">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39D32D92">
                  <w:pPr>
                    <w:pStyle w:val="22"/>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169981BF">
                  <w:pPr>
                    <w:pStyle w:val="22"/>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5B4DF81E">
                  <w:pPr>
                    <w:pStyle w:val="22"/>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10EFB5EF">
                  <w:pPr>
                    <w:pStyle w:val="22"/>
                    <w:bidi w:val="0"/>
                    <w:rPr>
                      <w:rFonts w:hint="default"/>
                      <w:color w:val="auto"/>
                    </w:rPr>
                  </w:pPr>
                  <w:r>
                    <w:rPr>
                      <w:rFonts w:hint="default"/>
                      <w:color w:val="auto"/>
                      <w:lang w:val="en-US" w:eastAsia="zh-CN"/>
                    </w:rPr>
                    <w:t>/</w:t>
                  </w:r>
                </w:p>
              </w:tc>
            </w:tr>
            <w:tr w14:paraId="46BCF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7CACE01">
                  <w:pPr>
                    <w:pStyle w:val="22"/>
                    <w:bidi w:val="0"/>
                    <w:rPr>
                      <w:rFonts w:hint="default"/>
                      <w:color w:val="auto"/>
                    </w:rPr>
                  </w:pPr>
                </w:p>
              </w:tc>
              <w:tc>
                <w:tcPr>
                  <w:tcW w:w="1114" w:type="pct"/>
                  <w:tcBorders>
                    <w:tl2br w:val="nil"/>
                    <w:tr2bl w:val="nil"/>
                  </w:tcBorders>
                  <w:shd w:val="clear" w:color="auto" w:fill="auto"/>
                  <w:vAlign w:val="center"/>
                </w:tcPr>
                <w:p w14:paraId="2B7D34E4">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4DD8B933">
                  <w:pPr>
                    <w:pStyle w:val="22"/>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589EC7E3">
                  <w:pPr>
                    <w:pStyle w:val="22"/>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45AB016D">
                  <w:pPr>
                    <w:pStyle w:val="22"/>
                    <w:bidi w:val="0"/>
                    <w:rPr>
                      <w:rFonts w:hint="default"/>
                      <w:color w:val="auto"/>
                    </w:rPr>
                  </w:pPr>
                  <w:r>
                    <w:rPr>
                      <w:rFonts w:hint="default"/>
                      <w:color w:val="auto"/>
                      <w:lang w:val="en-US" w:eastAsia="zh-CN"/>
                    </w:rPr>
                    <w:t>/</w:t>
                  </w:r>
                </w:p>
              </w:tc>
              <w:tc>
                <w:tcPr>
                  <w:tcW w:w="641" w:type="pct"/>
                  <w:vMerge w:val="continue"/>
                  <w:tcBorders>
                    <w:tl2br w:val="nil"/>
                    <w:tr2bl w:val="nil"/>
                  </w:tcBorders>
                  <w:shd w:val="clear" w:color="auto" w:fill="auto"/>
                  <w:vAlign w:val="center"/>
                </w:tcPr>
                <w:p w14:paraId="5CA0EADA">
                  <w:pPr>
                    <w:pStyle w:val="22"/>
                    <w:bidi w:val="0"/>
                    <w:rPr>
                      <w:rFonts w:hint="default"/>
                      <w:color w:val="auto"/>
                    </w:rPr>
                  </w:pPr>
                </w:p>
              </w:tc>
            </w:tr>
            <w:tr w14:paraId="1C109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5637CD5">
                  <w:pPr>
                    <w:pStyle w:val="22"/>
                    <w:bidi w:val="0"/>
                    <w:rPr>
                      <w:rFonts w:hint="default"/>
                      <w:color w:val="auto"/>
                    </w:rPr>
                  </w:pPr>
                </w:p>
              </w:tc>
              <w:tc>
                <w:tcPr>
                  <w:tcW w:w="1114" w:type="pct"/>
                  <w:tcBorders>
                    <w:tl2br w:val="nil"/>
                    <w:tr2bl w:val="nil"/>
                  </w:tcBorders>
                  <w:shd w:val="clear" w:color="auto" w:fill="auto"/>
                  <w:vAlign w:val="center"/>
                </w:tcPr>
                <w:p w14:paraId="1161C98A">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7F919D56">
                  <w:pPr>
                    <w:pStyle w:val="22"/>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681C80B4">
                  <w:pPr>
                    <w:pStyle w:val="22"/>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51CCCE7D">
                  <w:pPr>
                    <w:pStyle w:val="22"/>
                    <w:bidi w:val="0"/>
                    <w:rPr>
                      <w:rFonts w:hint="default"/>
                      <w:color w:val="auto"/>
                    </w:rPr>
                  </w:pPr>
                  <w:r>
                    <w:rPr>
                      <w:rFonts w:hint="default"/>
                      <w:color w:val="auto"/>
                      <w:lang w:val="en-US" w:eastAsia="zh-CN"/>
                    </w:rPr>
                    <w:t>/</w:t>
                  </w:r>
                </w:p>
              </w:tc>
              <w:tc>
                <w:tcPr>
                  <w:tcW w:w="641" w:type="pct"/>
                  <w:vMerge w:val="continue"/>
                  <w:tcBorders>
                    <w:tl2br w:val="nil"/>
                    <w:tr2bl w:val="nil"/>
                  </w:tcBorders>
                  <w:shd w:val="clear" w:color="auto" w:fill="auto"/>
                  <w:vAlign w:val="center"/>
                </w:tcPr>
                <w:p w14:paraId="32561269">
                  <w:pPr>
                    <w:pStyle w:val="22"/>
                    <w:bidi w:val="0"/>
                    <w:rPr>
                      <w:rFonts w:hint="default"/>
                      <w:color w:val="auto"/>
                    </w:rPr>
                  </w:pPr>
                </w:p>
              </w:tc>
            </w:tr>
            <w:tr w14:paraId="642E3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5286DA36">
                  <w:pPr>
                    <w:pStyle w:val="22"/>
                    <w:bidi w:val="0"/>
                    <w:rPr>
                      <w:rFonts w:hint="default"/>
                      <w:color w:val="auto"/>
                    </w:rPr>
                  </w:pPr>
                  <w:r>
                    <w:rPr>
                      <w:rFonts w:hint="default"/>
                      <w:color w:val="auto"/>
                      <w:lang w:val="en-US" w:eastAsia="zh-CN"/>
                    </w:rPr>
                    <w:t>二甲苯</w:t>
                  </w:r>
                </w:p>
              </w:tc>
              <w:tc>
                <w:tcPr>
                  <w:tcW w:w="1114" w:type="pct"/>
                  <w:tcBorders>
                    <w:tl2br w:val="nil"/>
                    <w:tr2bl w:val="nil"/>
                  </w:tcBorders>
                  <w:shd w:val="clear" w:color="auto" w:fill="auto"/>
                  <w:vAlign w:val="center"/>
                </w:tcPr>
                <w:p w14:paraId="6AB52B34">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305AA99C">
                  <w:pPr>
                    <w:pStyle w:val="22"/>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7502CB16">
                  <w:pPr>
                    <w:pStyle w:val="22"/>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4C5C6CF7">
                  <w:pPr>
                    <w:pStyle w:val="22"/>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25A2D021">
                  <w:pPr>
                    <w:pStyle w:val="22"/>
                    <w:bidi w:val="0"/>
                    <w:rPr>
                      <w:rFonts w:hint="default"/>
                      <w:color w:val="auto"/>
                    </w:rPr>
                  </w:pPr>
                  <w:r>
                    <w:rPr>
                      <w:rFonts w:hint="default"/>
                      <w:color w:val="auto"/>
                      <w:lang w:val="en-US" w:eastAsia="zh-CN"/>
                    </w:rPr>
                    <w:t>/</w:t>
                  </w:r>
                </w:p>
              </w:tc>
            </w:tr>
            <w:tr w14:paraId="797FB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21E43198">
                  <w:pPr>
                    <w:pStyle w:val="22"/>
                    <w:bidi w:val="0"/>
                    <w:rPr>
                      <w:rFonts w:hint="default"/>
                      <w:color w:val="auto"/>
                    </w:rPr>
                  </w:pPr>
                </w:p>
              </w:tc>
              <w:tc>
                <w:tcPr>
                  <w:tcW w:w="1114" w:type="pct"/>
                  <w:tcBorders>
                    <w:tl2br w:val="nil"/>
                    <w:tr2bl w:val="nil"/>
                  </w:tcBorders>
                  <w:shd w:val="clear" w:color="auto" w:fill="auto"/>
                  <w:vAlign w:val="center"/>
                </w:tcPr>
                <w:p w14:paraId="41BE22FA">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04D79D58">
                  <w:pPr>
                    <w:pStyle w:val="22"/>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643D941D">
                  <w:pPr>
                    <w:pStyle w:val="22"/>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2062212E">
                  <w:pPr>
                    <w:pStyle w:val="22"/>
                    <w:bidi w:val="0"/>
                    <w:rPr>
                      <w:rFonts w:hint="default"/>
                      <w:color w:val="auto"/>
                    </w:rPr>
                  </w:pPr>
                  <w:r>
                    <w:rPr>
                      <w:rFonts w:hint="default"/>
                      <w:color w:val="auto"/>
                      <w:lang w:val="en-US" w:eastAsia="zh-CN"/>
                    </w:rPr>
                    <w:t>/</w:t>
                  </w:r>
                </w:p>
              </w:tc>
              <w:tc>
                <w:tcPr>
                  <w:tcW w:w="641" w:type="pct"/>
                  <w:vMerge w:val="continue"/>
                  <w:tcBorders>
                    <w:tl2br w:val="nil"/>
                    <w:tr2bl w:val="nil"/>
                  </w:tcBorders>
                  <w:shd w:val="clear" w:color="auto" w:fill="auto"/>
                  <w:vAlign w:val="center"/>
                </w:tcPr>
                <w:p w14:paraId="1B095429">
                  <w:pPr>
                    <w:pStyle w:val="22"/>
                    <w:bidi w:val="0"/>
                    <w:rPr>
                      <w:rFonts w:hint="default"/>
                      <w:color w:val="auto"/>
                    </w:rPr>
                  </w:pPr>
                </w:p>
              </w:tc>
            </w:tr>
            <w:tr w14:paraId="4555B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6F20A03C">
                  <w:pPr>
                    <w:pStyle w:val="22"/>
                    <w:bidi w:val="0"/>
                    <w:rPr>
                      <w:rFonts w:hint="default"/>
                      <w:color w:val="auto"/>
                    </w:rPr>
                  </w:pPr>
                </w:p>
              </w:tc>
              <w:tc>
                <w:tcPr>
                  <w:tcW w:w="1114" w:type="pct"/>
                  <w:tcBorders>
                    <w:tl2br w:val="nil"/>
                    <w:tr2bl w:val="nil"/>
                  </w:tcBorders>
                  <w:shd w:val="clear" w:color="auto" w:fill="auto"/>
                  <w:vAlign w:val="center"/>
                </w:tcPr>
                <w:p w14:paraId="2A120351">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2619F22F">
                  <w:pPr>
                    <w:pStyle w:val="22"/>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5A8878FD">
                  <w:pPr>
                    <w:pStyle w:val="22"/>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04335F4E">
                  <w:pPr>
                    <w:pStyle w:val="22"/>
                    <w:bidi w:val="0"/>
                    <w:rPr>
                      <w:rFonts w:hint="default"/>
                      <w:color w:val="auto"/>
                    </w:rPr>
                  </w:pPr>
                  <w:r>
                    <w:rPr>
                      <w:rFonts w:hint="default"/>
                      <w:color w:val="auto"/>
                      <w:lang w:val="en-US" w:eastAsia="zh-CN"/>
                    </w:rPr>
                    <w:t>/</w:t>
                  </w:r>
                </w:p>
              </w:tc>
              <w:tc>
                <w:tcPr>
                  <w:tcW w:w="641" w:type="pct"/>
                  <w:vMerge w:val="continue"/>
                  <w:tcBorders>
                    <w:tl2br w:val="nil"/>
                    <w:tr2bl w:val="nil"/>
                  </w:tcBorders>
                  <w:shd w:val="clear" w:color="auto" w:fill="auto"/>
                  <w:vAlign w:val="center"/>
                </w:tcPr>
                <w:p w14:paraId="596FED0F">
                  <w:pPr>
                    <w:pStyle w:val="22"/>
                    <w:bidi w:val="0"/>
                    <w:rPr>
                      <w:rFonts w:hint="default"/>
                      <w:color w:val="auto"/>
                    </w:rPr>
                  </w:pPr>
                </w:p>
              </w:tc>
            </w:tr>
            <w:tr w14:paraId="6ED05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32E91678">
                  <w:pPr>
                    <w:pStyle w:val="22"/>
                    <w:bidi w:val="0"/>
                    <w:rPr>
                      <w:rFonts w:hint="default"/>
                      <w:color w:val="auto"/>
                    </w:rPr>
                  </w:pPr>
                  <w:r>
                    <w:rPr>
                      <w:rFonts w:hint="default"/>
                      <w:color w:val="auto"/>
                      <w:lang w:val="en-US" w:eastAsia="zh-CN"/>
                    </w:rPr>
                    <w:t>苯乙烯</w:t>
                  </w:r>
                </w:p>
              </w:tc>
              <w:tc>
                <w:tcPr>
                  <w:tcW w:w="1114" w:type="pct"/>
                  <w:tcBorders>
                    <w:tl2br w:val="nil"/>
                    <w:tr2bl w:val="nil"/>
                  </w:tcBorders>
                  <w:shd w:val="clear" w:color="auto" w:fill="auto"/>
                  <w:vAlign w:val="center"/>
                </w:tcPr>
                <w:p w14:paraId="71EBE1A4">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6AFA8005">
                  <w:pPr>
                    <w:pStyle w:val="22"/>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3C4D557C">
                  <w:pPr>
                    <w:pStyle w:val="22"/>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1F041CBD">
                  <w:pPr>
                    <w:pStyle w:val="22"/>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475DED60">
                  <w:pPr>
                    <w:pStyle w:val="22"/>
                    <w:bidi w:val="0"/>
                    <w:rPr>
                      <w:rFonts w:hint="default"/>
                      <w:color w:val="auto"/>
                    </w:rPr>
                  </w:pPr>
                  <w:r>
                    <w:rPr>
                      <w:rFonts w:hint="default"/>
                      <w:color w:val="auto"/>
                      <w:lang w:val="en-US" w:eastAsia="zh-CN"/>
                    </w:rPr>
                    <w:t>/</w:t>
                  </w:r>
                </w:p>
              </w:tc>
            </w:tr>
            <w:tr w14:paraId="25DD5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73F468D">
                  <w:pPr>
                    <w:pStyle w:val="22"/>
                    <w:bidi w:val="0"/>
                    <w:rPr>
                      <w:rFonts w:hint="default"/>
                      <w:color w:val="auto"/>
                    </w:rPr>
                  </w:pPr>
                </w:p>
              </w:tc>
              <w:tc>
                <w:tcPr>
                  <w:tcW w:w="1114" w:type="pct"/>
                  <w:tcBorders>
                    <w:tl2br w:val="nil"/>
                    <w:tr2bl w:val="nil"/>
                  </w:tcBorders>
                  <w:shd w:val="clear" w:color="auto" w:fill="auto"/>
                  <w:vAlign w:val="center"/>
                </w:tcPr>
                <w:p w14:paraId="1231AB0A">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221C2612">
                  <w:pPr>
                    <w:pStyle w:val="22"/>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767F9C3A">
                  <w:pPr>
                    <w:pStyle w:val="22"/>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08950C0F">
                  <w:pPr>
                    <w:pStyle w:val="22"/>
                    <w:bidi w:val="0"/>
                    <w:rPr>
                      <w:rFonts w:hint="default"/>
                      <w:color w:val="auto"/>
                    </w:rPr>
                  </w:pPr>
                  <w:r>
                    <w:rPr>
                      <w:rFonts w:hint="default"/>
                      <w:color w:val="auto"/>
                      <w:lang w:val="en-US" w:eastAsia="zh-CN"/>
                    </w:rPr>
                    <w:t>/</w:t>
                  </w:r>
                </w:p>
              </w:tc>
              <w:tc>
                <w:tcPr>
                  <w:tcW w:w="641" w:type="pct"/>
                  <w:vMerge w:val="continue"/>
                  <w:tcBorders>
                    <w:tl2br w:val="nil"/>
                    <w:tr2bl w:val="nil"/>
                  </w:tcBorders>
                  <w:shd w:val="clear" w:color="auto" w:fill="auto"/>
                  <w:vAlign w:val="center"/>
                </w:tcPr>
                <w:p w14:paraId="16D5B99B">
                  <w:pPr>
                    <w:pStyle w:val="22"/>
                    <w:bidi w:val="0"/>
                    <w:rPr>
                      <w:rFonts w:hint="default"/>
                      <w:color w:val="auto"/>
                    </w:rPr>
                  </w:pPr>
                </w:p>
              </w:tc>
            </w:tr>
            <w:tr w14:paraId="48CC7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5132ACB">
                  <w:pPr>
                    <w:pStyle w:val="22"/>
                    <w:bidi w:val="0"/>
                    <w:rPr>
                      <w:rFonts w:hint="default"/>
                      <w:color w:val="auto"/>
                    </w:rPr>
                  </w:pPr>
                </w:p>
              </w:tc>
              <w:tc>
                <w:tcPr>
                  <w:tcW w:w="1114" w:type="pct"/>
                  <w:tcBorders>
                    <w:tl2br w:val="nil"/>
                    <w:tr2bl w:val="nil"/>
                  </w:tcBorders>
                  <w:shd w:val="clear" w:color="auto" w:fill="auto"/>
                  <w:vAlign w:val="center"/>
                </w:tcPr>
                <w:p w14:paraId="19F308CD">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2CD9FACB">
                  <w:pPr>
                    <w:pStyle w:val="22"/>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0BBEAF8A">
                  <w:pPr>
                    <w:pStyle w:val="22"/>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415F2BDF">
                  <w:pPr>
                    <w:pStyle w:val="22"/>
                    <w:bidi w:val="0"/>
                    <w:rPr>
                      <w:rFonts w:hint="default"/>
                      <w:color w:val="auto"/>
                    </w:rPr>
                  </w:pPr>
                  <w:r>
                    <w:rPr>
                      <w:rFonts w:hint="default"/>
                      <w:color w:val="auto"/>
                      <w:lang w:val="en-US" w:eastAsia="zh-CN"/>
                    </w:rPr>
                    <w:t>/</w:t>
                  </w:r>
                </w:p>
              </w:tc>
              <w:tc>
                <w:tcPr>
                  <w:tcW w:w="641" w:type="pct"/>
                  <w:vMerge w:val="continue"/>
                  <w:tcBorders>
                    <w:tl2br w:val="nil"/>
                    <w:tr2bl w:val="nil"/>
                  </w:tcBorders>
                  <w:shd w:val="clear" w:color="auto" w:fill="auto"/>
                  <w:vAlign w:val="center"/>
                </w:tcPr>
                <w:p w14:paraId="0EB2156F">
                  <w:pPr>
                    <w:pStyle w:val="22"/>
                    <w:bidi w:val="0"/>
                    <w:rPr>
                      <w:rFonts w:hint="default"/>
                      <w:color w:val="auto"/>
                    </w:rPr>
                  </w:pPr>
                </w:p>
              </w:tc>
            </w:tr>
            <w:tr w14:paraId="3863F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2ECFE6E8">
                  <w:pPr>
                    <w:pStyle w:val="22"/>
                    <w:bidi w:val="0"/>
                    <w:rPr>
                      <w:rFonts w:hint="default"/>
                      <w:color w:val="auto"/>
                    </w:rPr>
                  </w:pPr>
                  <w:r>
                    <w:rPr>
                      <w:rFonts w:hint="default"/>
                      <w:color w:val="auto"/>
                      <w:lang w:val="en-US" w:eastAsia="zh-CN"/>
                    </w:rPr>
                    <w:t>粪大肠菌群</w:t>
                  </w:r>
                </w:p>
              </w:tc>
              <w:tc>
                <w:tcPr>
                  <w:tcW w:w="1114" w:type="pct"/>
                  <w:tcBorders>
                    <w:tl2br w:val="nil"/>
                    <w:tr2bl w:val="nil"/>
                  </w:tcBorders>
                  <w:shd w:val="clear" w:color="auto" w:fill="auto"/>
                  <w:vAlign w:val="center"/>
                </w:tcPr>
                <w:p w14:paraId="24C71E50">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543D6891">
                  <w:pPr>
                    <w:pStyle w:val="22"/>
                    <w:bidi w:val="0"/>
                    <w:rPr>
                      <w:rFonts w:hint="default"/>
                      <w:color w:val="auto"/>
                    </w:rPr>
                  </w:pPr>
                  <w:r>
                    <w:rPr>
                      <w:rFonts w:hint="default"/>
                      <w:color w:val="auto"/>
                      <w:lang w:val="en-US" w:eastAsia="zh-CN"/>
                    </w:rPr>
                    <w:t>24.9×10</w:t>
                  </w:r>
                </w:p>
              </w:tc>
              <w:tc>
                <w:tcPr>
                  <w:tcW w:w="643" w:type="pct"/>
                  <w:tcBorders>
                    <w:tl2br w:val="nil"/>
                    <w:tr2bl w:val="nil"/>
                  </w:tcBorders>
                  <w:shd w:val="clear" w:color="auto" w:fill="auto"/>
                  <w:vAlign w:val="center"/>
                </w:tcPr>
                <w:p w14:paraId="33730262">
                  <w:pPr>
                    <w:pStyle w:val="22"/>
                    <w:bidi w:val="0"/>
                    <w:rPr>
                      <w:rFonts w:hint="default"/>
                      <w:color w:val="auto"/>
                    </w:rPr>
                  </w:pPr>
                  <w:r>
                    <w:rPr>
                      <w:rFonts w:hint="default"/>
                      <w:color w:val="auto"/>
                      <w:lang w:val="en-US" w:eastAsia="zh-CN"/>
                    </w:rPr>
                    <w:t>27.0×10</w:t>
                  </w:r>
                </w:p>
              </w:tc>
              <w:tc>
                <w:tcPr>
                  <w:tcW w:w="664" w:type="pct"/>
                  <w:tcBorders>
                    <w:tl2br w:val="nil"/>
                    <w:tr2bl w:val="nil"/>
                  </w:tcBorders>
                  <w:shd w:val="clear" w:color="auto" w:fill="auto"/>
                  <w:vAlign w:val="center"/>
                </w:tcPr>
                <w:p w14:paraId="20759D46">
                  <w:pPr>
                    <w:pStyle w:val="22"/>
                    <w:bidi w:val="0"/>
                    <w:rPr>
                      <w:rFonts w:hint="default"/>
                      <w:color w:val="auto"/>
                    </w:rPr>
                  </w:pPr>
                  <w:r>
                    <w:rPr>
                      <w:rFonts w:hint="default"/>
                      <w:color w:val="auto"/>
                      <w:lang w:val="en-US" w:eastAsia="zh-CN"/>
                    </w:rPr>
                    <w:t>35.4×10</w:t>
                  </w:r>
                </w:p>
              </w:tc>
              <w:tc>
                <w:tcPr>
                  <w:tcW w:w="641" w:type="pct"/>
                  <w:vMerge w:val="restart"/>
                  <w:tcBorders>
                    <w:tl2br w:val="nil"/>
                    <w:tr2bl w:val="nil"/>
                  </w:tcBorders>
                  <w:shd w:val="clear" w:color="auto" w:fill="auto"/>
                  <w:vAlign w:val="center"/>
                </w:tcPr>
                <w:p w14:paraId="0FC191D4">
                  <w:pPr>
                    <w:pStyle w:val="22"/>
                    <w:bidi w:val="0"/>
                    <w:rPr>
                      <w:rFonts w:hint="default"/>
                      <w:color w:val="auto"/>
                    </w:rPr>
                  </w:pPr>
                  <w:r>
                    <w:rPr>
                      <w:rFonts w:hint="default"/>
                      <w:color w:val="auto"/>
                      <w:lang w:val="en-US" w:eastAsia="zh-CN"/>
                    </w:rPr>
                    <w:t>≤10000</w:t>
                  </w:r>
                </w:p>
              </w:tc>
            </w:tr>
            <w:tr w14:paraId="6CA88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58AF61A">
                  <w:pPr>
                    <w:pStyle w:val="22"/>
                    <w:bidi w:val="0"/>
                    <w:rPr>
                      <w:rFonts w:hint="default"/>
                      <w:color w:val="auto"/>
                    </w:rPr>
                  </w:pPr>
                </w:p>
              </w:tc>
              <w:tc>
                <w:tcPr>
                  <w:tcW w:w="1114" w:type="pct"/>
                  <w:tcBorders>
                    <w:tl2br w:val="nil"/>
                    <w:tr2bl w:val="nil"/>
                  </w:tcBorders>
                  <w:shd w:val="clear" w:color="auto" w:fill="auto"/>
                  <w:vAlign w:val="center"/>
                </w:tcPr>
                <w:p w14:paraId="3BD16B59">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3AAE3181">
                  <w:pPr>
                    <w:pStyle w:val="22"/>
                    <w:bidi w:val="0"/>
                    <w:rPr>
                      <w:rFonts w:hint="default"/>
                      <w:color w:val="auto"/>
                    </w:rPr>
                  </w:pPr>
                  <w:r>
                    <w:rPr>
                      <w:rFonts w:hint="default"/>
                      <w:color w:val="auto"/>
                      <w:lang w:val="en-US" w:eastAsia="zh-CN"/>
                    </w:rPr>
                    <w:t>0.049</w:t>
                  </w:r>
                </w:p>
              </w:tc>
              <w:tc>
                <w:tcPr>
                  <w:tcW w:w="643" w:type="pct"/>
                  <w:tcBorders>
                    <w:tl2br w:val="nil"/>
                    <w:tr2bl w:val="nil"/>
                  </w:tcBorders>
                  <w:shd w:val="clear" w:color="auto" w:fill="auto"/>
                  <w:vAlign w:val="center"/>
                </w:tcPr>
                <w:p w14:paraId="5EC3D2F2">
                  <w:pPr>
                    <w:pStyle w:val="22"/>
                    <w:bidi w:val="0"/>
                    <w:rPr>
                      <w:rFonts w:hint="default"/>
                      <w:color w:val="auto"/>
                    </w:rPr>
                  </w:pPr>
                  <w:r>
                    <w:rPr>
                      <w:rFonts w:hint="default"/>
                      <w:color w:val="auto"/>
                      <w:lang w:val="en-US" w:eastAsia="zh-CN"/>
                    </w:rPr>
                    <w:t>0.07</w:t>
                  </w:r>
                </w:p>
              </w:tc>
              <w:tc>
                <w:tcPr>
                  <w:tcW w:w="664" w:type="pct"/>
                  <w:tcBorders>
                    <w:tl2br w:val="nil"/>
                    <w:tr2bl w:val="nil"/>
                  </w:tcBorders>
                  <w:shd w:val="clear" w:color="auto" w:fill="auto"/>
                  <w:vAlign w:val="center"/>
                </w:tcPr>
                <w:p w14:paraId="6DE7DB00">
                  <w:pPr>
                    <w:pStyle w:val="22"/>
                    <w:bidi w:val="0"/>
                    <w:rPr>
                      <w:rFonts w:hint="default"/>
                      <w:color w:val="auto"/>
                    </w:rPr>
                  </w:pPr>
                  <w:r>
                    <w:rPr>
                      <w:rFonts w:hint="default"/>
                      <w:color w:val="auto"/>
                      <w:lang w:val="en-US" w:eastAsia="zh-CN"/>
                    </w:rPr>
                    <w:t>0.54</w:t>
                  </w:r>
                </w:p>
              </w:tc>
              <w:tc>
                <w:tcPr>
                  <w:tcW w:w="641" w:type="pct"/>
                  <w:vMerge w:val="continue"/>
                  <w:tcBorders>
                    <w:tl2br w:val="nil"/>
                    <w:tr2bl w:val="nil"/>
                  </w:tcBorders>
                  <w:shd w:val="clear" w:color="auto" w:fill="auto"/>
                  <w:vAlign w:val="center"/>
                </w:tcPr>
                <w:p w14:paraId="242573A0">
                  <w:pPr>
                    <w:pStyle w:val="22"/>
                    <w:bidi w:val="0"/>
                    <w:rPr>
                      <w:rFonts w:hint="default"/>
                      <w:color w:val="auto"/>
                    </w:rPr>
                  </w:pPr>
                </w:p>
              </w:tc>
            </w:tr>
            <w:tr w14:paraId="5D593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4A23A853">
                  <w:pPr>
                    <w:pStyle w:val="22"/>
                    <w:bidi w:val="0"/>
                    <w:rPr>
                      <w:rFonts w:hint="default"/>
                      <w:color w:val="auto"/>
                    </w:rPr>
                  </w:pPr>
                </w:p>
              </w:tc>
              <w:tc>
                <w:tcPr>
                  <w:tcW w:w="1114" w:type="pct"/>
                  <w:tcBorders>
                    <w:tl2br w:val="nil"/>
                    <w:tr2bl w:val="nil"/>
                  </w:tcBorders>
                  <w:shd w:val="clear" w:color="auto" w:fill="auto"/>
                  <w:vAlign w:val="center"/>
                </w:tcPr>
                <w:p w14:paraId="06B25C05">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0F415706">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6453526D">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1F97338B">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7A313B56">
                  <w:pPr>
                    <w:pStyle w:val="22"/>
                    <w:bidi w:val="0"/>
                    <w:rPr>
                      <w:rFonts w:hint="default"/>
                      <w:color w:val="auto"/>
                    </w:rPr>
                  </w:pPr>
                </w:p>
              </w:tc>
            </w:tr>
            <w:tr w14:paraId="7190E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0BCD87B9">
                  <w:pPr>
                    <w:pStyle w:val="22"/>
                    <w:bidi w:val="0"/>
                    <w:rPr>
                      <w:rFonts w:hint="default"/>
                      <w:color w:val="auto"/>
                    </w:rPr>
                  </w:pPr>
                  <w:r>
                    <w:rPr>
                      <w:rFonts w:hint="default"/>
                      <w:color w:val="auto"/>
                      <w:lang w:val="en-US" w:eastAsia="zh-CN"/>
                    </w:rPr>
                    <w:t>六价铬</w:t>
                  </w:r>
                </w:p>
              </w:tc>
              <w:tc>
                <w:tcPr>
                  <w:tcW w:w="1114" w:type="pct"/>
                  <w:tcBorders>
                    <w:tl2br w:val="nil"/>
                    <w:tr2bl w:val="nil"/>
                  </w:tcBorders>
                  <w:shd w:val="clear" w:color="auto" w:fill="auto"/>
                  <w:vAlign w:val="center"/>
                </w:tcPr>
                <w:p w14:paraId="0EE1B23F">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5E9E6AEC">
                  <w:pPr>
                    <w:pStyle w:val="22"/>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4A194EA1">
                  <w:pPr>
                    <w:pStyle w:val="22"/>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78193F4D">
                  <w:pPr>
                    <w:pStyle w:val="22"/>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029FBFF7">
                  <w:pPr>
                    <w:pStyle w:val="22"/>
                    <w:bidi w:val="0"/>
                    <w:rPr>
                      <w:rFonts w:hint="default"/>
                      <w:color w:val="auto"/>
                    </w:rPr>
                  </w:pPr>
                  <w:r>
                    <w:rPr>
                      <w:rFonts w:hint="default"/>
                      <w:color w:val="auto"/>
                      <w:lang w:val="en-US" w:eastAsia="zh-CN"/>
                    </w:rPr>
                    <w:t>≤0.05</w:t>
                  </w:r>
                </w:p>
              </w:tc>
            </w:tr>
            <w:tr w14:paraId="1709A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1AAB11E">
                  <w:pPr>
                    <w:pStyle w:val="22"/>
                    <w:bidi w:val="0"/>
                    <w:rPr>
                      <w:rFonts w:hint="default"/>
                      <w:color w:val="auto"/>
                    </w:rPr>
                  </w:pPr>
                </w:p>
              </w:tc>
              <w:tc>
                <w:tcPr>
                  <w:tcW w:w="1114" w:type="pct"/>
                  <w:tcBorders>
                    <w:tl2br w:val="nil"/>
                    <w:tr2bl w:val="nil"/>
                  </w:tcBorders>
                  <w:shd w:val="clear" w:color="auto" w:fill="auto"/>
                  <w:vAlign w:val="center"/>
                </w:tcPr>
                <w:p w14:paraId="6D6C47EA">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147C9743">
                  <w:pPr>
                    <w:pStyle w:val="22"/>
                    <w:bidi w:val="0"/>
                    <w:rPr>
                      <w:rFonts w:hint="default"/>
                      <w:color w:val="auto"/>
                    </w:rPr>
                  </w:pPr>
                  <w:r>
                    <w:rPr>
                      <w:rFonts w:hint="default"/>
                      <w:color w:val="auto"/>
                      <w:lang w:val="en-US" w:eastAsia="zh-CN"/>
                    </w:rPr>
                    <w:t>0.04</w:t>
                  </w:r>
                </w:p>
              </w:tc>
              <w:tc>
                <w:tcPr>
                  <w:tcW w:w="643" w:type="pct"/>
                  <w:tcBorders>
                    <w:tl2br w:val="nil"/>
                    <w:tr2bl w:val="nil"/>
                  </w:tcBorders>
                  <w:shd w:val="clear" w:color="auto" w:fill="auto"/>
                  <w:vAlign w:val="center"/>
                </w:tcPr>
                <w:p w14:paraId="7E67DA15">
                  <w:pPr>
                    <w:pStyle w:val="22"/>
                    <w:bidi w:val="0"/>
                    <w:rPr>
                      <w:rFonts w:hint="default"/>
                      <w:color w:val="auto"/>
                    </w:rPr>
                  </w:pPr>
                  <w:r>
                    <w:rPr>
                      <w:rFonts w:hint="default"/>
                      <w:color w:val="auto"/>
                      <w:lang w:val="en-US" w:eastAsia="zh-CN"/>
                    </w:rPr>
                    <w:t>0.04</w:t>
                  </w:r>
                </w:p>
              </w:tc>
              <w:tc>
                <w:tcPr>
                  <w:tcW w:w="664" w:type="pct"/>
                  <w:tcBorders>
                    <w:tl2br w:val="nil"/>
                    <w:tr2bl w:val="nil"/>
                  </w:tcBorders>
                  <w:shd w:val="clear" w:color="auto" w:fill="auto"/>
                  <w:vAlign w:val="center"/>
                </w:tcPr>
                <w:p w14:paraId="3AFE5965">
                  <w:pPr>
                    <w:pStyle w:val="22"/>
                    <w:bidi w:val="0"/>
                    <w:rPr>
                      <w:rFonts w:hint="default"/>
                      <w:color w:val="auto"/>
                    </w:rPr>
                  </w:pPr>
                  <w:r>
                    <w:rPr>
                      <w:rFonts w:hint="default"/>
                      <w:color w:val="auto"/>
                      <w:lang w:val="en-US" w:eastAsia="zh-CN"/>
                    </w:rPr>
                    <w:t>0.04</w:t>
                  </w:r>
                </w:p>
              </w:tc>
              <w:tc>
                <w:tcPr>
                  <w:tcW w:w="641" w:type="pct"/>
                  <w:vMerge w:val="continue"/>
                  <w:tcBorders>
                    <w:tl2br w:val="nil"/>
                    <w:tr2bl w:val="nil"/>
                  </w:tcBorders>
                  <w:shd w:val="clear" w:color="auto" w:fill="auto"/>
                  <w:vAlign w:val="center"/>
                </w:tcPr>
                <w:p w14:paraId="6B996ED2">
                  <w:pPr>
                    <w:pStyle w:val="22"/>
                    <w:bidi w:val="0"/>
                    <w:rPr>
                      <w:rFonts w:hint="default"/>
                      <w:color w:val="auto"/>
                    </w:rPr>
                  </w:pPr>
                </w:p>
              </w:tc>
            </w:tr>
            <w:tr w14:paraId="19C3C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66348ACB">
                  <w:pPr>
                    <w:pStyle w:val="22"/>
                    <w:bidi w:val="0"/>
                    <w:rPr>
                      <w:rFonts w:hint="default"/>
                      <w:color w:val="auto"/>
                    </w:rPr>
                  </w:pPr>
                </w:p>
              </w:tc>
              <w:tc>
                <w:tcPr>
                  <w:tcW w:w="1114" w:type="pct"/>
                  <w:tcBorders>
                    <w:tl2br w:val="nil"/>
                    <w:tr2bl w:val="nil"/>
                  </w:tcBorders>
                  <w:shd w:val="clear" w:color="auto" w:fill="auto"/>
                  <w:vAlign w:val="center"/>
                </w:tcPr>
                <w:p w14:paraId="337D72C8">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74FEBB3F">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20DA4D0B">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471ABE31">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792DA900">
                  <w:pPr>
                    <w:pStyle w:val="22"/>
                    <w:bidi w:val="0"/>
                    <w:rPr>
                      <w:rFonts w:hint="default"/>
                      <w:color w:val="auto"/>
                    </w:rPr>
                  </w:pPr>
                </w:p>
              </w:tc>
            </w:tr>
            <w:tr w14:paraId="0AD44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44546556">
                  <w:pPr>
                    <w:pStyle w:val="22"/>
                    <w:bidi w:val="0"/>
                    <w:rPr>
                      <w:rFonts w:hint="default"/>
                      <w:color w:val="auto"/>
                    </w:rPr>
                  </w:pPr>
                  <w:r>
                    <w:rPr>
                      <w:rFonts w:hint="default"/>
                      <w:color w:val="auto"/>
                      <w:lang w:val="en-US" w:eastAsia="zh-CN"/>
                    </w:rPr>
                    <w:t>汞</w:t>
                  </w:r>
                </w:p>
              </w:tc>
              <w:tc>
                <w:tcPr>
                  <w:tcW w:w="1114" w:type="pct"/>
                  <w:tcBorders>
                    <w:tl2br w:val="nil"/>
                    <w:tr2bl w:val="nil"/>
                  </w:tcBorders>
                  <w:shd w:val="clear" w:color="auto" w:fill="auto"/>
                  <w:vAlign w:val="center"/>
                </w:tcPr>
                <w:p w14:paraId="0A7DFCD4">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7294B160">
                  <w:pPr>
                    <w:pStyle w:val="22"/>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65B822E7">
                  <w:pPr>
                    <w:pStyle w:val="22"/>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3E4E59CB">
                  <w:pPr>
                    <w:pStyle w:val="22"/>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77DEA740">
                  <w:pPr>
                    <w:pStyle w:val="22"/>
                    <w:bidi w:val="0"/>
                    <w:rPr>
                      <w:rFonts w:hint="default"/>
                      <w:color w:val="auto"/>
                    </w:rPr>
                  </w:pPr>
                  <w:r>
                    <w:rPr>
                      <w:rFonts w:hint="default"/>
                      <w:color w:val="auto"/>
                      <w:lang w:val="en-US" w:eastAsia="zh-CN"/>
                    </w:rPr>
                    <w:t>≤0.0001</w:t>
                  </w:r>
                </w:p>
              </w:tc>
            </w:tr>
            <w:tr w14:paraId="318CC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67CA7222">
                  <w:pPr>
                    <w:pStyle w:val="22"/>
                    <w:bidi w:val="0"/>
                    <w:rPr>
                      <w:rFonts w:hint="default"/>
                      <w:color w:val="auto"/>
                    </w:rPr>
                  </w:pPr>
                </w:p>
              </w:tc>
              <w:tc>
                <w:tcPr>
                  <w:tcW w:w="1114" w:type="pct"/>
                  <w:tcBorders>
                    <w:tl2br w:val="nil"/>
                    <w:tr2bl w:val="nil"/>
                  </w:tcBorders>
                  <w:shd w:val="clear" w:color="auto" w:fill="auto"/>
                  <w:vAlign w:val="center"/>
                </w:tcPr>
                <w:p w14:paraId="69146942">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1F56A0E6">
                  <w:pPr>
                    <w:pStyle w:val="22"/>
                    <w:bidi w:val="0"/>
                    <w:rPr>
                      <w:rFonts w:hint="default"/>
                      <w:color w:val="auto"/>
                    </w:rPr>
                  </w:pPr>
                  <w:r>
                    <w:rPr>
                      <w:rFonts w:hint="default"/>
                      <w:color w:val="auto"/>
                      <w:lang w:val="en-US" w:eastAsia="zh-CN"/>
                    </w:rPr>
                    <w:t>0.2</w:t>
                  </w:r>
                </w:p>
              </w:tc>
              <w:tc>
                <w:tcPr>
                  <w:tcW w:w="643" w:type="pct"/>
                  <w:tcBorders>
                    <w:tl2br w:val="nil"/>
                    <w:tr2bl w:val="nil"/>
                  </w:tcBorders>
                  <w:shd w:val="clear" w:color="auto" w:fill="auto"/>
                  <w:vAlign w:val="center"/>
                </w:tcPr>
                <w:p w14:paraId="05F37CD9">
                  <w:pPr>
                    <w:pStyle w:val="22"/>
                    <w:bidi w:val="0"/>
                    <w:rPr>
                      <w:rFonts w:hint="default"/>
                      <w:color w:val="auto"/>
                    </w:rPr>
                  </w:pPr>
                  <w:r>
                    <w:rPr>
                      <w:rFonts w:hint="default"/>
                      <w:color w:val="auto"/>
                      <w:lang w:val="en-US" w:eastAsia="zh-CN"/>
                    </w:rPr>
                    <w:t>0.2</w:t>
                  </w:r>
                </w:p>
              </w:tc>
              <w:tc>
                <w:tcPr>
                  <w:tcW w:w="664" w:type="pct"/>
                  <w:tcBorders>
                    <w:tl2br w:val="nil"/>
                    <w:tr2bl w:val="nil"/>
                  </w:tcBorders>
                  <w:shd w:val="clear" w:color="auto" w:fill="auto"/>
                  <w:vAlign w:val="center"/>
                </w:tcPr>
                <w:p w14:paraId="1067437A">
                  <w:pPr>
                    <w:pStyle w:val="22"/>
                    <w:bidi w:val="0"/>
                    <w:rPr>
                      <w:rFonts w:hint="default"/>
                      <w:color w:val="auto"/>
                    </w:rPr>
                  </w:pPr>
                  <w:r>
                    <w:rPr>
                      <w:rFonts w:hint="default"/>
                      <w:color w:val="auto"/>
                      <w:lang w:val="en-US" w:eastAsia="zh-CN"/>
                    </w:rPr>
                    <w:t>0.2</w:t>
                  </w:r>
                </w:p>
              </w:tc>
              <w:tc>
                <w:tcPr>
                  <w:tcW w:w="641" w:type="pct"/>
                  <w:vMerge w:val="continue"/>
                  <w:tcBorders>
                    <w:tl2br w:val="nil"/>
                    <w:tr2bl w:val="nil"/>
                  </w:tcBorders>
                  <w:shd w:val="clear" w:color="auto" w:fill="auto"/>
                  <w:vAlign w:val="center"/>
                </w:tcPr>
                <w:p w14:paraId="0CDB31F2">
                  <w:pPr>
                    <w:pStyle w:val="22"/>
                    <w:bidi w:val="0"/>
                    <w:rPr>
                      <w:rFonts w:hint="default"/>
                      <w:color w:val="auto"/>
                    </w:rPr>
                  </w:pPr>
                </w:p>
              </w:tc>
            </w:tr>
            <w:tr w14:paraId="26E87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505173F">
                  <w:pPr>
                    <w:pStyle w:val="22"/>
                    <w:bidi w:val="0"/>
                    <w:rPr>
                      <w:rFonts w:hint="default"/>
                      <w:color w:val="auto"/>
                    </w:rPr>
                  </w:pPr>
                </w:p>
              </w:tc>
              <w:tc>
                <w:tcPr>
                  <w:tcW w:w="1114" w:type="pct"/>
                  <w:tcBorders>
                    <w:tl2br w:val="nil"/>
                    <w:tr2bl w:val="nil"/>
                  </w:tcBorders>
                  <w:shd w:val="clear" w:color="auto" w:fill="auto"/>
                  <w:vAlign w:val="center"/>
                </w:tcPr>
                <w:p w14:paraId="3D86D385">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642D3454">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2E3FFAB0">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5E51FED9">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4ED56FF5">
                  <w:pPr>
                    <w:pStyle w:val="22"/>
                    <w:bidi w:val="0"/>
                    <w:rPr>
                      <w:rFonts w:hint="default"/>
                      <w:color w:val="auto"/>
                    </w:rPr>
                  </w:pPr>
                </w:p>
              </w:tc>
            </w:tr>
            <w:tr w14:paraId="0889F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35C64906">
                  <w:pPr>
                    <w:pStyle w:val="22"/>
                    <w:bidi w:val="0"/>
                    <w:rPr>
                      <w:rFonts w:hint="default"/>
                      <w:color w:val="auto"/>
                    </w:rPr>
                  </w:pPr>
                  <w:r>
                    <w:rPr>
                      <w:rFonts w:hint="default"/>
                      <w:color w:val="auto"/>
                      <w:lang w:val="en-US" w:eastAsia="zh-CN"/>
                    </w:rPr>
                    <w:t>砷</w:t>
                  </w:r>
                </w:p>
              </w:tc>
              <w:tc>
                <w:tcPr>
                  <w:tcW w:w="1114" w:type="pct"/>
                  <w:tcBorders>
                    <w:tl2br w:val="nil"/>
                    <w:tr2bl w:val="nil"/>
                  </w:tcBorders>
                  <w:shd w:val="clear" w:color="auto" w:fill="auto"/>
                  <w:vAlign w:val="center"/>
                </w:tcPr>
                <w:p w14:paraId="62EDBD35">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4E6CB307">
                  <w:pPr>
                    <w:pStyle w:val="22"/>
                    <w:bidi w:val="0"/>
                    <w:rPr>
                      <w:rFonts w:hint="default"/>
                      <w:color w:val="auto"/>
                    </w:rPr>
                  </w:pPr>
                  <w:r>
                    <w:rPr>
                      <w:rFonts w:hint="default"/>
                      <w:color w:val="auto"/>
                      <w:lang w:val="en-US" w:eastAsia="zh-CN"/>
                    </w:rPr>
                    <w:t>0.0018</w:t>
                  </w:r>
                </w:p>
              </w:tc>
              <w:tc>
                <w:tcPr>
                  <w:tcW w:w="643" w:type="pct"/>
                  <w:tcBorders>
                    <w:tl2br w:val="nil"/>
                    <w:tr2bl w:val="nil"/>
                  </w:tcBorders>
                  <w:shd w:val="clear" w:color="auto" w:fill="auto"/>
                  <w:vAlign w:val="center"/>
                </w:tcPr>
                <w:p w14:paraId="5502975A">
                  <w:pPr>
                    <w:pStyle w:val="22"/>
                    <w:bidi w:val="0"/>
                    <w:rPr>
                      <w:rFonts w:hint="default"/>
                      <w:color w:val="auto"/>
                    </w:rPr>
                  </w:pPr>
                  <w:r>
                    <w:rPr>
                      <w:rFonts w:hint="default"/>
                      <w:color w:val="auto"/>
                      <w:lang w:val="en-US" w:eastAsia="zh-CN"/>
                    </w:rPr>
                    <w:t>0.0014</w:t>
                  </w:r>
                </w:p>
              </w:tc>
              <w:tc>
                <w:tcPr>
                  <w:tcW w:w="664" w:type="pct"/>
                  <w:tcBorders>
                    <w:tl2br w:val="nil"/>
                    <w:tr2bl w:val="nil"/>
                  </w:tcBorders>
                  <w:shd w:val="clear" w:color="auto" w:fill="auto"/>
                  <w:vAlign w:val="center"/>
                </w:tcPr>
                <w:p w14:paraId="3402AC47">
                  <w:pPr>
                    <w:pStyle w:val="22"/>
                    <w:bidi w:val="0"/>
                    <w:rPr>
                      <w:rFonts w:hint="default"/>
                      <w:color w:val="auto"/>
                    </w:rPr>
                  </w:pPr>
                  <w:r>
                    <w:rPr>
                      <w:rFonts w:hint="default"/>
                      <w:color w:val="auto"/>
                      <w:lang w:val="en-US" w:eastAsia="zh-CN"/>
                    </w:rPr>
                    <w:t>0.0012</w:t>
                  </w:r>
                </w:p>
              </w:tc>
              <w:tc>
                <w:tcPr>
                  <w:tcW w:w="641" w:type="pct"/>
                  <w:vMerge w:val="restart"/>
                  <w:tcBorders>
                    <w:tl2br w:val="nil"/>
                    <w:tr2bl w:val="nil"/>
                  </w:tcBorders>
                  <w:shd w:val="clear" w:color="auto" w:fill="auto"/>
                  <w:vAlign w:val="center"/>
                </w:tcPr>
                <w:p w14:paraId="60EFC764">
                  <w:pPr>
                    <w:pStyle w:val="22"/>
                    <w:bidi w:val="0"/>
                    <w:rPr>
                      <w:rFonts w:hint="default"/>
                      <w:color w:val="auto"/>
                    </w:rPr>
                  </w:pPr>
                  <w:r>
                    <w:rPr>
                      <w:rFonts w:hint="default"/>
                      <w:color w:val="auto"/>
                      <w:lang w:val="en-US" w:eastAsia="zh-CN"/>
                    </w:rPr>
                    <w:t>≤0.05</w:t>
                  </w:r>
                </w:p>
              </w:tc>
            </w:tr>
            <w:tr w14:paraId="0B014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6C766C51">
                  <w:pPr>
                    <w:pStyle w:val="22"/>
                    <w:bidi w:val="0"/>
                    <w:rPr>
                      <w:rFonts w:hint="default"/>
                      <w:color w:val="auto"/>
                    </w:rPr>
                  </w:pPr>
                </w:p>
              </w:tc>
              <w:tc>
                <w:tcPr>
                  <w:tcW w:w="1114" w:type="pct"/>
                  <w:tcBorders>
                    <w:tl2br w:val="nil"/>
                    <w:tr2bl w:val="nil"/>
                  </w:tcBorders>
                  <w:shd w:val="clear" w:color="auto" w:fill="auto"/>
                  <w:vAlign w:val="center"/>
                </w:tcPr>
                <w:p w14:paraId="1F167159">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14F7ED56">
                  <w:pPr>
                    <w:pStyle w:val="22"/>
                    <w:bidi w:val="0"/>
                    <w:rPr>
                      <w:rFonts w:hint="default"/>
                      <w:color w:val="auto"/>
                    </w:rPr>
                  </w:pPr>
                  <w:r>
                    <w:rPr>
                      <w:rFonts w:hint="default"/>
                      <w:color w:val="auto"/>
                      <w:lang w:val="en-US" w:eastAsia="zh-CN"/>
                    </w:rPr>
                    <w:t>0.036</w:t>
                  </w:r>
                </w:p>
              </w:tc>
              <w:tc>
                <w:tcPr>
                  <w:tcW w:w="643" w:type="pct"/>
                  <w:tcBorders>
                    <w:tl2br w:val="nil"/>
                    <w:tr2bl w:val="nil"/>
                  </w:tcBorders>
                  <w:shd w:val="clear" w:color="auto" w:fill="auto"/>
                  <w:vAlign w:val="center"/>
                </w:tcPr>
                <w:p w14:paraId="47901299">
                  <w:pPr>
                    <w:pStyle w:val="22"/>
                    <w:bidi w:val="0"/>
                    <w:rPr>
                      <w:rFonts w:hint="default"/>
                      <w:color w:val="auto"/>
                    </w:rPr>
                  </w:pPr>
                  <w:r>
                    <w:rPr>
                      <w:rFonts w:hint="default"/>
                      <w:color w:val="auto"/>
                      <w:lang w:val="en-US" w:eastAsia="zh-CN"/>
                    </w:rPr>
                    <w:t>0.028</w:t>
                  </w:r>
                </w:p>
              </w:tc>
              <w:tc>
                <w:tcPr>
                  <w:tcW w:w="664" w:type="pct"/>
                  <w:tcBorders>
                    <w:tl2br w:val="nil"/>
                    <w:tr2bl w:val="nil"/>
                  </w:tcBorders>
                  <w:shd w:val="clear" w:color="auto" w:fill="auto"/>
                  <w:vAlign w:val="center"/>
                </w:tcPr>
                <w:p w14:paraId="6CED59EE">
                  <w:pPr>
                    <w:pStyle w:val="22"/>
                    <w:bidi w:val="0"/>
                    <w:rPr>
                      <w:rFonts w:hint="default"/>
                      <w:color w:val="auto"/>
                    </w:rPr>
                  </w:pPr>
                  <w:r>
                    <w:rPr>
                      <w:rFonts w:hint="default"/>
                      <w:color w:val="auto"/>
                      <w:lang w:val="en-US" w:eastAsia="zh-CN"/>
                    </w:rPr>
                    <w:t>0.024</w:t>
                  </w:r>
                </w:p>
              </w:tc>
              <w:tc>
                <w:tcPr>
                  <w:tcW w:w="641" w:type="pct"/>
                  <w:vMerge w:val="continue"/>
                  <w:tcBorders>
                    <w:tl2br w:val="nil"/>
                    <w:tr2bl w:val="nil"/>
                  </w:tcBorders>
                  <w:shd w:val="clear" w:color="auto" w:fill="auto"/>
                  <w:vAlign w:val="center"/>
                </w:tcPr>
                <w:p w14:paraId="3AC80E39">
                  <w:pPr>
                    <w:pStyle w:val="22"/>
                    <w:bidi w:val="0"/>
                    <w:rPr>
                      <w:rFonts w:hint="default"/>
                      <w:color w:val="auto"/>
                    </w:rPr>
                  </w:pPr>
                </w:p>
              </w:tc>
            </w:tr>
            <w:tr w14:paraId="023A2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C2A9BDD">
                  <w:pPr>
                    <w:pStyle w:val="22"/>
                    <w:bidi w:val="0"/>
                    <w:rPr>
                      <w:rFonts w:hint="default"/>
                      <w:color w:val="auto"/>
                    </w:rPr>
                  </w:pPr>
                </w:p>
              </w:tc>
              <w:tc>
                <w:tcPr>
                  <w:tcW w:w="1114" w:type="pct"/>
                  <w:tcBorders>
                    <w:tl2br w:val="nil"/>
                    <w:tr2bl w:val="nil"/>
                  </w:tcBorders>
                  <w:shd w:val="clear" w:color="auto" w:fill="auto"/>
                  <w:vAlign w:val="center"/>
                </w:tcPr>
                <w:p w14:paraId="191A77D2">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3246616F">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709A36D2">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712955B9">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32A07B30">
                  <w:pPr>
                    <w:pStyle w:val="22"/>
                    <w:bidi w:val="0"/>
                    <w:rPr>
                      <w:rFonts w:hint="default"/>
                      <w:color w:val="auto"/>
                    </w:rPr>
                  </w:pPr>
                </w:p>
              </w:tc>
            </w:tr>
            <w:tr w14:paraId="2B366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6A366622">
                  <w:pPr>
                    <w:pStyle w:val="22"/>
                    <w:bidi w:val="0"/>
                    <w:rPr>
                      <w:rFonts w:hint="default"/>
                      <w:color w:val="auto"/>
                    </w:rPr>
                  </w:pPr>
                  <w:r>
                    <w:rPr>
                      <w:rFonts w:hint="default"/>
                      <w:color w:val="auto"/>
                      <w:lang w:val="en-US" w:eastAsia="zh-CN"/>
                    </w:rPr>
                    <w:t>硒</w:t>
                  </w:r>
                </w:p>
              </w:tc>
              <w:tc>
                <w:tcPr>
                  <w:tcW w:w="1114" w:type="pct"/>
                  <w:tcBorders>
                    <w:tl2br w:val="nil"/>
                    <w:tr2bl w:val="nil"/>
                  </w:tcBorders>
                  <w:shd w:val="clear" w:color="auto" w:fill="auto"/>
                  <w:vAlign w:val="center"/>
                </w:tcPr>
                <w:p w14:paraId="1B23AD8B">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3A7E0F84">
                  <w:pPr>
                    <w:pStyle w:val="22"/>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369DF64D">
                  <w:pPr>
                    <w:pStyle w:val="22"/>
                    <w:bidi w:val="0"/>
                    <w:rPr>
                      <w:rFonts w:hint="default"/>
                      <w:color w:val="auto"/>
                    </w:rPr>
                  </w:pPr>
                  <w:r>
                    <w:rPr>
                      <w:rFonts w:hint="default"/>
                      <w:color w:val="auto"/>
                      <w:lang w:val="en-US" w:eastAsia="zh-CN"/>
                    </w:rPr>
                    <w:t>0.0005</w:t>
                  </w:r>
                </w:p>
              </w:tc>
              <w:tc>
                <w:tcPr>
                  <w:tcW w:w="664" w:type="pct"/>
                  <w:tcBorders>
                    <w:tl2br w:val="nil"/>
                    <w:tr2bl w:val="nil"/>
                  </w:tcBorders>
                  <w:shd w:val="clear" w:color="auto" w:fill="auto"/>
                  <w:vAlign w:val="center"/>
                </w:tcPr>
                <w:p w14:paraId="3BB86B02">
                  <w:pPr>
                    <w:pStyle w:val="22"/>
                    <w:bidi w:val="0"/>
                    <w:rPr>
                      <w:rFonts w:hint="default"/>
                      <w:color w:val="auto"/>
                    </w:rPr>
                  </w:pPr>
                  <w:r>
                    <w:rPr>
                      <w:rFonts w:hint="default"/>
                      <w:color w:val="auto"/>
                      <w:lang w:val="en-US" w:eastAsia="zh-CN"/>
                    </w:rPr>
                    <w:t>0.0011</w:t>
                  </w:r>
                </w:p>
              </w:tc>
              <w:tc>
                <w:tcPr>
                  <w:tcW w:w="641" w:type="pct"/>
                  <w:vMerge w:val="restart"/>
                  <w:tcBorders>
                    <w:tl2br w:val="nil"/>
                    <w:tr2bl w:val="nil"/>
                  </w:tcBorders>
                  <w:shd w:val="clear" w:color="auto" w:fill="auto"/>
                  <w:vAlign w:val="center"/>
                </w:tcPr>
                <w:p w14:paraId="411BEFE9">
                  <w:pPr>
                    <w:pStyle w:val="22"/>
                    <w:bidi w:val="0"/>
                    <w:rPr>
                      <w:rFonts w:hint="default"/>
                      <w:color w:val="auto"/>
                    </w:rPr>
                  </w:pPr>
                  <w:r>
                    <w:rPr>
                      <w:rFonts w:hint="default"/>
                      <w:color w:val="auto"/>
                      <w:lang w:val="en-US" w:eastAsia="zh-CN"/>
                    </w:rPr>
                    <w:t>≤0.01</w:t>
                  </w:r>
                </w:p>
              </w:tc>
            </w:tr>
            <w:tr w14:paraId="65955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243911B2">
                  <w:pPr>
                    <w:pStyle w:val="22"/>
                    <w:bidi w:val="0"/>
                    <w:rPr>
                      <w:rFonts w:hint="default"/>
                      <w:color w:val="auto"/>
                    </w:rPr>
                  </w:pPr>
                </w:p>
              </w:tc>
              <w:tc>
                <w:tcPr>
                  <w:tcW w:w="1114" w:type="pct"/>
                  <w:tcBorders>
                    <w:tl2br w:val="nil"/>
                    <w:tr2bl w:val="nil"/>
                  </w:tcBorders>
                  <w:shd w:val="clear" w:color="auto" w:fill="auto"/>
                  <w:vAlign w:val="center"/>
                </w:tcPr>
                <w:p w14:paraId="3B781FC0">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53006DA5">
                  <w:pPr>
                    <w:pStyle w:val="22"/>
                    <w:bidi w:val="0"/>
                    <w:rPr>
                      <w:rFonts w:hint="default"/>
                      <w:color w:val="auto"/>
                    </w:rPr>
                  </w:pPr>
                  <w:r>
                    <w:rPr>
                      <w:rFonts w:hint="default"/>
                      <w:color w:val="auto"/>
                      <w:lang w:val="en-US" w:eastAsia="zh-CN"/>
                    </w:rPr>
                    <w:t>0.02</w:t>
                  </w:r>
                </w:p>
              </w:tc>
              <w:tc>
                <w:tcPr>
                  <w:tcW w:w="643" w:type="pct"/>
                  <w:tcBorders>
                    <w:tl2br w:val="nil"/>
                    <w:tr2bl w:val="nil"/>
                  </w:tcBorders>
                  <w:shd w:val="clear" w:color="auto" w:fill="auto"/>
                  <w:vAlign w:val="center"/>
                </w:tcPr>
                <w:p w14:paraId="7FB6A478">
                  <w:pPr>
                    <w:pStyle w:val="22"/>
                    <w:bidi w:val="0"/>
                    <w:rPr>
                      <w:rFonts w:hint="default"/>
                      <w:color w:val="auto"/>
                    </w:rPr>
                  </w:pPr>
                  <w:r>
                    <w:rPr>
                      <w:rFonts w:hint="default"/>
                      <w:color w:val="auto"/>
                      <w:lang w:val="en-US" w:eastAsia="zh-CN"/>
                    </w:rPr>
                    <w:t>0.05</w:t>
                  </w:r>
                </w:p>
              </w:tc>
              <w:tc>
                <w:tcPr>
                  <w:tcW w:w="664" w:type="pct"/>
                  <w:tcBorders>
                    <w:tl2br w:val="nil"/>
                    <w:tr2bl w:val="nil"/>
                  </w:tcBorders>
                  <w:shd w:val="clear" w:color="auto" w:fill="auto"/>
                  <w:vAlign w:val="center"/>
                </w:tcPr>
                <w:p w14:paraId="7F03737C">
                  <w:pPr>
                    <w:pStyle w:val="22"/>
                    <w:bidi w:val="0"/>
                    <w:rPr>
                      <w:rFonts w:hint="default"/>
                      <w:color w:val="auto"/>
                    </w:rPr>
                  </w:pPr>
                  <w:r>
                    <w:rPr>
                      <w:rFonts w:hint="default"/>
                      <w:color w:val="auto"/>
                      <w:lang w:val="en-US" w:eastAsia="zh-CN"/>
                    </w:rPr>
                    <w:t>0.11</w:t>
                  </w:r>
                </w:p>
              </w:tc>
              <w:tc>
                <w:tcPr>
                  <w:tcW w:w="641" w:type="pct"/>
                  <w:vMerge w:val="continue"/>
                  <w:tcBorders>
                    <w:tl2br w:val="nil"/>
                    <w:tr2bl w:val="nil"/>
                  </w:tcBorders>
                  <w:shd w:val="clear" w:color="auto" w:fill="auto"/>
                  <w:vAlign w:val="center"/>
                </w:tcPr>
                <w:p w14:paraId="308B51E6">
                  <w:pPr>
                    <w:pStyle w:val="22"/>
                    <w:bidi w:val="0"/>
                    <w:rPr>
                      <w:rFonts w:hint="default"/>
                      <w:color w:val="auto"/>
                    </w:rPr>
                  </w:pPr>
                </w:p>
              </w:tc>
            </w:tr>
            <w:tr w14:paraId="7D000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93DD2A9">
                  <w:pPr>
                    <w:pStyle w:val="22"/>
                    <w:bidi w:val="0"/>
                    <w:rPr>
                      <w:rFonts w:hint="default"/>
                      <w:color w:val="auto"/>
                    </w:rPr>
                  </w:pPr>
                </w:p>
              </w:tc>
              <w:tc>
                <w:tcPr>
                  <w:tcW w:w="1114" w:type="pct"/>
                  <w:tcBorders>
                    <w:tl2br w:val="nil"/>
                    <w:tr2bl w:val="nil"/>
                  </w:tcBorders>
                  <w:shd w:val="clear" w:color="auto" w:fill="auto"/>
                  <w:vAlign w:val="center"/>
                </w:tcPr>
                <w:p w14:paraId="51F00E9B">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244320E9">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7CECE833">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38A88DD4">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0F147533">
                  <w:pPr>
                    <w:pStyle w:val="22"/>
                    <w:bidi w:val="0"/>
                    <w:rPr>
                      <w:rFonts w:hint="default"/>
                      <w:color w:val="auto"/>
                    </w:rPr>
                  </w:pPr>
                </w:p>
              </w:tc>
            </w:tr>
            <w:tr w14:paraId="23969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59A67572">
                  <w:pPr>
                    <w:pStyle w:val="22"/>
                    <w:bidi w:val="0"/>
                    <w:rPr>
                      <w:rFonts w:hint="default"/>
                      <w:color w:val="auto"/>
                    </w:rPr>
                  </w:pPr>
                  <w:r>
                    <w:rPr>
                      <w:rFonts w:hint="default"/>
                      <w:color w:val="auto"/>
                      <w:lang w:val="en-US" w:eastAsia="zh-CN"/>
                    </w:rPr>
                    <w:t>锌</w:t>
                  </w:r>
                </w:p>
              </w:tc>
              <w:tc>
                <w:tcPr>
                  <w:tcW w:w="1114" w:type="pct"/>
                  <w:tcBorders>
                    <w:tl2br w:val="nil"/>
                    <w:tr2bl w:val="nil"/>
                  </w:tcBorders>
                  <w:shd w:val="clear" w:color="auto" w:fill="auto"/>
                  <w:vAlign w:val="center"/>
                </w:tcPr>
                <w:p w14:paraId="06D93970">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4B151AC5">
                  <w:pPr>
                    <w:pStyle w:val="22"/>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04C03C7E">
                  <w:pPr>
                    <w:pStyle w:val="22"/>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549E349B">
                  <w:pPr>
                    <w:pStyle w:val="22"/>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311C364C">
                  <w:pPr>
                    <w:pStyle w:val="22"/>
                    <w:bidi w:val="0"/>
                    <w:rPr>
                      <w:rFonts w:hint="default"/>
                      <w:color w:val="auto"/>
                    </w:rPr>
                  </w:pPr>
                  <w:r>
                    <w:rPr>
                      <w:rFonts w:hint="default"/>
                      <w:color w:val="auto"/>
                      <w:lang w:val="en-US" w:eastAsia="zh-CN"/>
                    </w:rPr>
                    <w:t>≤1.0</w:t>
                  </w:r>
                </w:p>
              </w:tc>
            </w:tr>
            <w:tr w14:paraId="7F953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2764BEA1">
                  <w:pPr>
                    <w:pStyle w:val="22"/>
                    <w:bidi w:val="0"/>
                    <w:rPr>
                      <w:rFonts w:hint="default"/>
                      <w:color w:val="auto"/>
                    </w:rPr>
                  </w:pPr>
                </w:p>
              </w:tc>
              <w:tc>
                <w:tcPr>
                  <w:tcW w:w="1114" w:type="pct"/>
                  <w:tcBorders>
                    <w:tl2br w:val="nil"/>
                    <w:tr2bl w:val="nil"/>
                  </w:tcBorders>
                  <w:shd w:val="clear" w:color="auto" w:fill="auto"/>
                  <w:vAlign w:val="center"/>
                </w:tcPr>
                <w:p w14:paraId="5BE9F6F2">
                  <w:pPr>
                    <w:pStyle w:val="22"/>
                    <w:bidi w:val="0"/>
                    <w:rPr>
                      <w:rFonts w:hint="default"/>
                      <w:color w:val="auto"/>
                    </w:rPr>
                  </w:pPr>
                  <w:r>
                    <w:rPr>
                      <w:rFonts w:hint="default"/>
                      <w:color w:val="auto"/>
                      <w:lang w:val="en-US" w:eastAsia="zh-CN"/>
                    </w:rPr>
                    <w:t>单因子指数</w:t>
                  </w:r>
                </w:p>
              </w:tc>
              <w:tc>
                <w:tcPr>
                  <w:tcW w:w="641" w:type="pct"/>
                  <w:tcBorders>
                    <w:tl2br w:val="nil"/>
                    <w:tr2bl w:val="nil"/>
                  </w:tcBorders>
                  <w:shd w:val="clear" w:color="auto" w:fill="auto"/>
                  <w:vAlign w:val="center"/>
                </w:tcPr>
                <w:p w14:paraId="439E396D">
                  <w:pPr>
                    <w:pStyle w:val="22"/>
                    <w:bidi w:val="0"/>
                    <w:rPr>
                      <w:rFonts w:hint="default"/>
                      <w:color w:val="auto"/>
                    </w:rPr>
                  </w:pPr>
                  <w:r>
                    <w:rPr>
                      <w:rFonts w:hint="default"/>
                      <w:color w:val="auto"/>
                      <w:lang w:val="en-US" w:eastAsia="zh-CN"/>
                    </w:rPr>
                    <w:t>0.025</w:t>
                  </w:r>
                </w:p>
              </w:tc>
              <w:tc>
                <w:tcPr>
                  <w:tcW w:w="643" w:type="pct"/>
                  <w:tcBorders>
                    <w:tl2br w:val="nil"/>
                    <w:tr2bl w:val="nil"/>
                  </w:tcBorders>
                  <w:shd w:val="clear" w:color="auto" w:fill="auto"/>
                  <w:vAlign w:val="center"/>
                </w:tcPr>
                <w:p w14:paraId="455D9EDB">
                  <w:pPr>
                    <w:pStyle w:val="22"/>
                    <w:bidi w:val="0"/>
                    <w:rPr>
                      <w:rFonts w:hint="default"/>
                      <w:color w:val="auto"/>
                    </w:rPr>
                  </w:pPr>
                  <w:r>
                    <w:rPr>
                      <w:rFonts w:hint="default"/>
                      <w:color w:val="auto"/>
                      <w:lang w:val="en-US" w:eastAsia="zh-CN"/>
                    </w:rPr>
                    <w:t>0.025</w:t>
                  </w:r>
                </w:p>
              </w:tc>
              <w:tc>
                <w:tcPr>
                  <w:tcW w:w="664" w:type="pct"/>
                  <w:tcBorders>
                    <w:tl2br w:val="nil"/>
                    <w:tr2bl w:val="nil"/>
                  </w:tcBorders>
                  <w:shd w:val="clear" w:color="auto" w:fill="auto"/>
                  <w:vAlign w:val="center"/>
                </w:tcPr>
                <w:p w14:paraId="5B3955CD">
                  <w:pPr>
                    <w:pStyle w:val="22"/>
                    <w:bidi w:val="0"/>
                    <w:rPr>
                      <w:rFonts w:hint="default"/>
                      <w:color w:val="auto"/>
                    </w:rPr>
                  </w:pPr>
                  <w:r>
                    <w:rPr>
                      <w:rFonts w:hint="default"/>
                      <w:color w:val="auto"/>
                      <w:lang w:val="en-US" w:eastAsia="zh-CN"/>
                    </w:rPr>
                    <w:t>0.025</w:t>
                  </w:r>
                </w:p>
              </w:tc>
              <w:tc>
                <w:tcPr>
                  <w:tcW w:w="641" w:type="pct"/>
                  <w:vMerge w:val="continue"/>
                  <w:tcBorders>
                    <w:tl2br w:val="nil"/>
                    <w:tr2bl w:val="nil"/>
                  </w:tcBorders>
                  <w:shd w:val="clear" w:color="auto" w:fill="auto"/>
                  <w:vAlign w:val="center"/>
                </w:tcPr>
                <w:p w14:paraId="1B761E78">
                  <w:pPr>
                    <w:pStyle w:val="22"/>
                    <w:bidi w:val="0"/>
                    <w:rPr>
                      <w:rFonts w:hint="default"/>
                      <w:color w:val="auto"/>
                    </w:rPr>
                  </w:pPr>
                </w:p>
              </w:tc>
            </w:tr>
            <w:tr w14:paraId="3177B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416A2552">
                  <w:pPr>
                    <w:pStyle w:val="22"/>
                    <w:bidi w:val="0"/>
                    <w:rPr>
                      <w:rFonts w:hint="default"/>
                      <w:color w:val="auto"/>
                    </w:rPr>
                  </w:pPr>
                </w:p>
              </w:tc>
              <w:tc>
                <w:tcPr>
                  <w:tcW w:w="1114" w:type="pct"/>
                  <w:tcBorders>
                    <w:tl2br w:val="nil"/>
                    <w:tr2bl w:val="nil"/>
                  </w:tcBorders>
                  <w:shd w:val="clear" w:color="auto" w:fill="auto"/>
                  <w:vAlign w:val="center"/>
                </w:tcPr>
                <w:p w14:paraId="2960DD15">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52C9E64B">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47926EDB">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4F045D5D">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40052AC4">
                  <w:pPr>
                    <w:pStyle w:val="22"/>
                    <w:bidi w:val="0"/>
                    <w:rPr>
                      <w:rFonts w:hint="default"/>
                      <w:color w:val="auto"/>
                    </w:rPr>
                  </w:pPr>
                </w:p>
              </w:tc>
            </w:tr>
            <w:tr w14:paraId="209B4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548340D1">
                  <w:pPr>
                    <w:pStyle w:val="22"/>
                    <w:bidi w:val="0"/>
                    <w:rPr>
                      <w:rFonts w:hint="default"/>
                      <w:color w:val="auto"/>
                    </w:rPr>
                  </w:pPr>
                  <w:r>
                    <w:rPr>
                      <w:rFonts w:hint="default"/>
                      <w:color w:val="auto"/>
                      <w:lang w:val="en-US" w:eastAsia="zh-CN"/>
                    </w:rPr>
                    <w:t>铜</w:t>
                  </w:r>
                </w:p>
              </w:tc>
              <w:tc>
                <w:tcPr>
                  <w:tcW w:w="1114" w:type="pct"/>
                  <w:tcBorders>
                    <w:tl2br w:val="nil"/>
                    <w:tr2bl w:val="nil"/>
                  </w:tcBorders>
                  <w:shd w:val="clear" w:color="auto" w:fill="auto"/>
                  <w:vAlign w:val="center"/>
                </w:tcPr>
                <w:p w14:paraId="1A26A95F">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18AD797F">
                  <w:pPr>
                    <w:pStyle w:val="22"/>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3BA5C539">
                  <w:pPr>
                    <w:pStyle w:val="22"/>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1F1338BD">
                  <w:pPr>
                    <w:pStyle w:val="22"/>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77B74507">
                  <w:pPr>
                    <w:pStyle w:val="22"/>
                    <w:bidi w:val="0"/>
                    <w:rPr>
                      <w:rFonts w:hint="default"/>
                      <w:color w:val="auto"/>
                    </w:rPr>
                  </w:pPr>
                  <w:r>
                    <w:rPr>
                      <w:rFonts w:hint="default"/>
                      <w:color w:val="auto"/>
                      <w:lang w:val="en-US" w:eastAsia="zh-CN"/>
                    </w:rPr>
                    <w:t>≤1.0</w:t>
                  </w:r>
                </w:p>
              </w:tc>
            </w:tr>
            <w:tr w14:paraId="2C1E6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22091B74">
                  <w:pPr>
                    <w:pStyle w:val="22"/>
                    <w:bidi w:val="0"/>
                    <w:rPr>
                      <w:rFonts w:hint="default"/>
                      <w:color w:val="auto"/>
                    </w:rPr>
                  </w:pPr>
                </w:p>
              </w:tc>
              <w:tc>
                <w:tcPr>
                  <w:tcW w:w="1114" w:type="pct"/>
                  <w:tcBorders>
                    <w:tl2br w:val="nil"/>
                    <w:tr2bl w:val="nil"/>
                  </w:tcBorders>
                  <w:shd w:val="clear" w:color="auto" w:fill="auto"/>
                  <w:vAlign w:val="center"/>
                </w:tcPr>
                <w:p w14:paraId="4A8189CD">
                  <w:pPr>
                    <w:pStyle w:val="22"/>
                    <w:bidi w:val="0"/>
                    <w:rPr>
                      <w:rFonts w:hint="default"/>
                      <w:color w:val="auto"/>
                    </w:rPr>
                  </w:pPr>
                  <w:r>
                    <w:rPr>
                      <w:rFonts w:hint="default"/>
                      <w:color w:val="auto"/>
                      <w:lang w:val="en-US" w:eastAsia="zh-CN"/>
                    </w:rPr>
                    <w:t>单因子指数</w:t>
                  </w:r>
                </w:p>
              </w:tc>
              <w:tc>
                <w:tcPr>
                  <w:tcW w:w="641" w:type="pct"/>
                  <w:tcBorders>
                    <w:tl2br w:val="nil"/>
                    <w:tr2bl w:val="nil"/>
                  </w:tcBorders>
                  <w:shd w:val="clear" w:color="auto" w:fill="auto"/>
                  <w:vAlign w:val="center"/>
                </w:tcPr>
                <w:p w14:paraId="703ED7C7">
                  <w:pPr>
                    <w:pStyle w:val="22"/>
                    <w:bidi w:val="0"/>
                    <w:rPr>
                      <w:rFonts w:hint="default"/>
                      <w:color w:val="auto"/>
                    </w:rPr>
                  </w:pPr>
                  <w:r>
                    <w:rPr>
                      <w:rFonts w:hint="default"/>
                      <w:color w:val="auto"/>
                      <w:lang w:val="en-US" w:eastAsia="zh-CN"/>
                    </w:rPr>
                    <w:t>0.025</w:t>
                  </w:r>
                </w:p>
              </w:tc>
              <w:tc>
                <w:tcPr>
                  <w:tcW w:w="643" w:type="pct"/>
                  <w:tcBorders>
                    <w:tl2br w:val="nil"/>
                    <w:tr2bl w:val="nil"/>
                  </w:tcBorders>
                  <w:shd w:val="clear" w:color="auto" w:fill="auto"/>
                  <w:vAlign w:val="center"/>
                </w:tcPr>
                <w:p w14:paraId="1CE7FBF3">
                  <w:pPr>
                    <w:pStyle w:val="22"/>
                    <w:bidi w:val="0"/>
                    <w:rPr>
                      <w:rFonts w:hint="default"/>
                      <w:color w:val="auto"/>
                    </w:rPr>
                  </w:pPr>
                  <w:r>
                    <w:rPr>
                      <w:rFonts w:hint="default"/>
                      <w:color w:val="auto"/>
                      <w:lang w:val="en-US" w:eastAsia="zh-CN"/>
                    </w:rPr>
                    <w:t>0.025</w:t>
                  </w:r>
                </w:p>
              </w:tc>
              <w:tc>
                <w:tcPr>
                  <w:tcW w:w="664" w:type="pct"/>
                  <w:tcBorders>
                    <w:tl2br w:val="nil"/>
                    <w:tr2bl w:val="nil"/>
                  </w:tcBorders>
                  <w:shd w:val="clear" w:color="auto" w:fill="auto"/>
                  <w:vAlign w:val="center"/>
                </w:tcPr>
                <w:p w14:paraId="7A1EA8F5">
                  <w:pPr>
                    <w:pStyle w:val="22"/>
                    <w:bidi w:val="0"/>
                    <w:rPr>
                      <w:rFonts w:hint="default"/>
                      <w:color w:val="auto"/>
                    </w:rPr>
                  </w:pPr>
                  <w:r>
                    <w:rPr>
                      <w:rFonts w:hint="default"/>
                      <w:color w:val="auto"/>
                      <w:lang w:val="en-US" w:eastAsia="zh-CN"/>
                    </w:rPr>
                    <w:t>0.025</w:t>
                  </w:r>
                </w:p>
              </w:tc>
              <w:tc>
                <w:tcPr>
                  <w:tcW w:w="641" w:type="pct"/>
                  <w:vMerge w:val="continue"/>
                  <w:tcBorders>
                    <w:tl2br w:val="nil"/>
                    <w:tr2bl w:val="nil"/>
                  </w:tcBorders>
                  <w:shd w:val="clear" w:color="auto" w:fill="auto"/>
                  <w:vAlign w:val="center"/>
                </w:tcPr>
                <w:p w14:paraId="5FF06B09">
                  <w:pPr>
                    <w:pStyle w:val="22"/>
                    <w:bidi w:val="0"/>
                    <w:rPr>
                      <w:rFonts w:hint="default"/>
                      <w:color w:val="auto"/>
                    </w:rPr>
                  </w:pPr>
                </w:p>
              </w:tc>
            </w:tr>
            <w:tr w14:paraId="2279A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248D7FF4">
                  <w:pPr>
                    <w:pStyle w:val="22"/>
                    <w:bidi w:val="0"/>
                    <w:rPr>
                      <w:rFonts w:hint="default"/>
                      <w:color w:val="auto"/>
                    </w:rPr>
                  </w:pPr>
                </w:p>
              </w:tc>
              <w:tc>
                <w:tcPr>
                  <w:tcW w:w="1114" w:type="pct"/>
                  <w:tcBorders>
                    <w:tl2br w:val="nil"/>
                    <w:tr2bl w:val="nil"/>
                  </w:tcBorders>
                  <w:shd w:val="clear" w:color="auto" w:fill="auto"/>
                  <w:vAlign w:val="center"/>
                </w:tcPr>
                <w:p w14:paraId="1AAB7270">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3A49BCE5">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155E1498">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3C9CCC25">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77F84040">
                  <w:pPr>
                    <w:pStyle w:val="22"/>
                    <w:bidi w:val="0"/>
                    <w:rPr>
                      <w:rFonts w:hint="default"/>
                      <w:color w:val="auto"/>
                    </w:rPr>
                  </w:pPr>
                </w:p>
              </w:tc>
            </w:tr>
            <w:tr w14:paraId="3CAB1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4D56A198">
                  <w:pPr>
                    <w:pStyle w:val="22"/>
                    <w:bidi w:val="0"/>
                    <w:rPr>
                      <w:rFonts w:hint="default"/>
                      <w:color w:val="auto"/>
                    </w:rPr>
                  </w:pPr>
                  <w:r>
                    <w:rPr>
                      <w:rFonts w:hint="default"/>
                      <w:color w:val="auto"/>
                      <w:lang w:val="en-US" w:eastAsia="zh-CN"/>
                    </w:rPr>
                    <w:t>铅</w:t>
                  </w:r>
                </w:p>
              </w:tc>
              <w:tc>
                <w:tcPr>
                  <w:tcW w:w="1114" w:type="pct"/>
                  <w:tcBorders>
                    <w:tl2br w:val="nil"/>
                    <w:tr2bl w:val="nil"/>
                  </w:tcBorders>
                  <w:shd w:val="clear" w:color="auto" w:fill="auto"/>
                  <w:vAlign w:val="center"/>
                </w:tcPr>
                <w:p w14:paraId="5E13A720">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1D6EADE2">
                  <w:pPr>
                    <w:pStyle w:val="22"/>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41854447">
                  <w:pPr>
                    <w:pStyle w:val="22"/>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1EC78F46">
                  <w:pPr>
                    <w:pStyle w:val="22"/>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6FE6A07C">
                  <w:pPr>
                    <w:pStyle w:val="22"/>
                    <w:bidi w:val="0"/>
                    <w:rPr>
                      <w:rFonts w:hint="default"/>
                      <w:color w:val="auto"/>
                    </w:rPr>
                  </w:pPr>
                  <w:r>
                    <w:rPr>
                      <w:rFonts w:hint="default"/>
                      <w:color w:val="auto"/>
                      <w:lang w:val="en-US" w:eastAsia="zh-CN"/>
                    </w:rPr>
                    <w:t>≤0.05</w:t>
                  </w:r>
                </w:p>
              </w:tc>
            </w:tr>
            <w:tr w14:paraId="52F0A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0FCDE3E">
                  <w:pPr>
                    <w:pStyle w:val="22"/>
                    <w:bidi w:val="0"/>
                    <w:rPr>
                      <w:rFonts w:hint="default"/>
                      <w:color w:val="auto"/>
                    </w:rPr>
                  </w:pPr>
                </w:p>
              </w:tc>
              <w:tc>
                <w:tcPr>
                  <w:tcW w:w="1114" w:type="pct"/>
                  <w:tcBorders>
                    <w:tl2br w:val="nil"/>
                    <w:tr2bl w:val="nil"/>
                  </w:tcBorders>
                  <w:shd w:val="clear" w:color="auto" w:fill="auto"/>
                  <w:vAlign w:val="center"/>
                </w:tcPr>
                <w:p w14:paraId="4020C275">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6BE3548E">
                  <w:pPr>
                    <w:pStyle w:val="22"/>
                    <w:bidi w:val="0"/>
                    <w:rPr>
                      <w:rFonts w:hint="default"/>
                      <w:color w:val="auto"/>
                    </w:rPr>
                  </w:pPr>
                  <w:r>
                    <w:rPr>
                      <w:rFonts w:hint="default"/>
                      <w:color w:val="auto"/>
                      <w:lang w:val="en-US" w:eastAsia="zh-CN"/>
                    </w:rPr>
                    <w:t>0.01</w:t>
                  </w:r>
                </w:p>
              </w:tc>
              <w:tc>
                <w:tcPr>
                  <w:tcW w:w="643" w:type="pct"/>
                  <w:tcBorders>
                    <w:tl2br w:val="nil"/>
                    <w:tr2bl w:val="nil"/>
                  </w:tcBorders>
                  <w:shd w:val="clear" w:color="auto" w:fill="auto"/>
                  <w:vAlign w:val="center"/>
                </w:tcPr>
                <w:p w14:paraId="2E88D797">
                  <w:pPr>
                    <w:pStyle w:val="22"/>
                    <w:bidi w:val="0"/>
                    <w:rPr>
                      <w:rFonts w:hint="default"/>
                      <w:color w:val="auto"/>
                    </w:rPr>
                  </w:pPr>
                  <w:r>
                    <w:rPr>
                      <w:rFonts w:hint="default"/>
                      <w:color w:val="auto"/>
                      <w:lang w:val="en-US" w:eastAsia="zh-CN"/>
                    </w:rPr>
                    <w:t>0.01</w:t>
                  </w:r>
                </w:p>
              </w:tc>
              <w:tc>
                <w:tcPr>
                  <w:tcW w:w="664" w:type="pct"/>
                  <w:tcBorders>
                    <w:tl2br w:val="nil"/>
                    <w:tr2bl w:val="nil"/>
                  </w:tcBorders>
                  <w:shd w:val="clear" w:color="auto" w:fill="auto"/>
                  <w:vAlign w:val="center"/>
                </w:tcPr>
                <w:p w14:paraId="2A79EB7E">
                  <w:pPr>
                    <w:pStyle w:val="22"/>
                    <w:bidi w:val="0"/>
                    <w:rPr>
                      <w:rFonts w:hint="default"/>
                      <w:color w:val="auto"/>
                    </w:rPr>
                  </w:pPr>
                  <w:r>
                    <w:rPr>
                      <w:rFonts w:hint="default"/>
                      <w:color w:val="auto"/>
                      <w:lang w:val="en-US" w:eastAsia="zh-CN"/>
                    </w:rPr>
                    <w:t>0.01</w:t>
                  </w:r>
                </w:p>
              </w:tc>
              <w:tc>
                <w:tcPr>
                  <w:tcW w:w="641" w:type="pct"/>
                  <w:vMerge w:val="continue"/>
                  <w:tcBorders>
                    <w:tl2br w:val="nil"/>
                    <w:tr2bl w:val="nil"/>
                  </w:tcBorders>
                  <w:shd w:val="clear" w:color="auto" w:fill="auto"/>
                  <w:vAlign w:val="center"/>
                </w:tcPr>
                <w:p w14:paraId="58CE22D9">
                  <w:pPr>
                    <w:pStyle w:val="22"/>
                    <w:bidi w:val="0"/>
                    <w:rPr>
                      <w:rFonts w:hint="default"/>
                      <w:color w:val="auto"/>
                    </w:rPr>
                  </w:pPr>
                </w:p>
              </w:tc>
            </w:tr>
            <w:tr w14:paraId="4A7A5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27C14C7D">
                  <w:pPr>
                    <w:pStyle w:val="22"/>
                    <w:bidi w:val="0"/>
                    <w:rPr>
                      <w:rFonts w:hint="default"/>
                      <w:color w:val="auto"/>
                    </w:rPr>
                  </w:pPr>
                </w:p>
              </w:tc>
              <w:tc>
                <w:tcPr>
                  <w:tcW w:w="1114" w:type="pct"/>
                  <w:tcBorders>
                    <w:tl2br w:val="nil"/>
                    <w:tr2bl w:val="nil"/>
                  </w:tcBorders>
                  <w:shd w:val="clear" w:color="auto" w:fill="auto"/>
                  <w:vAlign w:val="center"/>
                </w:tcPr>
                <w:p w14:paraId="08057881">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659D7F3B">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79F37E0A">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7FB132E7">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5EC00A85">
                  <w:pPr>
                    <w:pStyle w:val="22"/>
                    <w:bidi w:val="0"/>
                    <w:rPr>
                      <w:rFonts w:hint="default"/>
                      <w:color w:val="auto"/>
                    </w:rPr>
                  </w:pPr>
                </w:p>
              </w:tc>
            </w:tr>
            <w:tr w14:paraId="311E5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01B90CAB">
                  <w:pPr>
                    <w:pStyle w:val="22"/>
                    <w:bidi w:val="0"/>
                    <w:rPr>
                      <w:rFonts w:hint="default"/>
                      <w:color w:val="auto"/>
                    </w:rPr>
                  </w:pPr>
                  <w:r>
                    <w:rPr>
                      <w:rFonts w:hint="default"/>
                      <w:color w:val="auto"/>
                      <w:lang w:val="en-US" w:eastAsia="zh-CN"/>
                    </w:rPr>
                    <w:t>镉</w:t>
                  </w:r>
                </w:p>
              </w:tc>
              <w:tc>
                <w:tcPr>
                  <w:tcW w:w="1114" w:type="pct"/>
                  <w:tcBorders>
                    <w:tl2br w:val="nil"/>
                    <w:tr2bl w:val="nil"/>
                  </w:tcBorders>
                  <w:shd w:val="clear" w:color="auto" w:fill="auto"/>
                  <w:vAlign w:val="center"/>
                </w:tcPr>
                <w:p w14:paraId="2F47F006">
                  <w:pPr>
                    <w:pStyle w:val="22"/>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557F8A12">
                  <w:pPr>
                    <w:pStyle w:val="22"/>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47BB999D">
                  <w:pPr>
                    <w:pStyle w:val="22"/>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272A8CFA">
                  <w:pPr>
                    <w:pStyle w:val="22"/>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3E6CE709">
                  <w:pPr>
                    <w:pStyle w:val="22"/>
                    <w:bidi w:val="0"/>
                    <w:rPr>
                      <w:rFonts w:hint="default"/>
                      <w:color w:val="auto"/>
                    </w:rPr>
                  </w:pPr>
                  <w:r>
                    <w:rPr>
                      <w:rFonts w:hint="default"/>
                      <w:color w:val="auto"/>
                      <w:lang w:val="en-US" w:eastAsia="zh-CN"/>
                    </w:rPr>
                    <w:t>≤0.005</w:t>
                  </w:r>
                </w:p>
              </w:tc>
            </w:tr>
            <w:tr w14:paraId="3CDA8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6F924112">
                  <w:pPr>
                    <w:pStyle w:val="22"/>
                    <w:bidi w:val="0"/>
                    <w:rPr>
                      <w:rFonts w:hint="default"/>
                      <w:color w:val="auto"/>
                    </w:rPr>
                  </w:pPr>
                </w:p>
              </w:tc>
              <w:tc>
                <w:tcPr>
                  <w:tcW w:w="1114" w:type="pct"/>
                  <w:tcBorders>
                    <w:tl2br w:val="nil"/>
                    <w:tr2bl w:val="nil"/>
                  </w:tcBorders>
                  <w:shd w:val="clear" w:color="auto" w:fill="auto"/>
                  <w:vAlign w:val="center"/>
                </w:tcPr>
                <w:p w14:paraId="68DF802F">
                  <w:pPr>
                    <w:pStyle w:val="22"/>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68632FF9">
                  <w:pPr>
                    <w:pStyle w:val="22"/>
                    <w:bidi w:val="0"/>
                    <w:rPr>
                      <w:rFonts w:hint="default"/>
                      <w:color w:val="auto"/>
                    </w:rPr>
                  </w:pPr>
                  <w:r>
                    <w:rPr>
                      <w:rFonts w:hint="default"/>
                      <w:color w:val="auto"/>
                      <w:lang w:val="en-US" w:eastAsia="zh-CN"/>
                    </w:rPr>
                    <w:t>0.01</w:t>
                  </w:r>
                </w:p>
              </w:tc>
              <w:tc>
                <w:tcPr>
                  <w:tcW w:w="643" w:type="pct"/>
                  <w:tcBorders>
                    <w:tl2br w:val="nil"/>
                    <w:tr2bl w:val="nil"/>
                  </w:tcBorders>
                  <w:shd w:val="clear" w:color="auto" w:fill="auto"/>
                  <w:vAlign w:val="center"/>
                </w:tcPr>
                <w:p w14:paraId="22EB00CF">
                  <w:pPr>
                    <w:pStyle w:val="22"/>
                    <w:bidi w:val="0"/>
                    <w:rPr>
                      <w:rFonts w:hint="default"/>
                      <w:color w:val="auto"/>
                    </w:rPr>
                  </w:pPr>
                  <w:r>
                    <w:rPr>
                      <w:rFonts w:hint="default"/>
                      <w:color w:val="auto"/>
                      <w:lang w:val="en-US" w:eastAsia="zh-CN"/>
                    </w:rPr>
                    <w:t>0.01</w:t>
                  </w:r>
                </w:p>
              </w:tc>
              <w:tc>
                <w:tcPr>
                  <w:tcW w:w="664" w:type="pct"/>
                  <w:tcBorders>
                    <w:tl2br w:val="nil"/>
                    <w:tr2bl w:val="nil"/>
                  </w:tcBorders>
                  <w:shd w:val="clear" w:color="auto" w:fill="auto"/>
                  <w:vAlign w:val="center"/>
                </w:tcPr>
                <w:p w14:paraId="004833F8">
                  <w:pPr>
                    <w:pStyle w:val="22"/>
                    <w:bidi w:val="0"/>
                    <w:rPr>
                      <w:rFonts w:hint="default"/>
                      <w:color w:val="auto"/>
                    </w:rPr>
                  </w:pPr>
                  <w:r>
                    <w:rPr>
                      <w:rFonts w:hint="default"/>
                      <w:color w:val="auto"/>
                      <w:lang w:val="en-US" w:eastAsia="zh-CN"/>
                    </w:rPr>
                    <w:t>0.01</w:t>
                  </w:r>
                </w:p>
              </w:tc>
              <w:tc>
                <w:tcPr>
                  <w:tcW w:w="641" w:type="pct"/>
                  <w:vMerge w:val="continue"/>
                  <w:tcBorders>
                    <w:tl2br w:val="nil"/>
                    <w:tr2bl w:val="nil"/>
                  </w:tcBorders>
                  <w:shd w:val="clear" w:color="auto" w:fill="auto"/>
                  <w:vAlign w:val="center"/>
                </w:tcPr>
                <w:p w14:paraId="2F5468B1">
                  <w:pPr>
                    <w:pStyle w:val="22"/>
                    <w:bidi w:val="0"/>
                    <w:rPr>
                      <w:rFonts w:hint="default"/>
                      <w:color w:val="auto"/>
                    </w:rPr>
                  </w:pPr>
                </w:p>
              </w:tc>
            </w:tr>
            <w:tr w14:paraId="36CBF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24924D1">
                  <w:pPr>
                    <w:pStyle w:val="22"/>
                    <w:bidi w:val="0"/>
                    <w:rPr>
                      <w:rFonts w:hint="default"/>
                      <w:color w:val="auto"/>
                    </w:rPr>
                  </w:pPr>
                </w:p>
              </w:tc>
              <w:tc>
                <w:tcPr>
                  <w:tcW w:w="1114" w:type="pct"/>
                  <w:tcBorders>
                    <w:tl2br w:val="nil"/>
                    <w:tr2bl w:val="nil"/>
                  </w:tcBorders>
                  <w:shd w:val="clear" w:color="auto" w:fill="auto"/>
                  <w:vAlign w:val="center"/>
                </w:tcPr>
                <w:p w14:paraId="5CB65B2E">
                  <w:pPr>
                    <w:pStyle w:val="22"/>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68C78706">
                  <w:pPr>
                    <w:pStyle w:val="22"/>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23CD7545">
                  <w:pPr>
                    <w:pStyle w:val="22"/>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3725E445">
                  <w:pPr>
                    <w:pStyle w:val="22"/>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27E8A443">
                  <w:pPr>
                    <w:pStyle w:val="22"/>
                    <w:bidi w:val="0"/>
                    <w:rPr>
                      <w:rFonts w:hint="default"/>
                      <w:color w:val="auto"/>
                    </w:rPr>
                  </w:pPr>
                </w:p>
              </w:tc>
            </w:tr>
          </w:tbl>
          <w:p w14:paraId="4337564C">
            <w:pPr>
              <w:bidi w:val="0"/>
              <w:rPr>
                <w:rFonts w:hint="eastAsia"/>
                <w:color w:val="auto"/>
                <w:lang w:val="en-US" w:eastAsia="zh-CN"/>
              </w:rPr>
            </w:pPr>
            <w:r>
              <w:rPr>
                <w:rFonts w:hint="default"/>
                <w:color w:val="auto"/>
                <w:lang w:val="en-US" w:eastAsia="zh-CN"/>
              </w:rPr>
              <w:t>由表3-</w:t>
            </w:r>
            <w:r>
              <w:rPr>
                <w:rFonts w:hint="eastAsia"/>
                <w:color w:val="auto"/>
                <w:lang w:val="en-US" w:eastAsia="zh-CN"/>
              </w:rPr>
              <w:t>4</w:t>
            </w:r>
            <w:r>
              <w:rPr>
                <w:rFonts w:hint="default"/>
                <w:color w:val="auto"/>
                <w:lang w:val="en-US" w:eastAsia="zh-CN"/>
              </w:rPr>
              <w:t>可知</w:t>
            </w:r>
            <w:r>
              <w:rPr>
                <w:rFonts w:hint="eastAsia"/>
                <w:color w:val="auto"/>
                <w:lang w:val="en-US" w:eastAsia="zh-CN"/>
              </w:rPr>
              <w:t>，</w:t>
            </w:r>
            <w:r>
              <w:rPr>
                <w:rFonts w:hint="default"/>
                <w:color w:val="auto"/>
                <w:lang w:val="en-US" w:eastAsia="zh-CN"/>
              </w:rPr>
              <w:t>根据地表水水质监测结果，淮河各断面监测指标均符合《地表水环境质量标准》（GB3838-2002）中的Ⅲ类标准要求。</w:t>
            </w:r>
          </w:p>
          <w:p w14:paraId="1561159F">
            <w:pPr>
              <w:bidi w:val="0"/>
              <w:rPr>
                <w:b/>
                <w:bCs/>
                <w:color w:val="auto"/>
              </w:rPr>
            </w:pPr>
            <w:r>
              <w:rPr>
                <w:b/>
                <w:bCs/>
                <w:color w:val="auto"/>
              </w:rPr>
              <w:t>三、</w:t>
            </w:r>
            <w:r>
              <w:rPr>
                <w:rFonts w:hint="eastAsia"/>
                <w:b/>
                <w:bCs/>
                <w:color w:val="auto"/>
              </w:rPr>
              <w:t>声环境</w:t>
            </w:r>
          </w:p>
          <w:p w14:paraId="48BA03E7">
            <w:pPr>
              <w:bidi w:val="0"/>
              <w:rPr>
                <w:color w:val="auto"/>
              </w:rPr>
            </w:pPr>
            <w:r>
              <w:rPr>
                <w:color w:val="auto"/>
              </w:rPr>
              <w:t>本项目位于</w:t>
            </w:r>
            <w:r>
              <w:rPr>
                <w:rFonts w:hint="eastAsia"/>
                <w:color w:val="auto"/>
                <w:lang w:val="en-US" w:eastAsia="zh-CN"/>
              </w:rPr>
              <w:t>潘集区经济开发区</w:t>
            </w:r>
            <w:r>
              <w:rPr>
                <w:color w:val="auto"/>
              </w:rPr>
              <w:t>，根据《声环境质量标准》（GB3096-2008）中声环境质量功能区的分类方法，区域为声环境质量</w:t>
            </w:r>
            <w:r>
              <w:rPr>
                <w:rFonts w:hint="eastAsia"/>
                <w:color w:val="auto"/>
              </w:rPr>
              <w:t>3</w:t>
            </w:r>
            <w:r>
              <w:rPr>
                <w:color w:val="auto"/>
              </w:rPr>
              <w:t>类功能区，执行《声环境质量标准》（GB3096-2008）的</w:t>
            </w:r>
            <w:r>
              <w:rPr>
                <w:rFonts w:hint="eastAsia"/>
                <w:color w:val="auto"/>
              </w:rPr>
              <w:t>3</w:t>
            </w:r>
            <w:r>
              <w:rPr>
                <w:color w:val="auto"/>
              </w:rPr>
              <w:t>类标准，（即昼间≤6</w:t>
            </w:r>
            <w:r>
              <w:rPr>
                <w:rFonts w:hint="eastAsia"/>
                <w:color w:val="auto"/>
              </w:rPr>
              <w:t>5</w:t>
            </w:r>
            <w:r>
              <w:rPr>
                <w:color w:val="auto"/>
              </w:rPr>
              <w:t>dB(A)、夜间≤5</w:t>
            </w:r>
            <w:r>
              <w:rPr>
                <w:rFonts w:hint="eastAsia"/>
                <w:color w:val="auto"/>
              </w:rPr>
              <w:t>5</w:t>
            </w:r>
            <w:r>
              <w:rPr>
                <w:color w:val="auto"/>
              </w:rPr>
              <w:t>dB(A)）。</w:t>
            </w:r>
          </w:p>
          <w:p w14:paraId="3A441373">
            <w:pPr>
              <w:bidi w:val="0"/>
              <w:rPr>
                <w:rFonts w:hint="eastAsia"/>
                <w:color w:val="auto"/>
              </w:rPr>
            </w:pPr>
            <w:r>
              <w:rPr>
                <w:color w:val="auto"/>
              </w:rPr>
              <w:t>由于项目厂界外50m范围内不存在声环境保护目标，</w:t>
            </w:r>
            <w:r>
              <w:rPr>
                <w:rFonts w:hint="eastAsia"/>
                <w:color w:val="auto"/>
              </w:rPr>
              <w:t>根据《建设项目环境影响报告表编制指南》，可不进行声环境现状监测，本项目未进行声环境质量现状监测。</w:t>
            </w:r>
          </w:p>
          <w:p w14:paraId="525E8FDB">
            <w:pPr>
              <w:bidi w:val="0"/>
              <w:rPr>
                <w:b/>
                <w:bCs/>
                <w:color w:val="auto"/>
              </w:rPr>
            </w:pPr>
            <w:r>
              <w:rPr>
                <w:rFonts w:hint="eastAsia"/>
                <w:b/>
                <w:bCs/>
                <w:color w:val="auto"/>
              </w:rPr>
              <w:t>四、地下水、土壤环境质量现状</w:t>
            </w:r>
          </w:p>
          <w:p w14:paraId="66530BF2">
            <w:pPr>
              <w:bidi w:val="0"/>
              <w:rPr>
                <w:color w:val="auto"/>
                <w:lang w:val="en-US" w:eastAsia="zh-CN"/>
              </w:rPr>
            </w:pPr>
            <w:r>
              <w:rPr>
                <w:color w:val="auto"/>
                <w:lang w:val="en-US" w:eastAsia="zh-CN"/>
              </w:rPr>
              <w:t>根据《建设项目环境影响报告表编制技术指南（污染影响类）（试行）》中要求，原则上不开展地下水和土壤环境质量现状调查。建设项目存在土壤、地下水环境污染途径的，应结合污染源、保护目标分布情况开展现状调查以留作背景值。</w:t>
            </w:r>
          </w:p>
          <w:p w14:paraId="22ECFAC4">
            <w:pPr>
              <w:bidi w:val="0"/>
              <w:rPr>
                <w:color w:val="auto"/>
                <w:lang w:val="en-US" w:eastAsia="zh-CN"/>
              </w:rPr>
            </w:pPr>
            <w:r>
              <w:rPr>
                <w:color w:val="auto"/>
                <w:lang w:val="en-US" w:eastAsia="zh-CN"/>
              </w:rPr>
              <w:t>项目厂界外500米范围内无地下水集中式饮用水水源和热水、矿泉水、温泉等特殊地下水资源。项目周边200m范围内均为工业用地及企业，无土壤敏感目标。</w:t>
            </w:r>
          </w:p>
          <w:p w14:paraId="134BE1DC">
            <w:pPr>
              <w:bidi w:val="0"/>
              <w:rPr>
                <w:color w:val="auto"/>
              </w:rPr>
            </w:pPr>
            <w:r>
              <w:rPr>
                <w:color w:val="auto"/>
              </w:rPr>
              <w:t>本项目建设完整的</w:t>
            </w:r>
            <w:r>
              <w:rPr>
                <w:rFonts w:hint="eastAsia"/>
                <w:color w:val="auto"/>
                <w:lang w:eastAsia="zh-CN"/>
              </w:rPr>
              <w:t>“</w:t>
            </w:r>
            <w:r>
              <w:rPr>
                <w:color w:val="auto"/>
              </w:rPr>
              <w:t>雨污分流、清污分流</w:t>
            </w:r>
            <w:r>
              <w:rPr>
                <w:rFonts w:hint="eastAsia"/>
                <w:color w:val="auto"/>
                <w:lang w:eastAsia="zh-CN"/>
              </w:rPr>
              <w:t>”</w:t>
            </w:r>
            <w:r>
              <w:rPr>
                <w:color w:val="auto"/>
              </w:rPr>
              <w:t>排水系统，雨水排入雨水管网。危废间</w:t>
            </w:r>
            <w:r>
              <w:rPr>
                <w:rFonts w:hint="eastAsia"/>
                <w:color w:val="auto"/>
                <w:lang w:eastAsia="zh-CN"/>
              </w:rPr>
              <w:t>、</w:t>
            </w:r>
            <w:r>
              <w:rPr>
                <w:rFonts w:hint="eastAsia"/>
                <w:color w:val="auto"/>
                <w:lang w:val="en-US" w:eastAsia="zh-CN"/>
              </w:rPr>
              <w:t>循环水池</w:t>
            </w:r>
            <w:r>
              <w:rPr>
                <w:color w:val="auto"/>
              </w:rPr>
              <w:t>区域采取重点防渗措施，存储物料不会外泄进入外环境对污染地下水和土壤造成污染。</w:t>
            </w:r>
          </w:p>
          <w:p w14:paraId="2053C8A2">
            <w:pPr>
              <w:bidi w:val="0"/>
              <w:rPr>
                <w:b/>
                <w:bCs/>
                <w:color w:val="auto"/>
              </w:rPr>
            </w:pPr>
            <w:r>
              <w:rPr>
                <w:b/>
                <w:bCs/>
                <w:color w:val="auto"/>
              </w:rPr>
              <w:t>五、生态环境质量现状</w:t>
            </w:r>
          </w:p>
          <w:p w14:paraId="7102035D">
            <w:pPr>
              <w:bidi w:val="0"/>
              <w:rPr>
                <w:rFonts w:hint="eastAsia"/>
                <w:color w:val="0000FF"/>
              </w:rPr>
            </w:pPr>
            <w:r>
              <w:rPr>
                <w:color w:val="auto"/>
              </w:rPr>
              <w:t>本项目位于</w:t>
            </w:r>
            <w:r>
              <w:rPr>
                <w:rFonts w:hint="eastAsia"/>
                <w:color w:val="auto"/>
                <w:lang w:val="en-US" w:eastAsia="zh-CN"/>
              </w:rPr>
              <w:t>潘集区经济开发区（北区）</w:t>
            </w:r>
            <w:r>
              <w:rPr>
                <w:color w:val="auto"/>
              </w:rPr>
              <w:t>，位于规划的工业园区内，项目为现状工业用地。</w:t>
            </w:r>
          </w:p>
        </w:tc>
      </w:tr>
      <w:tr w14:paraId="790574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680" w:type="dxa"/>
            <w:noWrap w:val="0"/>
            <w:vAlign w:val="center"/>
          </w:tcPr>
          <w:p w14:paraId="3AD8E4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FF"/>
              </w:rPr>
            </w:pPr>
            <w:r>
              <w:rPr>
                <w:color w:val="auto"/>
              </w:rPr>
              <w:t>环境保护目标</w:t>
            </w:r>
          </w:p>
        </w:tc>
        <w:tc>
          <w:tcPr>
            <w:tcW w:w="8404" w:type="dxa"/>
            <w:noWrap w:val="0"/>
            <w:vAlign w:val="center"/>
          </w:tcPr>
          <w:p w14:paraId="6B3550AB">
            <w:pPr>
              <w:bidi w:val="0"/>
              <w:rPr>
                <w:b/>
                <w:bCs/>
                <w:color w:val="auto"/>
              </w:rPr>
            </w:pPr>
            <w:r>
              <w:rPr>
                <w:b/>
                <w:bCs/>
                <w:color w:val="auto"/>
              </w:rPr>
              <w:t>1、大气环境</w:t>
            </w:r>
          </w:p>
          <w:p w14:paraId="6609136E">
            <w:pPr>
              <w:bidi w:val="0"/>
              <w:rPr>
                <w:color w:val="auto"/>
              </w:rPr>
            </w:pPr>
            <w:r>
              <w:rPr>
                <w:rFonts w:hint="eastAsia"/>
                <w:color w:val="auto"/>
                <w:lang w:val="en-US" w:eastAsia="zh-CN"/>
              </w:rPr>
              <w:t>本项目</w:t>
            </w:r>
            <w:r>
              <w:rPr>
                <w:rFonts w:hint="eastAsia"/>
                <w:color w:val="auto"/>
              </w:rPr>
              <w:t>位于</w:t>
            </w:r>
            <w:r>
              <w:rPr>
                <w:rFonts w:hint="eastAsia"/>
                <w:color w:val="auto"/>
                <w:lang w:val="en-US" w:eastAsia="zh-CN"/>
              </w:rPr>
              <w:t>潘集区经济开发区（安徽（淮南）现代煤化工产业园）</w:t>
            </w:r>
            <w:r>
              <w:rPr>
                <w:color w:val="auto"/>
              </w:rPr>
              <w:t>，项目</w:t>
            </w:r>
            <w:r>
              <w:rPr>
                <w:rFonts w:hint="eastAsia"/>
                <w:color w:val="auto"/>
              </w:rPr>
              <w:t>安徽万华电气股份有限公司办公楼，南侧为安徽万华电气股份有限公司现有闲置厂房，西侧为园区内部道路，隔路西侧为园区现有闲置厂房。厂界周边500m范围内不涉及自然保护区、风景名胜区，根据评价范围，以评价范围内环境敏感点作为保护目标，本项目周边5</w:t>
            </w:r>
            <w:r>
              <w:rPr>
                <w:color w:val="auto"/>
              </w:rPr>
              <w:t>00m</w:t>
            </w:r>
            <w:r>
              <w:rPr>
                <w:rFonts w:hint="eastAsia"/>
                <w:color w:val="auto"/>
              </w:rPr>
              <w:t>范围内大气环境敏感目标分布见下表。</w:t>
            </w:r>
          </w:p>
          <w:p w14:paraId="03D96CBD">
            <w:pPr>
              <w:pStyle w:val="21"/>
              <w:bidi w:val="0"/>
              <w:rPr>
                <w:rFonts w:hint="eastAsia"/>
                <w:color w:val="0000FF"/>
                <w:lang w:val="en-US" w:eastAsia="zh-CN"/>
              </w:rPr>
            </w:pPr>
          </w:p>
          <w:p w14:paraId="1F6EA7CE">
            <w:pPr>
              <w:pStyle w:val="21"/>
              <w:bidi w:val="0"/>
              <w:rPr>
                <w:color w:val="auto"/>
                <w:lang w:val="en-US" w:eastAsia="zh-CN"/>
              </w:rPr>
            </w:pPr>
            <w:r>
              <w:rPr>
                <w:rFonts w:hint="eastAsia"/>
                <w:color w:val="auto"/>
                <w:lang w:val="en-US" w:eastAsia="zh-CN"/>
              </w:rPr>
              <w:t>表3-5  主要环境保护目标一览表</w:t>
            </w:r>
          </w:p>
          <w:tbl>
            <w:tblPr>
              <w:tblStyle w:val="12"/>
              <w:tblW w:w="48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80"/>
              <w:gridCol w:w="1162"/>
              <w:gridCol w:w="690"/>
              <w:gridCol w:w="765"/>
              <w:gridCol w:w="1359"/>
              <w:gridCol w:w="1311"/>
              <w:gridCol w:w="1125"/>
              <w:gridCol w:w="1145"/>
            </w:tblGrid>
            <w:tr w14:paraId="66C28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356" w:type="pct"/>
                  <w:vMerge w:val="restart"/>
                  <w:noWrap w:val="0"/>
                  <w:vAlign w:val="center"/>
                </w:tcPr>
                <w:p w14:paraId="186A9971">
                  <w:pPr>
                    <w:pStyle w:val="22"/>
                    <w:bidi w:val="0"/>
                    <w:rPr>
                      <w:b/>
                      <w:bCs/>
                      <w:color w:val="auto"/>
                    </w:rPr>
                  </w:pPr>
                  <w:r>
                    <w:rPr>
                      <w:b/>
                      <w:bCs/>
                      <w:color w:val="auto"/>
                    </w:rPr>
                    <w:t>环境要素</w:t>
                  </w:r>
                </w:p>
              </w:tc>
              <w:tc>
                <w:tcPr>
                  <w:tcW w:w="714" w:type="pct"/>
                  <w:vMerge w:val="restart"/>
                  <w:noWrap w:val="0"/>
                  <w:vAlign w:val="center"/>
                </w:tcPr>
                <w:p w14:paraId="6861E492">
                  <w:pPr>
                    <w:pStyle w:val="22"/>
                    <w:bidi w:val="0"/>
                    <w:rPr>
                      <w:b/>
                      <w:bCs/>
                      <w:color w:val="auto"/>
                    </w:rPr>
                  </w:pPr>
                  <w:r>
                    <w:rPr>
                      <w:b/>
                      <w:bCs/>
                      <w:color w:val="auto"/>
                    </w:rPr>
                    <w:t>保护目标</w:t>
                  </w:r>
                </w:p>
              </w:tc>
              <w:tc>
                <w:tcPr>
                  <w:tcW w:w="423" w:type="pct"/>
                  <w:vMerge w:val="restart"/>
                  <w:noWrap w:val="0"/>
                  <w:vAlign w:val="center"/>
                </w:tcPr>
                <w:p w14:paraId="5FF56623">
                  <w:pPr>
                    <w:pStyle w:val="22"/>
                    <w:bidi w:val="0"/>
                    <w:rPr>
                      <w:b/>
                      <w:bCs/>
                      <w:color w:val="auto"/>
                    </w:rPr>
                  </w:pPr>
                  <w:r>
                    <w:rPr>
                      <w:b/>
                      <w:bCs/>
                      <w:color w:val="auto"/>
                    </w:rPr>
                    <w:t>方位</w:t>
                  </w:r>
                </w:p>
              </w:tc>
              <w:tc>
                <w:tcPr>
                  <w:tcW w:w="470" w:type="pct"/>
                  <w:vMerge w:val="restart"/>
                  <w:noWrap w:val="0"/>
                  <w:vAlign w:val="center"/>
                </w:tcPr>
                <w:p w14:paraId="02CAA5C5">
                  <w:pPr>
                    <w:pStyle w:val="22"/>
                    <w:bidi w:val="0"/>
                    <w:rPr>
                      <w:b/>
                      <w:bCs/>
                      <w:color w:val="auto"/>
                    </w:rPr>
                  </w:pPr>
                  <w:r>
                    <w:rPr>
                      <w:b/>
                      <w:bCs/>
                      <w:color w:val="auto"/>
                    </w:rPr>
                    <w:t>距离/m</w:t>
                  </w:r>
                </w:p>
              </w:tc>
              <w:tc>
                <w:tcPr>
                  <w:tcW w:w="835" w:type="pct"/>
                  <w:vMerge w:val="restart"/>
                  <w:noWrap w:val="0"/>
                  <w:vAlign w:val="center"/>
                </w:tcPr>
                <w:p w14:paraId="2A289C8B">
                  <w:pPr>
                    <w:pStyle w:val="22"/>
                    <w:bidi w:val="0"/>
                    <w:rPr>
                      <w:b/>
                      <w:bCs/>
                      <w:color w:val="auto"/>
                    </w:rPr>
                  </w:pPr>
                  <w:r>
                    <w:rPr>
                      <w:rFonts w:hint="eastAsia"/>
                      <w:b/>
                      <w:bCs/>
                      <w:color w:val="auto"/>
                    </w:rPr>
                    <w:t>规模</w:t>
                  </w:r>
                </w:p>
              </w:tc>
              <w:tc>
                <w:tcPr>
                  <w:tcW w:w="1496" w:type="pct"/>
                  <w:gridSpan w:val="2"/>
                  <w:noWrap w:val="0"/>
                  <w:vAlign w:val="center"/>
                </w:tcPr>
                <w:p w14:paraId="0E6FBAC4">
                  <w:pPr>
                    <w:pStyle w:val="22"/>
                    <w:bidi w:val="0"/>
                    <w:rPr>
                      <w:b/>
                      <w:bCs/>
                      <w:color w:val="auto"/>
                    </w:rPr>
                  </w:pPr>
                  <w:r>
                    <w:rPr>
                      <w:b/>
                      <w:bCs/>
                      <w:color w:val="auto"/>
                    </w:rPr>
                    <w:t>坐标</w:t>
                  </w:r>
                </w:p>
              </w:tc>
              <w:tc>
                <w:tcPr>
                  <w:tcW w:w="703" w:type="pct"/>
                  <w:vMerge w:val="restart"/>
                  <w:noWrap w:val="0"/>
                  <w:vAlign w:val="center"/>
                </w:tcPr>
                <w:p w14:paraId="6340849A">
                  <w:pPr>
                    <w:pStyle w:val="22"/>
                    <w:bidi w:val="0"/>
                    <w:rPr>
                      <w:b/>
                      <w:bCs/>
                      <w:color w:val="auto"/>
                    </w:rPr>
                  </w:pPr>
                  <w:r>
                    <w:rPr>
                      <w:b/>
                      <w:bCs/>
                      <w:color w:val="auto"/>
                    </w:rPr>
                    <w:t>环境功能及保护级别</w:t>
                  </w:r>
                </w:p>
              </w:tc>
            </w:tr>
            <w:tr w14:paraId="23FE2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56" w:type="pct"/>
                  <w:vMerge w:val="continue"/>
                  <w:noWrap w:val="0"/>
                  <w:vAlign w:val="center"/>
                </w:tcPr>
                <w:p w14:paraId="71901F1F">
                  <w:pPr>
                    <w:pStyle w:val="22"/>
                    <w:bidi w:val="0"/>
                    <w:rPr>
                      <w:b/>
                      <w:bCs/>
                      <w:color w:val="auto"/>
                    </w:rPr>
                  </w:pPr>
                </w:p>
              </w:tc>
              <w:tc>
                <w:tcPr>
                  <w:tcW w:w="714" w:type="pct"/>
                  <w:vMerge w:val="continue"/>
                  <w:noWrap w:val="0"/>
                  <w:vAlign w:val="center"/>
                </w:tcPr>
                <w:p w14:paraId="7287DE54">
                  <w:pPr>
                    <w:pStyle w:val="22"/>
                    <w:bidi w:val="0"/>
                    <w:rPr>
                      <w:b/>
                      <w:bCs/>
                      <w:color w:val="auto"/>
                    </w:rPr>
                  </w:pPr>
                </w:p>
              </w:tc>
              <w:tc>
                <w:tcPr>
                  <w:tcW w:w="423" w:type="pct"/>
                  <w:vMerge w:val="continue"/>
                  <w:noWrap w:val="0"/>
                  <w:vAlign w:val="center"/>
                </w:tcPr>
                <w:p w14:paraId="19694F19">
                  <w:pPr>
                    <w:pStyle w:val="22"/>
                    <w:bidi w:val="0"/>
                    <w:rPr>
                      <w:b/>
                      <w:bCs/>
                      <w:color w:val="auto"/>
                    </w:rPr>
                  </w:pPr>
                </w:p>
              </w:tc>
              <w:tc>
                <w:tcPr>
                  <w:tcW w:w="470" w:type="pct"/>
                  <w:vMerge w:val="continue"/>
                  <w:noWrap w:val="0"/>
                  <w:vAlign w:val="center"/>
                </w:tcPr>
                <w:p w14:paraId="6AC8A701">
                  <w:pPr>
                    <w:pStyle w:val="22"/>
                    <w:bidi w:val="0"/>
                    <w:rPr>
                      <w:b/>
                      <w:bCs/>
                      <w:color w:val="auto"/>
                    </w:rPr>
                  </w:pPr>
                </w:p>
              </w:tc>
              <w:tc>
                <w:tcPr>
                  <w:tcW w:w="835" w:type="pct"/>
                  <w:vMerge w:val="continue"/>
                  <w:noWrap w:val="0"/>
                  <w:vAlign w:val="center"/>
                </w:tcPr>
                <w:p w14:paraId="34F70349">
                  <w:pPr>
                    <w:pStyle w:val="22"/>
                    <w:bidi w:val="0"/>
                    <w:rPr>
                      <w:b/>
                      <w:bCs/>
                      <w:color w:val="auto"/>
                    </w:rPr>
                  </w:pPr>
                </w:p>
              </w:tc>
              <w:tc>
                <w:tcPr>
                  <w:tcW w:w="805" w:type="pct"/>
                  <w:noWrap w:val="0"/>
                  <w:vAlign w:val="center"/>
                </w:tcPr>
                <w:p w14:paraId="5DA0EA1E">
                  <w:pPr>
                    <w:pStyle w:val="22"/>
                    <w:bidi w:val="0"/>
                    <w:rPr>
                      <w:b/>
                      <w:bCs/>
                      <w:color w:val="auto"/>
                    </w:rPr>
                  </w:pPr>
                  <w:r>
                    <w:rPr>
                      <w:b/>
                      <w:bCs/>
                      <w:color w:val="auto"/>
                    </w:rPr>
                    <w:t>X</w:t>
                  </w:r>
                </w:p>
              </w:tc>
              <w:tc>
                <w:tcPr>
                  <w:tcW w:w="691" w:type="pct"/>
                  <w:noWrap w:val="0"/>
                  <w:vAlign w:val="center"/>
                </w:tcPr>
                <w:p w14:paraId="7EE759C7">
                  <w:pPr>
                    <w:pStyle w:val="22"/>
                    <w:bidi w:val="0"/>
                    <w:rPr>
                      <w:b/>
                      <w:bCs/>
                      <w:color w:val="auto"/>
                    </w:rPr>
                  </w:pPr>
                  <w:r>
                    <w:rPr>
                      <w:b/>
                      <w:bCs/>
                      <w:color w:val="auto"/>
                    </w:rPr>
                    <w:t>Y</w:t>
                  </w:r>
                </w:p>
              </w:tc>
              <w:tc>
                <w:tcPr>
                  <w:tcW w:w="703" w:type="pct"/>
                  <w:vMerge w:val="continue"/>
                  <w:noWrap w:val="0"/>
                  <w:vAlign w:val="center"/>
                </w:tcPr>
                <w:p w14:paraId="75B8D40F">
                  <w:pPr>
                    <w:pStyle w:val="22"/>
                    <w:bidi w:val="0"/>
                    <w:rPr>
                      <w:color w:val="auto"/>
                    </w:rPr>
                  </w:pPr>
                </w:p>
              </w:tc>
            </w:tr>
            <w:tr w14:paraId="598C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56" w:type="pct"/>
                  <w:noWrap w:val="0"/>
                  <w:vAlign w:val="center"/>
                </w:tcPr>
                <w:p w14:paraId="59E06FF4">
                  <w:pPr>
                    <w:pStyle w:val="22"/>
                    <w:bidi w:val="0"/>
                    <w:rPr>
                      <w:color w:val="auto"/>
                    </w:rPr>
                  </w:pPr>
                  <w:r>
                    <w:rPr>
                      <w:color w:val="auto"/>
                    </w:rPr>
                    <w:t>大气环境</w:t>
                  </w:r>
                </w:p>
              </w:tc>
              <w:tc>
                <w:tcPr>
                  <w:tcW w:w="714" w:type="pct"/>
                  <w:noWrap w:val="0"/>
                  <w:vAlign w:val="center"/>
                </w:tcPr>
                <w:p w14:paraId="0223AFF6">
                  <w:pPr>
                    <w:pStyle w:val="22"/>
                    <w:bidi w:val="0"/>
                    <w:rPr>
                      <w:rFonts w:hint="default"/>
                      <w:color w:val="auto"/>
                      <w:lang w:val="en-US" w:eastAsia="zh-CN"/>
                    </w:rPr>
                  </w:pPr>
                  <w:r>
                    <w:rPr>
                      <w:rFonts w:hint="eastAsia"/>
                      <w:color w:val="auto"/>
                      <w:lang w:val="en-US" w:eastAsia="zh-CN"/>
                    </w:rPr>
                    <w:t>潘集经济开发区管委会</w:t>
                  </w:r>
                </w:p>
              </w:tc>
              <w:tc>
                <w:tcPr>
                  <w:tcW w:w="423" w:type="pct"/>
                  <w:noWrap w:val="0"/>
                  <w:vAlign w:val="center"/>
                </w:tcPr>
                <w:p w14:paraId="67130D28">
                  <w:pPr>
                    <w:pStyle w:val="22"/>
                    <w:bidi w:val="0"/>
                    <w:rPr>
                      <w:rFonts w:hint="default"/>
                      <w:color w:val="auto"/>
                      <w:lang w:val="en-US" w:eastAsia="zh-CN"/>
                    </w:rPr>
                  </w:pPr>
                  <w:r>
                    <w:rPr>
                      <w:rFonts w:hint="eastAsia"/>
                      <w:color w:val="auto"/>
                      <w:lang w:val="en-US" w:eastAsia="zh-CN"/>
                    </w:rPr>
                    <w:t>NE</w:t>
                  </w:r>
                </w:p>
              </w:tc>
              <w:tc>
                <w:tcPr>
                  <w:tcW w:w="470" w:type="pct"/>
                  <w:noWrap w:val="0"/>
                  <w:vAlign w:val="center"/>
                </w:tcPr>
                <w:p w14:paraId="742A5F49">
                  <w:pPr>
                    <w:pStyle w:val="22"/>
                    <w:bidi w:val="0"/>
                    <w:rPr>
                      <w:rFonts w:hint="default"/>
                      <w:color w:val="auto"/>
                      <w:lang w:val="en-US" w:eastAsia="zh-CN"/>
                    </w:rPr>
                  </w:pPr>
                  <w:r>
                    <w:rPr>
                      <w:rFonts w:hint="eastAsia"/>
                      <w:color w:val="auto"/>
                      <w:lang w:val="en-US" w:eastAsia="zh-CN"/>
                    </w:rPr>
                    <w:t>170</w:t>
                  </w:r>
                </w:p>
              </w:tc>
              <w:tc>
                <w:tcPr>
                  <w:tcW w:w="835" w:type="pct"/>
                  <w:noWrap w:val="0"/>
                  <w:vAlign w:val="center"/>
                </w:tcPr>
                <w:p w14:paraId="608775A5">
                  <w:pPr>
                    <w:pStyle w:val="22"/>
                    <w:bidi w:val="0"/>
                    <w:rPr>
                      <w:color w:val="auto"/>
                    </w:rPr>
                  </w:pPr>
                  <w:r>
                    <w:rPr>
                      <w:rFonts w:hint="eastAsia"/>
                      <w:color w:val="auto"/>
                      <w:lang w:val="en-US" w:eastAsia="zh-CN"/>
                    </w:rPr>
                    <w:t>办公人员，12</w:t>
                  </w:r>
                  <w:r>
                    <w:rPr>
                      <w:rFonts w:hint="eastAsia"/>
                      <w:color w:val="auto"/>
                    </w:rPr>
                    <w:t>0人</w:t>
                  </w:r>
                </w:p>
              </w:tc>
              <w:tc>
                <w:tcPr>
                  <w:tcW w:w="805" w:type="pct"/>
                  <w:noWrap w:val="0"/>
                  <w:vAlign w:val="center"/>
                </w:tcPr>
                <w:p w14:paraId="31251CD7">
                  <w:pPr>
                    <w:pStyle w:val="22"/>
                    <w:bidi w:val="0"/>
                    <w:rPr>
                      <w:rFonts w:hint="default"/>
                      <w:color w:val="auto"/>
                      <w:lang w:val="en-US" w:eastAsia="zh-CN"/>
                    </w:rPr>
                  </w:pPr>
                  <w:r>
                    <w:rPr>
                      <w:rFonts w:hint="eastAsia"/>
                      <w:color w:val="auto"/>
                    </w:rPr>
                    <w:t>116.</w:t>
                  </w:r>
                  <w:r>
                    <w:rPr>
                      <w:rFonts w:hint="eastAsia"/>
                      <w:color w:val="auto"/>
                      <w:lang w:val="en-US" w:eastAsia="zh-CN"/>
                    </w:rPr>
                    <w:t>907307</w:t>
                  </w:r>
                </w:p>
              </w:tc>
              <w:tc>
                <w:tcPr>
                  <w:tcW w:w="691" w:type="pct"/>
                  <w:noWrap w:val="0"/>
                  <w:vAlign w:val="center"/>
                </w:tcPr>
                <w:p w14:paraId="65D620EC">
                  <w:pPr>
                    <w:pStyle w:val="22"/>
                    <w:bidi w:val="0"/>
                    <w:rPr>
                      <w:rFonts w:hint="default" w:eastAsia="宋体"/>
                      <w:color w:val="auto"/>
                      <w:lang w:val="en-US" w:eastAsia="zh-CN"/>
                    </w:rPr>
                  </w:pPr>
                  <w:r>
                    <w:rPr>
                      <w:rFonts w:hint="eastAsia"/>
                      <w:color w:val="auto"/>
                    </w:rPr>
                    <w:t>32.</w:t>
                  </w:r>
                  <w:r>
                    <w:rPr>
                      <w:rFonts w:hint="eastAsia"/>
                      <w:color w:val="auto"/>
                      <w:lang w:val="en-US" w:eastAsia="zh-CN"/>
                    </w:rPr>
                    <w:t>702720</w:t>
                  </w:r>
                </w:p>
              </w:tc>
              <w:tc>
                <w:tcPr>
                  <w:tcW w:w="703" w:type="pct"/>
                  <w:noWrap w:val="0"/>
                  <w:vAlign w:val="center"/>
                </w:tcPr>
                <w:p w14:paraId="0B89DB1F">
                  <w:pPr>
                    <w:pStyle w:val="22"/>
                    <w:bidi w:val="0"/>
                    <w:rPr>
                      <w:color w:val="auto"/>
                    </w:rPr>
                  </w:pPr>
                  <w:r>
                    <w:rPr>
                      <w:color w:val="auto"/>
                    </w:rPr>
                    <w:t>GB3095-2012二级</w:t>
                  </w:r>
                </w:p>
              </w:tc>
            </w:tr>
          </w:tbl>
          <w:p w14:paraId="5E17DC2A">
            <w:pPr>
              <w:bidi w:val="0"/>
              <w:rPr>
                <w:rFonts w:hint="default"/>
                <w:b/>
                <w:bCs/>
                <w:color w:val="auto"/>
              </w:rPr>
            </w:pPr>
            <w:r>
              <w:rPr>
                <w:rFonts w:hint="default"/>
                <w:b/>
                <w:bCs/>
                <w:color w:val="auto"/>
              </w:rPr>
              <w:t>2、声环境</w:t>
            </w:r>
          </w:p>
          <w:p w14:paraId="1F9A1BAA">
            <w:pPr>
              <w:bidi w:val="0"/>
              <w:rPr>
                <w:color w:val="auto"/>
              </w:rPr>
            </w:pPr>
            <w:r>
              <w:rPr>
                <w:color w:val="auto"/>
              </w:rPr>
              <w:t>项目厂区四周均为</w:t>
            </w:r>
            <w:r>
              <w:rPr>
                <w:rFonts w:hint="eastAsia"/>
                <w:color w:val="auto"/>
              </w:rPr>
              <w:t>规划工业用地及生产企业</w:t>
            </w:r>
            <w:r>
              <w:rPr>
                <w:color w:val="auto"/>
              </w:rPr>
              <w:t>，厂界外50米范围内，无声环境保护目标</w:t>
            </w:r>
            <w:r>
              <w:rPr>
                <w:rFonts w:hint="eastAsia"/>
                <w:color w:val="auto"/>
              </w:rPr>
              <w:t>。</w:t>
            </w:r>
          </w:p>
          <w:p w14:paraId="3D945DBC">
            <w:pPr>
              <w:bidi w:val="0"/>
              <w:rPr>
                <w:b/>
                <w:bCs/>
                <w:color w:val="auto"/>
              </w:rPr>
            </w:pPr>
            <w:r>
              <w:rPr>
                <w:b/>
                <w:bCs/>
                <w:color w:val="auto"/>
              </w:rPr>
              <w:t>3、地表水环境</w:t>
            </w:r>
          </w:p>
          <w:p w14:paraId="4FAFCAA3">
            <w:pPr>
              <w:bidi w:val="0"/>
              <w:rPr>
                <w:rFonts w:hint="eastAsia"/>
                <w:color w:val="auto"/>
              </w:rPr>
            </w:pPr>
            <w:r>
              <w:rPr>
                <w:color w:val="auto"/>
              </w:rPr>
              <w:t>项目地表水水体为</w:t>
            </w:r>
            <w:r>
              <w:rPr>
                <w:rFonts w:hint="eastAsia"/>
                <w:color w:val="auto"/>
              </w:rPr>
              <w:t>淮河淮南段</w:t>
            </w:r>
            <w:r>
              <w:rPr>
                <w:color w:val="auto"/>
              </w:rPr>
              <w:t>。</w:t>
            </w:r>
          </w:p>
          <w:p w14:paraId="6ED5A3EA">
            <w:pPr>
              <w:pStyle w:val="21"/>
              <w:bidi w:val="0"/>
              <w:rPr>
                <w:rFonts w:hint="default"/>
                <w:color w:val="auto"/>
              </w:rPr>
            </w:pPr>
            <w:r>
              <w:rPr>
                <w:rFonts w:hint="default"/>
                <w:color w:val="auto"/>
              </w:rPr>
              <w:t>表3-</w:t>
            </w:r>
            <w:r>
              <w:rPr>
                <w:rFonts w:hint="eastAsia"/>
                <w:color w:val="auto"/>
                <w:lang w:val="en-US" w:eastAsia="zh-CN"/>
              </w:rPr>
              <w:t xml:space="preserve">6 </w:t>
            </w:r>
            <w:r>
              <w:rPr>
                <w:rFonts w:hint="default"/>
                <w:color w:val="auto"/>
              </w:rPr>
              <w:t xml:space="preserve"> 项目环境敏感保护目标一览表</w:t>
            </w:r>
          </w:p>
          <w:tbl>
            <w:tblPr>
              <w:tblStyle w:val="12"/>
              <w:tblW w:w="48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77"/>
              <w:gridCol w:w="1147"/>
              <w:gridCol w:w="702"/>
              <w:gridCol w:w="763"/>
              <w:gridCol w:w="1002"/>
              <w:gridCol w:w="856"/>
              <w:gridCol w:w="660"/>
              <w:gridCol w:w="2140"/>
            </w:tblGrid>
            <w:tr w14:paraId="3C502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77" w:type="dxa"/>
                  <w:vMerge w:val="restart"/>
                  <w:noWrap w:val="0"/>
                  <w:vAlign w:val="center"/>
                </w:tcPr>
                <w:p w14:paraId="7E1A231E">
                  <w:pPr>
                    <w:pStyle w:val="22"/>
                    <w:bidi w:val="0"/>
                    <w:rPr>
                      <w:rFonts w:hint="default"/>
                      <w:b/>
                      <w:bCs/>
                      <w:color w:val="auto"/>
                    </w:rPr>
                  </w:pPr>
                  <w:r>
                    <w:rPr>
                      <w:rFonts w:hint="default"/>
                      <w:b/>
                      <w:bCs/>
                      <w:color w:val="auto"/>
                    </w:rPr>
                    <w:t>类别</w:t>
                  </w:r>
                </w:p>
              </w:tc>
              <w:tc>
                <w:tcPr>
                  <w:tcW w:w="1147" w:type="dxa"/>
                  <w:vMerge w:val="restart"/>
                  <w:noWrap w:val="0"/>
                  <w:vAlign w:val="center"/>
                </w:tcPr>
                <w:p w14:paraId="79455630">
                  <w:pPr>
                    <w:pStyle w:val="22"/>
                    <w:bidi w:val="0"/>
                    <w:rPr>
                      <w:rFonts w:hint="default"/>
                      <w:b/>
                      <w:bCs/>
                      <w:color w:val="auto"/>
                    </w:rPr>
                  </w:pPr>
                  <w:r>
                    <w:rPr>
                      <w:rFonts w:hint="default"/>
                      <w:b/>
                      <w:bCs/>
                      <w:color w:val="auto"/>
                    </w:rPr>
                    <w:t>主要保护目标</w:t>
                  </w:r>
                </w:p>
              </w:tc>
              <w:tc>
                <w:tcPr>
                  <w:tcW w:w="1465" w:type="dxa"/>
                  <w:gridSpan w:val="2"/>
                  <w:noWrap w:val="0"/>
                  <w:vAlign w:val="center"/>
                </w:tcPr>
                <w:p w14:paraId="3A1CDA64">
                  <w:pPr>
                    <w:pStyle w:val="22"/>
                    <w:bidi w:val="0"/>
                    <w:rPr>
                      <w:rFonts w:hint="default"/>
                      <w:b/>
                      <w:bCs/>
                      <w:color w:val="auto"/>
                    </w:rPr>
                  </w:pPr>
                  <w:r>
                    <w:rPr>
                      <w:rFonts w:hint="default"/>
                      <w:b/>
                      <w:bCs/>
                      <w:color w:val="auto"/>
                    </w:rPr>
                    <w:t>坐标/m</w:t>
                  </w:r>
                </w:p>
              </w:tc>
              <w:tc>
                <w:tcPr>
                  <w:tcW w:w="1002" w:type="dxa"/>
                  <w:vMerge w:val="restart"/>
                  <w:noWrap w:val="0"/>
                  <w:vAlign w:val="center"/>
                </w:tcPr>
                <w:p w14:paraId="2F593C50">
                  <w:pPr>
                    <w:pStyle w:val="22"/>
                    <w:bidi w:val="0"/>
                    <w:rPr>
                      <w:rFonts w:hint="default"/>
                      <w:b/>
                      <w:bCs/>
                      <w:color w:val="auto"/>
                    </w:rPr>
                  </w:pPr>
                  <w:r>
                    <w:rPr>
                      <w:rFonts w:hint="default"/>
                      <w:b/>
                      <w:bCs/>
                      <w:color w:val="auto"/>
                    </w:rPr>
                    <w:t>性质、规模</w:t>
                  </w:r>
                </w:p>
              </w:tc>
              <w:tc>
                <w:tcPr>
                  <w:tcW w:w="856" w:type="dxa"/>
                  <w:vMerge w:val="restart"/>
                  <w:noWrap w:val="0"/>
                  <w:vAlign w:val="center"/>
                </w:tcPr>
                <w:p w14:paraId="05B6EB53">
                  <w:pPr>
                    <w:pStyle w:val="22"/>
                    <w:bidi w:val="0"/>
                    <w:rPr>
                      <w:rFonts w:hint="default"/>
                      <w:b/>
                      <w:bCs/>
                      <w:color w:val="auto"/>
                    </w:rPr>
                  </w:pPr>
                  <w:r>
                    <w:rPr>
                      <w:rFonts w:hint="default"/>
                      <w:b/>
                      <w:bCs/>
                      <w:color w:val="auto"/>
                    </w:rPr>
                    <w:t>距离</w:t>
                  </w:r>
                  <w:r>
                    <w:rPr>
                      <w:rFonts w:hint="default"/>
                      <w:b/>
                      <w:bCs/>
                      <w:color w:val="auto"/>
                      <w:lang w:eastAsia="zh-CN"/>
                    </w:rPr>
                    <w:t>（</w:t>
                  </w:r>
                  <w:r>
                    <w:rPr>
                      <w:rFonts w:hint="default"/>
                      <w:b/>
                      <w:bCs/>
                      <w:color w:val="auto"/>
                    </w:rPr>
                    <w:t>km</w:t>
                  </w:r>
                  <w:r>
                    <w:rPr>
                      <w:rFonts w:hint="default"/>
                      <w:b/>
                      <w:bCs/>
                      <w:color w:val="auto"/>
                      <w:lang w:eastAsia="zh-CN"/>
                    </w:rPr>
                    <w:t>）</w:t>
                  </w:r>
                </w:p>
              </w:tc>
              <w:tc>
                <w:tcPr>
                  <w:tcW w:w="660" w:type="dxa"/>
                  <w:vMerge w:val="restart"/>
                  <w:noWrap w:val="0"/>
                  <w:vAlign w:val="center"/>
                </w:tcPr>
                <w:p w14:paraId="3C863F8F">
                  <w:pPr>
                    <w:pStyle w:val="22"/>
                    <w:bidi w:val="0"/>
                    <w:rPr>
                      <w:rFonts w:hint="default"/>
                      <w:b/>
                      <w:bCs/>
                      <w:color w:val="auto"/>
                    </w:rPr>
                  </w:pPr>
                  <w:r>
                    <w:rPr>
                      <w:rFonts w:hint="default"/>
                      <w:b/>
                      <w:bCs/>
                      <w:color w:val="auto"/>
                    </w:rPr>
                    <w:t>方位</w:t>
                  </w:r>
                </w:p>
              </w:tc>
              <w:tc>
                <w:tcPr>
                  <w:tcW w:w="2140" w:type="dxa"/>
                  <w:vMerge w:val="restart"/>
                  <w:noWrap w:val="0"/>
                  <w:vAlign w:val="center"/>
                </w:tcPr>
                <w:p w14:paraId="5257E01C">
                  <w:pPr>
                    <w:pStyle w:val="22"/>
                    <w:bidi w:val="0"/>
                    <w:rPr>
                      <w:rFonts w:hint="default"/>
                      <w:b/>
                      <w:bCs/>
                      <w:color w:val="auto"/>
                    </w:rPr>
                  </w:pPr>
                  <w:r>
                    <w:rPr>
                      <w:rFonts w:hint="default"/>
                      <w:b/>
                      <w:bCs/>
                      <w:color w:val="auto"/>
                    </w:rPr>
                    <w:t>保护级别</w:t>
                  </w:r>
                </w:p>
              </w:tc>
            </w:tr>
            <w:tr w14:paraId="610F5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77" w:type="dxa"/>
                  <w:vMerge w:val="continue"/>
                  <w:noWrap w:val="0"/>
                  <w:vAlign w:val="center"/>
                </w:tcPr>
                <w:p w14:paraId="10E4E090">
                  <w:pPr>
                    <w:pStyle w:val="22"/>
                    <w:bidi w:val="0"/>
                    <w:rPr>
                      <w:rFonts w:hint="default"/>
                      <w:color w:val="auto"/>
                    </w:rPr>
                  </w:pPr>
                </w:p>
              </w:tc>
              <w:tc>
                <w:tcPr>
                  <w:tcW w:w="1147" w:type="dxa"/>
                  <w:vMerge w:val="continue"/>
                  <w:noWrap w:val="0"/>
                  <w:vAlign w:val="center"/>
                </w:tcPr>
                <w:p w14:paraId="4F73E51B">
                  <w:pPr>
                    <w:pStyle w:val="22"/>
                    <w:bidi w:val="0"/>
                    <w:rPr>
                      <w:rFonts w:hint="default"/>
                      <w:color w:val="auto"/>
                    </w:rPr>
                  </w:pPr>
                </w:p>
              </w:tc>
              <w:tc>
                <w:tcPr>
                  <w:tcW w:w="702" w:type="dxa"/>
                  <w:noWrap w:val="0"/>
                  <w:vAlign w:val="center"/>
                </w:tcPr>
                <w:p w14:paraId="321F6265">
                  <w:pPr>
                    <w:pStyle w:val="22"/>
                    <w:bidi w:val="0"/>
                    <w:rPr>
                      <w:rFonts w:hint="default"/>
                      <w:b/>
                      <w:bCs/>
                      <w:color w:val="auto"/>
                    </w:rPr>
                  </w:pPr>
                  <w:r>
                    <w:rPr>
                      <w:rFonts w:hint="default"/>
                      <w:b/>
                      <w:bCs/>
                      <w:color w:val="auto"/>
                    </w:rPr>
                    <w:t>X</w:t>
                  </w:r>
                </w:p>
              </w:tc>
              <w:tc>
                <w:tcPr>
                  <w:tcW w:w="763" w:type="dxa"/>
                  <w:noWrap w:val="0"/>
                  <w:vAlign w:val="center"/>
                </w:tcPr>
                <w:p w14:paraId="00EDDA67">
                  <w:pPr>
                    <w:pStyle w:val="22"/>
                    <w:bidi w:val="0"/>
                    <w:rPr>
                      <w:rFonts w:hint="default"/>
                      <w:b/>
                      <w:bCs/>
                      <w:color w:val="auto"/>
                    </w:rPr>
                  </w:pPr>
                  <w:r>
                    <w:rPr>
                      <w:rFonts w:hint="default"/>
                      <w:b/>
                      <w:bCs/>
                      <w:color w:val="auto"/>
                    </w:rPr>
                    <w:t>Y</w:t>
                  </w:r>
                </w:p>
              </w:tc>
              <w:tc>
                <w:tcPr>
                  <w:tcW w:w="1002" w:type="dxa"/>
                  <w:vMerge w:val="continue"/>
                  <w:noWrap w:val="0"/>
                  <w:vAlign w:val="center"/>
                </w:tcPr>
                <w:p w14:paraId="2CEAA15E">
                  <w:pPr>
                    <w:pStyle w:val="22"/>
                    <w:bidi w:val="0"/>
                    <w:rPr>
                      <w:rFonts w:hint="default"/>
                      <w:color w:val="auto"/>
                    </w:rPr>
                  </w:pPr>
                </w:p>
              </w:tc>
              <w:tc>
                <w:tcPr>
                  <w:tcW w:w="856" w:type="dxa"/>
                  <w:vMerge w:val="continue"/>
                  <w:noWrap w:val="0"/>
                  <w:vAlign w:val="center"/>
                </w:tcPr>
                <w:p w14:paraId="2488DF01">
                  <w:pPr>
                    <w:pStyle w:val="22"/>
                    <w:bidi w:val="0"/>
                    <w:rPr>
                      <w:rFonts w:hint="default"/>
                      <w:color w:val="auto"/>
                    </w:rPr>
                  </w:pPr>
                </w:p>
              </w:tc>
              <w:tc>
                <w:tcPr>
                  <w:tcW w:w="660" w:type="dxa"/>
                  <w:vMerge w:val="continue"/>
                  <w:noWrap w:val="0"/>
                  <w:vAlign w:val="center"/>
                </w:tcPr>
                <w:p w14:paraId="5B3F1937">
                  <w:pPr>
                    <w:pStyle w:val="22"/>
                    <w:bidi w:val="0"/>
                    <w:rPr>
                      <w:rFonts w:hint="default"/>
                      <w:color w:val="auto"/>
                    </w:rPr>
                  </w:pPr>
                </w:p>
              </w:tc>
              <w:tc>
                <w:tcPr>
                  <w:tcW w:w="2140" w:type="dxa"/>
                  <w:vMerge w:val="continue"/>
                  <w:noWrap w:val="0"/>
                  <w:vAlign w:val="center"/>
                </w:tcPr>
                <w:p w14:paraId="0896F239">
                  <w:pPr>
                    <w:pStyle w:val="22"/>
                    <w:bidi w:val="0"/>
                    <w:rPr>
                      <w:rFonts w:hint="default"/>
                      <w:color w:val="auto"/>
                    </w:rPr>
                  </w:pPr>
                </w:p>
              </w:tc>
            </w:tr>
            <w:tr w14:paraId="591C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77" w:type="dxa"/>
                  <w:noWrap w:val="0"/>
                  <w:vAlign w:val="center"/>
                </w:tcPr>
                <w:p w14:paraId="672609BF">
                  <w:pPr>
                    <w:pStyle w:val="22"/>
                    <w:bidi w:val="0"/>
                    <w:rPr>
                      <w:rFonts w:hint="default"/>
                      <w:color w:val="auto"/>
                    </w:rPr>
                  </w:pPr>
                  <w:r>
                    <w:rPr>
                      <w:rFonts w:hint="default"/>
                      <w:color w:val="auto"/>
                    </w:rPr>
                    <w:t>地表水环境</w:t>
                  </w:r>
                </w:p>
              </w:tc>
              <w:tc>
                <w:tcPr>
                  <w:tcW w:w="1147" w:type="dxa"/>
                  <w:noWrap w:val="0"/>
                  <w:vAlign w:val="center"/>
                </w:tcPr>
                <w:p w14:paraId="6AF2681D">
                  <w:pPr>
                    <w:pStyle w:val="22"/>
                    <w:bidi w:val="0"/>
                    <w:rPr>
                      <w:rFonts w:hint="default"/>
                      <w:color w:val="auto"/>
                    </w:rPr>
                  </w:pPr>
                  <w:r>
                    <w:rPr>
                      <w:rFonts w:hint="default"/>
                      <w:color w:val="auto"/>
                    </w:rPr>
                    <w:t>淮河</w:t>
                  </w:r>
                </w:p>
              </w:tc>
              <w:tc>
                <w:tcPr>
                  <w:tcW w:w="702" w:type="dxa"/>
                  <w:noWrap w:val="0"/>
                  <w:vAlign w:val="center"/>
                </w:tcPr>
                <w:p w14:paraId="520D2365">
                  <w:pPr>
                    <w:pStyle w:val="22"/>
                    <w:bidi w:val="0"/>
                    <w:rPr>
                      <w:rFonts w:hint="default"/>
                      <w:color w:val="auto"/>
                    </w:rPr>
                  </w:pPr>
                  <w:r>
                    <w:rPr>
                      <w:rFonts w:hint="default"/>
                      <w:color w:val="auto"/>
                    </w:rPr>
                    <w:t>/</w:t>
                  </w:r>
                </w:p>
              </w:tc>
              <w:tc>
                <w:tcPr>
                  <w:tcW w:w="763" w:type="dxa"/>
                  <w:noWrap w:val="0"/>
                  <w:vAlign w:val="center"/>
                </w:tcPr>
                <w:p w14:paraId="13A2CFD6">
                  <w:pPr>
                    <w:pStyle w:val="22"/>
                    <w:bidi w:val="0"/>
                    <w:rPr>
                      <w:rFonts w:hint="default"/>
                      <w:color w:val="auto"/>
                    </w:rPr>
                  </w:pPr>
                  <w:r>
                    <w:rPr>
                      <w:rFonts w:hint="default"/>
                      <w:color w:val="auto"/>
                    </w:rPr>
                    <w:t>/</w:t>
                  </w:r>
                </w:p>
              </w:tc>
              <w:tc>
                <w:tcPr>
                  <w:tcW w:w="1002" w:type="dxa"/>
                  <w:noWrap w:val="0"/>
                  <w:vAlign w:val="center"/>
                </w:tcPr>
                <w:p w14:paraId="0926BAB5">
                  <w:pPr>
                    <w:pStyle w:val="22"/>
                    <w:bidi w:val="0"/>
                    <w:rPr>
                      <w:rFonts w:hint="default"/>
                      <w:color w:val="auto"/>
                    </w:rPr>
                  </w:pPr>
                  <w:r>
                    <w:rPr>
                      <w:rFonts w:hint="default"/>
                      <w:color w:val="auto"/>
                    </w:rPr>
                    <w:t>大型河流</w:t>
                  </w:r>
                </w:p>
              </w:tc>
              <w:tc>
                <w:tcPr>
                  <w:tcW w:w="856" w:type="dxa"/>
                  <w:noWrap w:val="0"/>
                  <w:vAlign w:val="center"/>
                </w:tcPr>
                <w:p w14:paraId="7FA4EBAE">
                  <w:pPr>
                    <w:pStyle w:val="22"/>
                    <w:bidi w:val="0"/>
                    <w:rPr>
                      <w:rFonts w:hint="default"/>
                      <w:color w:val="auto"/>
                      <w:lang w:val="en-US" w:eastAsia="zh-CN"/>
                    </w:rPr>
                  </w:pPr>
                  <w:r>
                    <w:rPr>
                      <w:rFonts w:hint="eastAsia"/>
                      <w:color w:val="auto"/>
                      <w:lang w:val="en-US" w:eastAsia="zh-CN"/>
                    </w:rPr>
                    <w:t>3.28</w:t>
                  </w:r>
                </w:p>
              </w:tc>
              <w:tc>
                <w:tcPr>
                  <w:tcW w:w="660" w:type="dxa"/>
                  <w:noWrap w:val="0"/>
                  <w:vAlign w:val="center"/>
                </w:tcPr>
                <w:p w14:paraId="316BC794">
                  <w:pPr>
                    <w:pStyle w:val="22"/>
                    <w:bidi w:val="0"/>
                    <w:rPr>
                      <w:rFonts w:hint="default"/>
                      <w:color w:val="auto"/>
                    </w:rPr>
                  </w:pPr>
                  <w:r>
                    <w:rPr>
                      <w:rFonts w:hint="eastAsia"/>
                      <w:color w:val="auto"/>
                      <w:lang w:val="en-US" w:eastAsia="zh-CN"/>
                    </w:rPr>
                    <w:t>S</w:t>
                  </w:r>
                </w:p>
              </w:tc>
              <w:tc>
                <w:tcPr>
                  <w:tcW w:w="2140" w:type="dxa"/>
                  <w:noWrap w:val="0"/>
                  <w:vAlign w:val="center"/>
                </w:tcPr>
                <w:p w14:paraId="42F637C8">
                  <w:pPr>
                    <w:pStyle w:val="22"/>
                    <w:bidi w:val="0"/>
                    <w:rPr>
                      <w:rFonts w:hint="default"/>
                      <w:color w:val="auto"/>
                    </w:rPr>
                  </w:pPr>
                  <w:r>
                    <w:rPr>
                      <w:rFonts w:hint="default"/>
                      <w:color w:val="auto"/>
                    </w:rPr>
                    <w:t>《地表水环境质量标准》（GB3838-2002）</w:t>
                  </w:r>
                </w:p>
                <w:p w14:paraId="731204B0">
                  <w:pPr>
                    <w:pStyle w:val="22"/>
                    <w:bidi w:val="0"/>
                    <w:rPr>
                      <w:rFonts w:hint="default"/>
                      <w:color w:val="auto"/>
                    </w:rPr>
                  </w:pPr>
                  <w:r>
                    <w:rPr>
                      <w:rFonts w:hint="default"/>
                      <w:color w:val="auto"/>
                    </w:rPr>
                    <w:t>Ⅲ类标准</w:t>
                  </w:r>
                </w:p>
              </w:tc>
            </w:tr>
          </w:tbl>
          <w:p w14:paraId="596936B7">
            <w:pPr>
              <w:bidi w:val="0"/>
              <w:rPr>
                <w:rFonts w:hint="default"/>
                <w:b/>
                <w:bCs/>
                <w:color w:val="auto"/>
              </w:rPr>
            </w:pPr>
            <w:r>
              <w:rPr>
                <w:rFonts w:hint="default"/>
                <w:b/>
                <w:bCs/>
                <w:color w:val="auto"/>
              </w:rPr>
              <w:t>4、地下水环境</w:t>
            </w:r>
          </w:p>
          <w:p w14:paraId="5051C676">
            <w:pPr>
              <w:bidi w:val="0"/>
              <w:rPr>
                <w:rFonts w:hint="default"/>
                <w:color w:val="auto"/>
              </w:rPr>
            </w:pPr>
            <w:r>
              <w:rPr>
                <w:rFonts w:hint="default"/>
                <w:color w:val="auto"/>
              </w:rPr>
              <w:t>本项目厂界外500米范围内无地下水集中式饮用水水源和热水、矿泉水、温泉等特殊地下水资源。</w:t>
            </w:r>
          </w:p>
          <w:p w14:paraId="4B1F78D0">
            <w:pPr>
              <w:bidi w:val="0"/>
              <w:rPr>
                <w:rFonts w:hint="default"/>
                <w:b/>
                <w:bCs/>
                <w:color w:val="auto"/>
              </w:rPr>
            </w:pPr>
            <w:r>
              <w:rPr>
                <w:rFonts w:hint="default"/>
                <w:b/>
                <w:bCs/>
                <w:color w:val="auto"/>
              </w:rPr>
              <w:t>5、生态环境</w:t>
            </w:r>
          </w:p>
          <w:p w14:paraId="0C7F614C">
            <w:pPr>
              <w:bidi w:val="0"/>
              <w:rPr>
                <w:rFonts w:hint="eastAsia"/>
                <w:color w:val="0000FF"/>
                <w:szCs w:val="21"/>
              </w:rPr>
            </w:pPr>
            <w:r>
              <w:rPr>
                <w:rFonts w:hint="default"/>
                <w:color w:val="auto"/>
              </w:rPr>
              <w:t>本项目位于</w:t>
            </w:r>
            <w:r>
              <w:rPr>
                <w:rFonts w:hint="eastAsia"/>
                <w:color w:val="auto"/>
                <w:lang w:val="en-US" w:eastAsia="zh-CN"/>
              </w:rPr>
              <w:t>潘集区经济开发区（北区）</w:t>
            </w:r>
            <w:r>
              <w:rPr>
                <w:rFonts w:hint="default"/>
                <w:color w:val="auto"/>
              </w:rPr>
              <w:t>，为工业用地，不涉及生态环境保护目标。</w:t>
            </w:r>
          </w:p>
        </w:tc>
      </w:tr>
      <w:tr w14:paraId="42A8A7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330" w:hRule="atLeast"/>
          <w:jc w:val="center"/>
        </w:trPr>
        <w:tc>
          <w:tcPr>
            <w:tcW w:w="680" w:type="dxa"/>
            <w:noWrap w:val="0"/>
            <w:vAlign w:val="center"/>
          </w:tcPr>
          <w:p w14:paraId="4AEA69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0000FF"/>
                <w:lang w:eastAsia="zh-CN"/>
              </w:rPr>
            </w:pPr>
            <w:r>
              <w:rPr>
                <w:rFonts w:hint="eastAsia"/>
                <w:color w:val="auto"/>
                <w:lang w:eastAsia="zh-CN"/>
              </w:rPr>
              <w:t>污染物排放控制标准</w:t>
            </w:r>
          </w:p>
        </w:tc>
        <w:tc>
          <w:tcPr>
            <w:tcW w:w="8404" w:type="dxa"/>
            <w:noWrap w:val="0"/>
            <w:vAlign w:val="center"/>
          </w:tcPr>
          <w:p w14:paraId="109F6C43">
            <w:pPr>
              <w:bidi w:val="0"/>
              <w:rPr>
                <w:b/>
                <w:bCs/>
                <w:color w:val="auto"/>
              </w:rPr>
            </w:pPr>
            <w:r>
              <w:rPr>
                <w:b/>
                <w:bCs/>
                <w:color w:val="auto"/>
              </w:rPr>
              <w:t>1、废气</w:t>
            </w:r>
            <w:r>
              <w:rPr>
                <w:rFonts w:hint="eastAsia"/>
                <w:b/>
                <w:bCs/>
                <w:color w:val="auto"/>
              </w:rPr>
              <w:t>排放标准</w:t>
            </w:r>
          </w:p>
          <w:p w14:paraId="17E75FD2">
            <w:pPr>
              <w:bidi w:val="0"/>
              <w:rPr>
                <w:color w:val="0000FF"/>
              </w:rPr>
            </w:pPr>
            <w:r>
              <w:rPr>
                <w:rFonts w:hint="eastAsia"/>
                <w:color w:val="auto"/>
                <w:lang w:val="en-US" w:eastAsia="zh-CN"/>
              </w:rPr>
              <w:t>营运期废气排放标准：项目非甲烷总烃有组织排放执行《固定源挥发性有机物综合排放标准 第6部分：其他行业》（DB344812.6-2024）表1排放限值；厂区内VOCs无组织排放监控点浓度应符合《固定源挥发性有机物综合排放标准 第6部分：其他行业》（DB344812.6-2024）表4排放限值。根据对标《固定源挥发性有机物综合排放标准第6部分：其他行业》（DB34/4812.6-2024）中未给出非甲烷总烃厂界、颗粒物标准限值，因此厂界无组织</w:t>
            </w:r>
            <w:r>
              <w:rPr>
                <w:color w:val="auto"/>
              </w:rPr>
              <w:t>非甲烷总烃</w:t>
            </w:r>
            <w:r>
              <w:rPr>
                <w:rFonts w:hint="eastAsia"/>
                <w:color w:val="auto"/>
                <w:lang w:eastAsia="zh-CN"/>
              </w:rPr>
              <w:t>、</w:t>
            </w:r>
            <w:r>
              <w:rPr>
                <w:rFonts w:hint="eastAsia"/>
                <w:color w:val="auto"/>
                <w:lang w:val="en-US" w:eastAsia="zh-CN"/>
              </w:rPr>
              <w:t>颗粒物执行</w:t>
            </w:r>
            <w:r>
              <w:rPr>
                <w:color w:val="auto"/>
              </w:rPr>
              <w:t>《</w:t>
            </w:r>
            <w:r>
              <w:rPr>
                <w:rFonts w:hint="eastAsia"/>
                <w:color w:val="auto"/>
                <w:lang w:val="en-US" w:eastAsia="zh-CN"/>
              </w:rPr>
              <w:t>合成树脂工业污染物排放标准</w:t>
            </w:r>
            <w:r>
              <w:rPr>
                <w:color w:val="auto"/>
              </w:rPr>
              <w:t>》（</w:t>
            </w:r>
            <w:r>
              <w:rPr>
                <w:rFonts w:hint="eastAsia"/>
                <w:color w:val="auto"/>
              </w:rPr>
              <w:t>GB31572-2015</w:t>
            </w:r>
            <w:r>
              <w:rPr>
                <w:rFonts w:hint="eastAsia"/>
                <w:color w:val="auto"/>
                <w:lang w:eastAsia="zh-CN"/>
              </w:rPr>
              <w:t>，</w:t>
            </w:r>
            <w:r>
              <w:rPr>
                <w:rFonts w:hint="eastAsia"/>
                <w:color w:val="auto"/>
                <w:lang w:val="en-US" w:eastAsia="zh-CN"/>
              </w:rPr>
              <w:t>含2024年修改单</w:t>
            </w:r>
            <w:r>
              <w:rPr>
                <w:color w:val="auto"/>
              </w:rPr>
              <w:t>）</w:t>
            </w:r>
            <w:r>
              <w:rPr>
                <w:rFonts w:hint="eastAsia"/>
                <w:color w:val="auto"/>
              </w:rPr>
              <w:t>表9企业边界大气污染物浓度限值要求</w:t>
            </w:r>
            <w:r>
              <w:rPr>
                <w:rFonts w:hint="eastAsia"/>
                <w:color w:val="auto"/>
                <w:lang w:eastAsia="zh-CN"/>
              </w:rPr>
              <w:t>；</w:t>
            </w:r>
            <w:r>
              <w:rPr>
                <w:rFonts w:hint="eastAsia"/>
                <w:color w:val="auto"/>
                <w:lang w:val="en-US" w:eastAsia="zh-CN"/>
              </w:rPr>
              <w:t>塑料粒子上料环节产生颗粒物、</w:t>
            </w:r>
            <w:r>
              <w:rPr>
                <w:color w:val="auto"/>
              </w:rPr>
              <w:t>非甲烷总烃</w:t>
            </w:r>
            <w:r>
              <w:rPr>
                <w:rFonts w:hint="eastAsia"/>
                <w:color w:val="auto"/>
                <w:lang w:val="en-US" w:eastAsia="zh-CN"/>
              </w:rPr>
              <w:t>基准排放量执行</w:t>
            </w:r>
            <w:r>
              <w:rPr>
                <w:color w:val="auto"/>
              </w:rPr>
              <w:t>《</w:t>
            </w:r>
            <w:r>
              <w:rPr>
                <w:rFonts w:hint="eastAsia"/>
                <w:color w:val="auto"/>
                <w:lang w:val="en-US" w:eastAsia="zh-CN"/>
              </w:rPr>
              <w:t>合成树脂工业污染物排放标准</w:t>
            </w:r>
            <w:r>
              <w:rPr>
                <w:color w:val="auto"/>
              </w:rPr>
              <w:t>》（</w:t>
            </w:r>
            <w:r>
              <w:rPr>
                <w:rFonts w:hint="eastAsia"/>
                <w:color w:val="auto"/>
              </w:rPr>
              <w:t>GB31572-2015</w:t>
            </w:r>
            <w:r>
              <w:rPr>
                <w:rFonts w:hint="eastAsia"/>
                <w:color w:val="auto"/>
                <w:lang w:eastAsia="zh-CN"/>
              </w:rPr>
              <w:t>，</w:t>
            </w:r>
            <w:r>
              <w:rPr>
                <w:rFonts w:hint="eastAsia"/>
                <w:color w:val="auto"/>
                <w:lang w:val="en-US" w:eastAsia="zh-CN"/>
              </w:rPr>
              <w:t>含2024年修改单</w:t>
            </w:r>
            <w:r>
              <w:rPr>
                <w:color w:val="auto"/>
              </w:rPr>
              <w:t>）表5大气污染物特别排放限值</w:t>
            </w:r>
            <w:r>
              <w:rPr>
                <w:rFonts w:hint="eastAsia"/>
                <w:color w:val="auto"/>
                <w:lang w:val="en-US" w:eastAsia="zh-CN"/>
              </w:rPr>
              <w:t>要求，</w:t>
            </w:r>
            <w:r>
              <w:rPr>
                <w:color w:val="auto"/>
              </w:rPr>
              <w:t>具体见下表。</w:t>
            </w:r>
          </w:p>
          <w:p w14:paraId="1E28CB29">
            <w:pPr>
              <w:pStyle w:val="21"/>
              <w:bidi w:val="0"/>
              <w:rPr>
                <w:color w:val="auto"/>
                <w:lang w:val="zh-CN"/>
              </w:rPr>
            </w:pPr>
            <w:r>
              <w:rPr>
                <w:color w:val="auto"/>
                <w:lang w:val="zh-CN"/>
              </w:rPr>
              <w:t>表</w:t>
            </w:r>
            <w:r>
              <w:rPr>
                <w:rFonts w:hint="eastAsia"/>
                <w:color w:val="auto"/>
                <w:lang w:val="zh-CN"/>
              </w:rPr>
              <w:t>3-</w:t>
            </w:r>
            <w:r>
              <w:rPr>
                <w:rFonts w:hint="eastAsia"/>
                <w:color w:val="auto"/>
                <w:lang w:val="en-US" w:eastAsia="zh-CN"/>
              </w:rPr>
              <w:t>7</w:t>
            </w:r>
            <w:r>
              <w:rPr>
                <w:color w:val="auto"/>
                <w:lang w:val="zh-CN"/>
              </w:rPr>
              <w:t xml:space="preserve"> </w:t>
            </w:r>
            <w:r>
              <w:rPr>
                <w:rFonts w:hint="eastAsia"/>
                <w:color w:val="auto"/>
                <w:lang w:val="en-US" w:eastAsia="zh-CN"/>
              </w:rPr>
              <w:t xml:space="preserve"> 有组织废气</w:t>
            </w:r>
            <w:r>
              <w:rPr>
                <w:color w:val="auto"/>
                <w:lang w:val="zh-CN"/>
              </w:rPr>
              <w:t>污染物排放标准</w:t>
            </w:r>
          </w:p>
          <w:tbl>
            <w:tblPr>
              <w:tblStyle w:val="12"/>
              <w:tblW w:w="48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1063"/>
              <w:gridCol w:w="1233"/>
              <w:gridCol w:w="1853"/>
              <w:gridCol w:w="1905"/>
              <w:gridCol w:w="2017"/>
            </w:tblGrid>
            <w:tr w14:paraId="4F81E9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1421" w:type="pct"/>
                  <w:gridSpan w:val="2"/>
                  <w:vMerge w:val="restart"/>
                  <w:noWrap/>
                  <w:vAlign w:val="center"/>
                </w:tcPr>
                <w:p w14:paraId="0352FA32">
                  <w:pPr>
                    <w:pStyle w:val="22"/>
                    <w:bidi w:val="0"/>
                    <w:rPr>
                      <w:rFonts w:hint="default"/>
                      <w:b/>
                      <w:bCs/>
                      <w:color w:val="auto"/>
                    </w:rPr>
                  </w:pPr>
                  <w:r>
                    <w:rPr>
                      <w:rFonts w:hint="eastAsia"/>
                      <w:b/>
                      <w:bCs/>
                      <w:color w:val="auto"/>
                    </w:rPr>
                    <w:t>污染物</w:t>
                  </w:r>
                </w:p>
              </w:tc>
              <w:tc>
                <w:tcPr>
                  <w:tcW w:w="2328" w:type="pct"/>
                  <w:gridSpan w:val="2"/>
                  <w:noWrap/>
                  <w:vAlign w:val="center"/>
                </w:tcPr>
                <w:p w14:paraId="3A5A6F40">
                  <w:pPr>
                    <w:pStyle w:val="22"/>
                    <w:bidi w:val="0"/>
                    <w:rPr>
                      <w:rFonts w:hint="eastAsia"/>
                      <w:b/>
                      <w:bCs/>
                      <w:color w:val="auto"/>
                    </w:rPr>
                  </w:pPr>
                  <w:r>
                    <w:rPr>
                      <w:rFonts w:hint="eastAsia"/>
                      <w:b/>
                      <w:bCs/>
                      <w:color w:val="auto"/>
                    </w:rPr>
                    <w:t>排放限值</w:t>
                  </w:r>
                </w:p>
              </w:tc>
              <w:tc>
                <w:tcPr>
                  <w:tcW w:w="1249" w:type="pct"/>
                  <w:vMerge w:val="restart"/>
                  <w:noWrap/>
                  <w:vAlign w:val="center"/>
                </w:tcPr>
                <w:p w14:paraId="4E0E20D3">
                  <w:pPr>
                    <w:pStyle w:val="22"/>
                    <w:bidi w:val="0"/>
                    <w:rPr>
                      <w:rFonts w:hint="default"/>
                      <w:b/>
                      <w:bCs/>
                      <w:color w:val="auto"/>
                    </w:rPr>
                  </w:pPr>
                  <w:r>
                    <w:rPr>
                      <w:rFonts w:hint="eastAsia"/>
                      <w:b/>
                      <w:bCs/>
                      <w:color w:val="auto"/>
                    </w:rPr>
                    <w:t>污染物排放监控位置</w:t>
                  </w:r>
                </w:p>
              </w:tc>
            </w:tr>
            <w:tr w14:paraId="439C96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1421" w:type="pct"/>
                  <w:gridSpan w:val="2"/>
                  <w:vMerge w:val="continue"/>
                  <w:noWrap/>
                  <w:vAlign w:val="center"/>
                </w:tcPr>
                <w:p w14:paraId="55C0B360">
                  <w:pPr>
                    <w:pStyle w:val="22"/>
                    <w:bidi w:val="0"/>
                    <w:rPr>
                      <w:rFonts w:hint="eastAsia"/>
                      <w:b/>
                      <w:bCs/>
                      <w:color w:val="auto"/>
                    </w:rPr>
                  </w:pPr>
                </w:p>
              </w:tc>
              <w:tc>
                <w:tcPr>
                  <w:tcW w:w="1148" w:type="pct"/>
                  <w:noWrap/>
                  <w:vAlign w:val="center"/>
                </w:tcPr>
                <w:p w14:paraId="2B3ECFC3">
                  <w:pPr>
                    <w:pStyle w:val="22"/>
                    <w:bidi w:val="0"/>
                    <w:rPr>
                      <w:rFonts w:hint="default"/>
                      <w:b/>
                      <w:bCs/>
                      <w:color w:val="auto"/>
                      <w:lang w:val="en-US" w:eastAsia="zh-CN"/>
                    </w:rPr>
                  </w:pPr>
                  <w:r>
                    <w:rPr>
                      <w:rFonts w:hint="eastAsia"/>
                      <w:b/>
                      <w:bCs/>
                      <w:color w:val="auto"/>
                      <w:lang w:val="en-US" w:eastAsia="zh-CN"/>
                    </w:rPr>
                    <w:t>最高允许排放浓度</w:t>
                  </w:r>
                </w:p>
              </w:tc>
              <w:tc>
                <w:tcPr>
                  <w:tcW w:w="1180" w:type="pct"/>
                  <w:noWrap/>
                  <w:vAlign w:val="center"/>
                </w:tcPr>
                <w:p w14:paraId="1B39AE93">
                  <w:pPr>
                    <w:pStyle w:val="22"/>
                    <w:bidi w:val="0"/>
                    <w:rPr>
                      <w:rFonts w:hint="default"/>
                      <w:b/>
                      <w:bCs/>
                      <w:color w:val="auto"/>
                      <w:lang w:val="en-US" w:eastAsia="zh-CN"/>
                    </w:rPr>
                  </w:pPr>
                  <w:r>
                    <w:rPr>
                      <w:rFonts w:hint="eastAsia"/>
                      <w:b/>
                      <w:bCs/>
                      <w:color w:val="auto"/>
                      <w:lang w:val="en-US" w:eastAsia="zh-CN"/>
                    </w:rPr>
                    <w:t>最高允许排放速率</w:t>
                  </w:r>
                </w:p>
              </w:tc>
              <w:tc>
                <w:tcPr>
                  <w:tcW w:w="1249" w:type="pct"/>
                  <w:vMerge w:val="continue"/>
                  <w:noWrap/>
                  <w:vAlign w:val="center"/>
                </w:tcPr>
                <w:p w14:paraId="4EF8A889">
                  <w:pPr>
                    <w:pStyle w:val="22"/>
                    <w:bidi w:val="0"/>
                    <w:rPr>
                      <w:rFonts w:hint="eastAsia"/>
                      <w:color w:val="auto"/>
                    </w:rPr>
                  </w:pPr>
                </w:p>
              </w:tc>
            </w:tr>
            <w:tr w14:paraId="7302FD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59" w:hRule="atLeast"/>
                <w:jc w:val="center"/>
              </w:trPr>
              <w:tc>
                <w:tcPr>
                  <w:tcW w:w="658" w:type="pct"/>
                  <w:tcBorders>
                    <w:right w:val="single" w:color="auto" w:sz="4" w:space="0"/>
                  </w:tcBorders>
                  <w:noWrap/>
                  <w:vAlign w:val="center"/>
                </w:tcPr>
                <w:p w14:paraId="351D8C8B">
                  <w:pPr>
                    <w:pStyle w:val="22"/>
                    <w:bidi w:val="0"/>
                    <w:rPr>
                      <w:rFonts w:hint="default" w:eastAsia="宋体"/>
                      <w:color w:val="0000FF"/>
                      <w:lang w:val="en-US" w:eastAsia="zh-CN"/>
                    </w:rPr>
                  </w:pPr>
                  <w:r>
                    <w:rPr>
                      <w:rFonts w:hint="eastAsia"/>
                      <w:color w:val="auto"/>
                      <w:lang w:val="en-US" w:eastAsia="zh-CN"/>
                    </w:rPr>
                    <w:t>DA001</w:t>
                  </w:r>
                </w:p>
              </w:tc>
              <w:tc>
                <w:tcPr>
                  <w:tcW w:w="763" w:type="pct"/>
                  <w:tcBorders>
                    <w:left w:val="single" w:color="auto" w:sz="4" w:space="0"/>
                  </w:tcBorders>
                  <w:noWrap/>
                  <w:vAlign w:val="center"/>
                </w:tcPr>
                <w:p w14:paraId="08FAA6F7">
                  <w:pPr>
                    <w:pStyle w:val="22"/>
                    <w:bidi w:val="0"/>
                    <w:ind w:firstLine="0" w:firstLineChars="0"/>
                    <w:rPr>
                      <w:rFonts w:hint="eastAsia"/>
                      <w:color w:val="auto"/>
                    </w:rPr>
                  </w:pPr>
                  <w:r>
                    <w:rPr>
                      <w:rFonts w:hint="eastAsia"/>
                      <w:color w:val="auto"/>
                    </w:rPr>
                    <w:t>NMHC</w:t>
                  </w:r>
                </w:p>
              </w:tc>
              <w:tc>
                <w:tcPr>
                  <w:tcW w:w="1148" w:type="pct"/>
                  <w:noWrap/>
                  <w:vAlign w:val="center"/>
                </w:tcPr>
                <w:p w14:paraId="52125185">
                  <w:pPr>
                    <w:pStyle w:val="22"/>
                    <w:bidi w:val="0"/>
                    <w:rPr>
                      <w:rFonts w:hint="default"/>
                      <w:color w:val="auto"/>
                    </w:rPr>
                  </w:pPr>
                  <w:r>
                    <w:rPr>
                      <w:rFonts w:hint="eastAsia"/>
                      <w:color w:val="auto"/>
                      <w:lang w:val="en-US" w:eastAsia="zh-CN"/>
                    </w:rPr>
                    <w:t>40mg/m</w:t>
                  </w:r>
                  <w:r>
                    <w:rPr>
                      <w:rFonts w:hint="eastAsia"/>
                      <w:color w:val="auto"/>
                      <w:vertAlign w:val="superscript"/>
                      <w:lang w:val="en-US" w:eastAsia="zh-CN"/>
                    </w:rPr>
                    <w:t>3</w:t>
                  </w:r>
                </w:p>
              </w:tc>
              <w:tc>
                <w:tcPr>
                  <w:tcW w:w="1180" w:type="pct"/>
                  <w:noWrap/>
                  <w:vAlign w:val="center"/>
                </w:tcPr>
                <w:p w14:paraId="74315781">
                  <w:pPr>
                    <w:pStyle w:val="22"/>
                    <w:bidi w:val="0"/>
                    <w:rPr>
                      <w:rFonts w:hint="default"/>
                      <w:color w:val="auto"/>
                      <w:lang w:val="en-US" w:eastAsia="zh-CN"/>
                    </w:rPr>
                  </w:pPr>
                  <w:r>
                    <w:rPr>
                      <w:rFonts w:hint="eastAsia"/>
                      <w:color w:val="auto"/>
                      <w:lang w:val="en-US" w:eastAsia="zh-CN"/>
                    </w:rPr>
                    <w:t>1.6kg/h</w:t>
                  </w:r>
                </w:p>
              </w:tc>
              <w:tc>
                <w:tcPr>
                  <w:tcW w:w="1249" w:type="pct"/>
                  <w:vMerge w:val="restart"/>
                  <w:noWrap/>
                  <w:vAlign w:val="center"/>
                </w:tcPr>
                <w:p w14:paraId="74FB2E6D">
                  <w:pPr>
                    <w:pStyle w:val="22"/>
                    <w:bidi w:val="0"/>
                    <w:rPr>
                      <w:rFonts w:hint="default"/>
                      <w:color w:val="0000FF"/>
                    </w:rPr>
                  </w:pPr>
                  <w:r>
                    <w:rPr>
                      <w:rFonts w:hint="eastAsia"/>
                      <w:color w:val="auto"/>
                    </w:rPr>
                    <w:t>车间或生产设施排气筒</w:t>
                  </w:r>
                </w:p>
              </w:tc>
            </w:tr>
            <w:tr w14:paraId="7F651D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59" w:hRule="atLeast"/>
                <w:jc w:val="center"/>
              </w:trPr>
              <w:tc>
                <w:tcPr>
                  <w:tcW w:w="658" w:type="pct"/>
                  <w:tcBorders>
                    <w:right w:val="single" w:color="auto" w:sz="4" w:space="0"/>
                  </w:tcBorders>
                  <w:noWrap/>
                  <w:vAlign w:val="center"/>
                </w:tcPr>
                <w:p w14:paraId="581FDA84">
                  <w:pPr>
                    <w:pStyle w:val="22"/>
                    <w:bidi w:val="0"/>
                    <w:rPr>
                      <w:rFonts w:hint="default"/>
                      <w:color w:val="auto"/>
                      <w:lang w:val="en-US" w:eastAsia="zh-CN"/>
                    </w:rPr>
                  </w:pPr>
                  <w:r>
                    <w:rPr>
                      <w:rFonts w:hint="eastAsia"/>
                      <w:color w:val="auto"/>
                      <w:lang w:val="en-US" w:eastAsia="zh-CN"/>
                    </w:rPr>
                    <w:t>DA002</w:t>
                  </w:r>
                </w:p>
              </w:tc>
              <w:tc>
                <w:tcPr>
                  <w:tcW w:w="763" w:type="pct"/>
                  <w:tcBorders>
                    <w:left w:val="single" w:color="auto" w:sz="4" w:space="0"/>
                  </w:tcBorders>
                  <w:noWrap/>
                  <w:vAlign w:val="center"/>
                </w:tcPr>
                <w:p w14:paraId="4D1A8A28">
                  <w:pPr>
                    <w:pStyle w:val="22"/>
                    <w:bidi w:val="0"/>
                    <w:ind w:firstLine="0" w:firstLineChars="0"/>
                    <w:rPr>
                      <w:rFonts w:hint="default" w:eastAsia="宋体"/>
                      <w:color w:val="auto"/>
                      <w:lang w:val="en-US" w:eastAsia="zh-CN"/>
                    </w:rPr>
                  </w:pPr>
                  <w:r>
                    <w:rPr>
                      <w:rFonts w:hint="eastAsia"/>
                      <w:color w:val="auto"/>
                      <w:lang w:val="en-US" w:eastAsia="zh-CN"/>
                    </w:rPr>
                    <w:t>颗粒物</w:t>
                  </w:r>
                </w:p>
              </w:tc>
              <w:tc>
                <w:tcPr>
                  <w:tcW w:w="1148" w:type="pct"/>
                  <w:noWrap/>
                  <w:vAlign w:val="center"/>
                </w:tcPr>
                <w:p w14:paraId="28268192">
                  <w:pPr>
                    <w:pStyle w:val="22"/>
                    <w:bidi w:val="0"/>
                    <w:rPr>
                      <w:rFonts w:hint="eastAsia"/>
                      <w:color w:val="auto"/>
                      <w:lang w:val="en-US" w:eastAsia="zh-CN"/>
                    </w:rPr>
                  </w:pPr>
                  <w:r>
                    <w:rPr>
                      <w:rFonts w:hint="eastAsia"/>
                      <w:color w:val="auto"/>
                      <w:lang w:val="en-US" w:eastAsia="zh-CN"/>
                    </w:rPr>
                    <w:t>20mg/m</w:t>
                  </w:r>
                  <w:r>
                    <w:rPr>
                      <w:rFonts w:hint="eastAsia"/>
                      <w:color w:val="auto"/>
                      <w:vertAlign w:val="superscript"/>
                      <w:lang w:val="en-US" w:eastAsia="zh-CN"/>
                    </w:rPr>
                    <w:t>3</w:t>
                  </w:r>
                </w:p>
              </w:tc>
              <w:tc>
                <w:tcPr>
                  <w:tcW w:w="1180" w:type="pct"/>
                  <w:noWrap/>
                  <w:vAlign w:val="center"/>
                </w:tcPr>
                <w:p w14:paraId="63D8E4E0">
                  <w:pPr>
                    <w:pStyle w:val="22"/>
                    <w:bidi w:val="0"/>
                    <w:rPr>
                      <w:rFonts w:hint="default"/>
                      <w:color w:val="auto"/>
                      <w:lang w:val="en-US" w:eastAsia="zh-CN"/>
                    </w:rPr>
                  </w:pPr>
                  <w:r>
                    <w:rPr>
                      <w:rFonts w:hint="eastAsia"/>
                      <w:color w:val="auto"/>
                      <w:lang w:val="en-US" w:eastAsia="zh-CN"/>
                    </w:rPr>
                    <w:t>/</w:t>
                  </w:r>
                </w:p>
              </w:tc>
              <w:tc>
                <w:tcPr>
                  <w:tcW w:w="1249" w:type="pct"/>
                  <w:vMerge w:val="continue"/>
                  <w:noWrap/>
                  <w:vAlign w:val="center"/>
                </w:tcPr>
                <w:p w14:paraId="521E0CF6">
                  <w:pPr>
                    <w:pStyle w:val="22"/>
                    <w:bidi w:val="0"/>
                    <w:rPr>
                      <w:rFonts w:hint="eastAsia"/>
                      <w:color w:val="auto"/>
                    </w:rPr>
                  </w:pPr>
                </w:p>
              </w:tc>
            </w:tr>
            <w:tr w14:paraId="1B8FC9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1421" w:type="pct"/>
                  <w:gridSpan w:val="2"/>
                  <w:noWrap/>
                  <w:vAlign w:val="center"/>
                </w:tcPr>
                <w:p w14:paraId="4FDE117D">
                  <w:pPr>
                    <w:pStyle w:val="22"/>
                    <w:bidi w:val="0"/>
                    <w:rPr>
                      <w:rFonts w:hint="eastAsia"/>
                      <w:color w:val="auto"/>
                    </w:rPr>
                  </w:pPr>
                  <w:r>
                    <w:rPr>
                      <w:rFonts w:hint="eastAsia"/>
                      <w:color w:val="auto"/>
                      <w:lang w:val="en-US" w:eastAsia="zh-CN"/>
                    </w:rPr>
                    <w:t>单位产品非甲烷总烃排放量</w:t>
                  </w:r>
                </w:p>
              </w:tc>
              <w:tc>
                <w:tcPr>
                  <w:tcW w:w="2328" w:type="pct"/>
                  <w:gridSpan w:val="2"/>
                  <w:noWrap/>
                  <w:vAlign w:val="center"/>
                </w:tcPr>
                <w:p w14:paraId="2A38BC5E">
                  <w:pPr>
                    <w:pStyle w:val="22"/>
                    <w:bidi w:val="0"/>
                    <w:rPr>
                      <w:rFonts w:hint="default"/>
                      <w:color w:val="auto"/>
                      <w:lang w:val="en-US" w:eastAsia="zh-CN"/>
                    </w:rPr>
                  </w:pPr>
                  <w:r>
                    <w:rPr>
                      <w:rFonts w:hint="eastAsia"/>
                      <w:color w:val="auto"/>
                      <w:lang w:val="en-US" w:eastAsia="zh-CN"/>
                    </w:rPr>
                    <w:t>0.3kg/t</w:t>
                  </w:r>
                </w:p>
              </w:tc>
              <w:tc>
                <w:tcPr>
                  <w:tcW w:w="1249" w:type="pct"/>
                  <w:vMerge w:val="continue"/>
                  <w:noWrap/>
                  <w:vAlign w:val="center"/>
                </w:tcPr>
                <w:p w14:paraId="76276220">
                  <w:pPr>
                    <w:pStyle w:val="22"/>
                    <w:bidi w:val="0"/>
                    <w:rPr>
                      <w:rFonts w:hint="eastAsia"/>
                      <w:color w:val="0000FF"/>
                    </w:rPr>
                  </w:pPr>
                </w:p>
              </w:tc>
            </w:tr>
          </w:tbl>
          <w:p w14:paraId="19A637C5">
            <w:pPr>
              <w:pStyle w:val="21"/>
              <w:bidi w:val="0"/>
              <w:rPr>
                <w:color w:val="auto"/>
                <w:lang w:val="zh-CN"/>
              </w:rPr>
            </w:pPr>
            <w:r>
              <w:rPr>
                <w:color w:val="auto"/>
                <w:lang w:val="zh-CN"/>
              </w:rPr>
              <w:t>表</w:t>
            </w:r>
            <w:r>
              <w:rPr>
                <w:rFonts w:hint="eastAsia"/>
                <w:color w:val="auto"/>
                <w:lang w:val="zh-CN"/>
              </w:rPr>
              <w:t>3-</w:t>
            </w:r>
            <w:r>
              <w:rPr>
                <w:rFonts w:hint="eastAsia"/>
                <w:color w:val="auto"/>
                <w:lang w:val="en-US" w:eastAsia="zh-CN"/>
              </w:rPr>
              <w:t>8</w:t>
            </w:r>
            <w:r>
              <w:rPr>
                <w:color w:val="auto"/>
                <w:lang w:val="zh-CN"/>
              </w:rPr>
              <w:t xml:space="preserve"> </w:t>
            </w:r>
            <w:r>
              <w:rPr>
                <w:rFonts w:hint="eastAsia"/>
                <w:color w:val="auto"/>
                <w:lang w:val="en-US" w:eastAsia="zh-CN"/>
              </w:rPr>
              <w:t xml:space="preserve"> 厂界无组织</w:t>
            </w:r>
            <w:r>
              <w:rPr>
                <w:color w:val="auto"/>
                <w:lang w:val="zh-CN"/>
              </w:rPr>
              <w:t>污染物排放标准</w:t>
            </w:r>
          </w:p>
          <w:tbl>
            <w:tblPr>
              <w:tblStyle w:val="12"/>
              <w:tblW w:w="48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66"/>
              <w:gridCol w:w="1779"/>
              <w:gridCol w:w="3186"/>
              <w:gridCol w:w="2500"/>
            </w:tblGrid>
            <w:tr w14:paraId="3DD8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09" w:type="pct"/>
                  <w:noWrap w:val="0"/>
                  <w:vAlign w:val="center"/>
                </w:tcPr>
                <w:p w14:paraId="474959DC">
                  <w:pPr>
                    <w:pStyle w:val="22"/>
                    <w:bidi w:val="0"/>
                    <w:rPr>
                      <w:rFonts w:hint="eastAsia"/>
                      <w:b/>
                      <w:bCs/>
                      <w:color w:val="auto"/>
                      <w:lang w:val="en-US" w:eastAsia="zh-CN"/>
                    </w:rPr>
                  </w:pPr>
                  <w:r>
                    <w:rPr>
                      <w:rFonts w:hint="eastAsia"/>
                      <w:b/>
                      <w:bCs/>
                      <w:color w:val="auto"/>
                      <w:lang w:val="en-US" w:eastAsia="zh-CN"/>
                    </w:rPr>
                    <w:t>时期</w:t>
                  </w:r>
                </w:p>
              </w:tc>
              <w:tc>
                <w:tcPr>
                  <w:tcW w:w="1093" w:type="pct"/>
                  <w:noWrap w:val="0"/>
                  <w:vAlign w:val="center"/>
                </w:tcPr>
                <w:p w14:paraId="28E13C1F">
                  <w:pPr>
                    <w:pStyle w:val="22"/>
                    <w:bidi w:val="0"/>
                    <w:rPr>
                      <w:b/>
                      <w:bCs/>
                      <w:color w:val="auto"/>
                    </w:rPr>
                  </w:pPr>
                  <w:r>
                    <w:rPr>
                      <w:b/>
                      <w:bCs/>
                      <w:color w:val="auto"/>
                    </w:rPr>
                    <w:t>污染物</w:t>
                  </w:r>
                  <w:r>
                    <w:rPr>
                      <w:rFonts w:hint="eastAsia"/>
                      <w:b/>
                      <w:bCs/>
                      <w:color w:val="auto"/>
                    </w:rPr>
                    <w:t>名称</w:t>
                  </w:r>
                </w:p>
              </w:tc>
              <w:tc>
                <w:tcPr>
                  <w:tcW w:w="3496" w:type="pct"/>
                  <w:gridSpan w:val="2"/>
                  <w:noWrap w:val="0"/>
                  <w:vAlign w:val="center"/>
                </w:tcPr>
                <w:p w14:paraId="4294836D">
                  <w:pPr>
                    <w:pStyle w:val="22"/>
                    <w:bidi w:val="0"/>
                    <w:rPr>
                      <w:b/>
                      <w:bCs/>
                      <w:color w:val="auto"/>
                    </w:rPr>
                  </w:pPr>
                  <w:r>
                    <w:rPr>
                      <w:b/>
                      <w:bCs/>
                      <w:color w:val="auto"/>
                    </w:rPr>
                    <w:t>无组织排放监控限值</w:t>
                  </w:r>
                </w:p>
              </w:tc>
            </w:tr>
            <w:tr w14:paraId="075C2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09" w:type="pct"/>
                  <w:vMerge w:val="restart"/>
                  <w:noWrap w:val="0"/>
                  <w:vAlign w:val="center"/>
                </w:tcPr>
                <w:p w14:paraId="66181177">
                  <w:pPr>
                    <w:pStyle w:val="22"/>
                    <w:bidi w:val="0"/>
                    <w:rPr>
                      <w:rFonts w:hint="eastAsia"/>
                      <w:color w:val="auto"/>
                      <w:lang w:val="en-US" w:eastAsia="zh-CN"/>
                    </w:rPr>
                  </w:pPr>
                  <w:r>
                    <w:rPr>
                      <w:rFonts w:hint="eastAsia"/>
                      <w:color w:val="auto"/>
                      <w:lang w:val="en-US" w:eastAsia="zh-CN"/>
                    </w:rPr>
                    <w:t>运营期</w:t>
                  </w:r>
                </w:p>
              </w:tc>
              <w:tc>
                <w:tcPr>
                  <w:tcW w:w="1093" w:type="pct"/>
                  <w:noWrap w:val="0"/>
                  <w:vAlign w:val="center"/>
                </w:tcPr>
                <w:p w14:paraId="32504E48">
                  <w:pPr>
                    <w:pStyle w:val="22"/>
                    <w:bidi w:val="0"/>
                    <w:rPr>
                      <w:rFonts w:hint="eastAsia"/>
                      <w:color w:val="auto"/>
                    </w:rPr>
                  </w:pPr>
                  <w:r>
                    <w:rPr>
                      <w:rFonts w:hint="eastAsia"/>
                      <w:color w:val="auto"/>
                    </w:rPr>
                    <w:t>非甲烷总烃</w:t>
                  </w:r>
                </w:p>
              </w:tc>
              <w:tc>
                <w:tcPr>
                  <w:tcW w:w="1959" w:type="pct"/>
                  <w:noWrap w:val="0"/>
                  <w:vAlign w:val="center"/>
                </w:tcPr>
                <w:p w14:paraId="506047E7">
                  <w:pPr>
                    <w:pStyle w:val="22"/>
                    <w:bidi w:val="0"/>
                    <w:rPr>
                      <w:rFonts w:hint="eastAsia"/>
                      <w:color w:val="auto"/>
                    </w:rPr>
                  </w:pPr>
                  <w:r>
                    <w:rPr>
                      <w:rFonts w:hint="eastAsia"/>
                      <w:color w:val="auto"/>
                      <w:lang w:val="en-US" w:eastAsia="zh-CN"/>
                    </w:rPr>
                    <w:t>厂界</w:t>
                  </w:r>
                </w:p>
              </w:tc>
              <w:tc>
                <w:tcPr>
                  <w:tcW w:w="1537" w:type="pct"/>
                  <w:noWrap w:val="0"/>
                  <w:vAlign w:val="center"/>
                </w:tcPr>
                <w:p w14:paraId="0B498274">
                  <w:pPr>
                    <w:pStyle w:val="22"/>
                    <w:bidi w:val="0"/>
                    <w:rPr>
                      <w:rFonts w:hint="eastAsia"/>
                      <w:color w:val="auto"/>
                    </w:rPr>
                  </w:pPr>
                  <w:r>
                    <w:rPr>
                      <w:rFonts w:hint="eastAsia"/>
                      <w:color w:val="auto"/>
                    </w:rPr>
                    <w:t>4.0</w:t>
                  </w:r>
                  <w:r>
                    <w:rPr>
                      <w:color w:val="auto"/>
                    </w:rPr>
                    <w:t>mg/</w:t>
                  </w:r>
                  <w:r>
                    <w:rPr>
                      <w:rFonts w:hint="eastAsia"/>
                      <w:color w:val="auto"/>
                      <w:lang w:val="en-US" w:eastAsia="zh-CN"/>
                    </w:rPr>
                    <w:t>m</w:t>
                  </w:r>
                  <w:r>
                    <w:rPr>
                      <w:rFonts w:hint="eastAsia"/>
                      <w:color w:val="auto"/>
                      <w:vertAlign w:val="superscript"/>
                      <w:lang w:val="en-US" w:eastAsia="zh-CN"/>
                    </w:rPr>
                    <w:t>3</w:t>
                  </w:r>
                </w:p>
              </w:tc>
            </w:tr>
            <w:tr w14:paraId="18A0D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21" w:hRule="atLeast"/>
                <w:jc w:val="center"/>
              </w:trPr>
              <w:tc>
                <w:tcPr>
                  <w:tcW w:w="409" w:type="pct"/>
                  <w:vMerge w:val="continue"/>
                  <w:noWrap w:val="0"/>
                  <w:vAlign w:val="center"/>
                </w:tcPr>
                <w:p w14:paraId="4976A115">
                  <w:pPr>
                    <w:pStyle w:val="22"/>
                    <w:bidi w:val="0"/>
                    <w:rPr>
                      <w:rFonts w:hint="eastAsia"/>
                      <w:color w:val="auto"/>
                    </w:rPr>
                  </w:pPr>
                </w:p>
              </w:tc>
              <w:tc>
                <w:tcPr>
                  <w:tcW w:w="1093" w:type="pct"/>
                  <w:noWrap w:val="0"/>
                  <w:vAlign w:val="center"/>
                </w:tcPr>
                <w:p w14:paraId="50C60342">
                  <w:pPr>
                    <w:pStyle w:val="22"/>
                    <w:bidi w:val="0"/>
                    <w:rPr>
                      <w:rFonts w:hint="eastAsia"/>
                      <w:color w:val="auto"/>
                    </w:rPr>
                  </w:pPr>
                  <w:r>
                    <w:rPr>
                      <w:rFonts w:hint="eastAsia"/>
                      <w:color w:val="auto"/>
                    </w:rPr>
                    <w:t>颗粒物</w:t>
                  </w:r>
                </w:p>
              </w:tc>
              <w:tc>
                <w:tcPr>
                  <w:tcW w:w="1959" w:type="pct"/>
                  <w:noWrap w:val="0"/>
                  <w:vAlign w:val="center"/>
                </w:tcPr>
                <w:p w14:paraId="701191A1">
                  <w:pPr>
                    <w:pStyle w:val="22"/>
                    <w:bidi w:val="0"/>
                    <w:rPr>
                      <w:rFonts w:hint="eastAsia"/>
                      <w:color w:val="auto"/>
                    </w:rPr>
                  </w:pPr>
                  <w:r>
                    <w:rPr>
                      <w:rFonts w:hint="eastAsia"/>
                      <w:color w:val="auto"/>
                      <w:lang w:val="en-US" w:eastAsia="zh-CN"/>
                    </w:rPr>
                    <w:t>厂界</w:t>
                  </w:r>
                </w:p>
              </w:tc>
              <w:tc>
                <w:tcPr>
                  <w:tcW w:w="1537" w:type="pct"/>
                  <w:noWrap w:val="0"/>
                  <w:vAlign w:val="center"/>
                </w:tcPr>
                <w:p w14:paraId="1844567B">
                  <w:pPr>
                    <w:pStyle w:val="22"/>
                    <w:bidi w:val="0"/>
                    <w:rPr>
                      <w:rFonts w:hint="eastAsia"/>
                      <w:color w:val="auto"/>
                    </w:rPr>
                  </w:pPr>
                  <w:r>
                    <w:rPr>
                      <w:rFonts w:hint="eastAsia"/>
                      <w:color w:val="auto"/>
                    </w:rPr>
                    <w:t>1.0</w:t>
                  </w:r>
                  <w:r>
                    <w:rPr>
                      <w:color w:val="auto"/>
                    </w:rPr>
                    <w:t>mg/</w:t>
                  </w:r>
                  <w:r>
                    <w:rPr>
                      <w:rFonts w:hint="eastAsia"/>
                      <w:color w:val="auto"/>
                      <w:lang w:val="en-US" w:eastAsia="zh-CN"/>
                    </w:rPr>
                    <w:t>m</w:t>
                  </w:r>
                  <w:r>
                    <w:rPr>
                      <w:rFonts w:hint="eastAsia"/>
                      <w:color w:val="auto"/>
                      <w:vertAlign w:val="superscript"/>
                      <w:lang w:val="en-US" w:eastAsia="zh-CN"/>
                    </w:rPr>
                    <w:t>3</w:t>
                  </w:r>
                </w:p>
              </w:tc>
            </w:tr>
          </w:tbl>
          <w:p w14:paraId="239A6B31">
            <w:pPr>
              <w:pStyle w:val="21"/>
              <w:bidi w:val="0"/>
              <w:rPr>
                <w:color w:val="auto"/>
                <w:lang w:val="zh-CN"/>
              </w:rPr>
            </w:pPr>
            <w:r>
              <w:rPr>
                <w:color w:val="auto"/>
                <w:lang w:val="zh-CN"/>
              </w:rPr>
              <w:t>表3-</w:t>
            </w:r>
            <w:r>
              <w:rPr>
                <w:rFonts w:hint="eastAsia"/>
                <w:color w:val="auto"/>
                <w:lang w:val="en-US" w:eastAsia="zh-CN"/>
              </w:rPr>
              <w:t>9</w:t>
            </w:r>
            <w:r>
              <w:rPr>
                <w:color w:val="auto"/>
                <w:lang w:val="zh-CN"/>
              </w:rPr>
              <w:t xml:space="preserve"> </w:t>
            </w:r>
            <w:r>
              <w:rPr>
                <w:rFonts w:hint="eastAsia"/>
                <w:color w:val="auto"/>
                <w:lang w:val="en-US" w:eastAsia="zh-CN"/>
              </w:rPr>
              <w:t xml:space="preserve"> 厂区内</w:t>
            </w:r>
            <w:r>
              <w:rPr>
                <w:color w:val="auto"/>
                <w:lang w:val="zh-CN"/>
              </w:rPr>
              <w:t>无组织排放控制标准</w:t>
            </w:r>
            <w:r>
              <w:rPr>
                <w:rFonts w:hint="eastAsia"/>
                <w:color w:val="auto"/>
                <w:lang w:val="zh-CN"/>
              </w:rPr>
              <w:t>（</w:t>
            </w:r>
            <w:r>
              <w:rPr>
                <w:color w:val="auto"/>
                <w:lang w:val="zh-CN"/>
              </w:rPr>
              <w:t>单位：mg/</w:t>
            </w:r>
            <w:r>
              <w:rPr>
                <w:rFonts w:hint="eastAsia"/>
                <w:color w:val="auto"/>
                <w:lang w:val="en-US" w:eastAsia="zh-CN"/>
              </w:rPr>
              <w:t>m</w:t>
            </w:r>
            <w:r>
              <w:rPr>
                <w:rFonts w:hint="eastAsia"/>
                <w:color w:val="auto"/>
                <w:vertAlign w:val="superscript"/>
                <w:lang w:val="en-US" w:eastAsia="zh-CN"/>
              </w:rPr>
              <w:t>3</w:t>
            </w:r>
            <w:r>
              <w:rPr>
                <w:rFonts w:hint="eastAsia"/>
                <w:color w:val="auto"/>
                <w:lang w:val="zh-CN"/>
              </w:rPr>
              <w:t>）</w:t>
            </w:r>
          </w:p>
          <w:tbl>
            <w:tblPr>
              <w:tblStyle w:val="12"/>
              <w:tblW w:w="487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302"/>
              <w:gridCol w:w="1913"/>
              <w:gridCol w:w="2620"/>
              <w:gridCol w:w="2298"/>
            </w:tblGrid>
            <w:tr w14:paraId="3FB1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800" w:type="pct"/>
                  <w:noWrap w:val="0"/>
                  <w:vAlign w:val="center"/>
                </w:tcPr>
                <w:p w14:paraId="49FCC109">
                  <w:pPr>
                    <w:pStyle w:val="22"/>
                    <w:bidi w:val="0"/>
                    <w:rPr>
                      <w:b/>
                      <w:bCs/>
                      <w:color w:val="auto"/>
                    </w:rPr>
                  </w:pPr>
                  <w:r>
                    <w:rPr>
                      <w:b/>
                      <w:bCs/>
                      <w:color w:val="auto"/>
                    </w:rPr>
                    <w:t>污染物项目</w:t>
                  </w:r>
                </w:p>
              </w:tc>
              <w:tc>
                <w:tcPr>
                  <w:tcW w:w="1176" w:type="pct"/>
                  <w:noWrap w:val="0"/>
                  <w:vAlign w:val="center"/>
                </w:tcPr>
                <w:p w14:paraId="41ED6193">
                  <w:pPr>
                    <w:pStyle w:val="22"/>
                    <w:bidi w:val="0"/>
                    <w:rPr>
                      <w:b/>
                      <w:bCs/>
                      <w:color w:val="auto"/>
                    </w:rPr>
                  </w:pPr>
                  <w:r>
                    <w:rPr>
                      <w:b/>
                      <w:bCs/>
                      <w:color w:val="auto"/>
                    </w:rPr>
                    <w:t>特别排放限值</w:t>
                  </w:r>
                </w:p>
              </w:tc>
              <w:tc>
                <w:tcPr>
                  <w:tcW w:w="1610" w:type="pct"/>
                  <w:noWrap w:val="0"/>
                  <w:vAlign w:val="center"/>
                </w:tcPr>
                <w:p w14:paraId="195CC1D4">
                  <w:pPr>
                    <w:pStyle w:val="22"/>
                    <w:bidi w:val="0"/>
                    <w:rPr>
                      <w:b/>
                      <w:bCs/>
                      <w:color w:val="auto"/>
                    </w:rPr>
                  </w:pPr>
                  <w:r>
                    <w:rPr>
                      <w:b/>
                      <w:bCs/>
                      <w:color w:val="auto"/>
                    </w:rPr>
                    <w:t>限值含义</w:t>
                  </w:r>
                </w:p>
              </w:tc>
              <w:tc>
                <w:tcPr>
                  <w:tcW w:w="1412" w:type="pct"/>
                  <w:noWrap w:val="0"/>
                  <w:vAlign w:val="center"/>
                </w:tcPr>
                <w:p w14:paraId="71A24EB0">
                  <w:pPr>
                    <w:pStyle w:val="22"/>
                    <w:bidi w:val="0"/>
                    <w:rPr>
                      <w:b/>
                      <w:bCs/>
                      <w:color w:val="auto"/>
                    </w:rPr>
                  </w:pPr>
                  <w:r>
                    <w:rPr>
                      <w:b/>
                      <w:bCs/>
                      <w:color w:val="auto"/>
                    </w:rPr>
                    <w:t>无组织排放监控位置</w:t>
                  </w:r>
                </w:p>
              </w:tc>
            </w:tr>
            <w:tr w14:paraId="0D5B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800" w:type="pct"/>
                  <w:vMerge w:val="restart"/>
                  <w:noWrap w:val="0"/>
                  <w:vAlign w:val="center"/>
                </w:tcPr>
                <w:p w14:paraId="31420C32">
                  <w:pPr>
                    <w:pStyle w:val="22"/>
                    <w:bidi w:val="0"/>
                    <w:rPr>
                      <w:color w:val="auto"/>
                    </w:rPr>
                  </w:pPr>
                  <w:r>
                    <w:rPr>
                      <w:rFonts w:hint="eastAsia"/>
                      <w:color w:val="auto"/>
                    </w:rPr>
                    <w:t>非甲烷总烃</w:t>
                  </w:r>
                </w:p>
              </w:tc>
              <w:tc>
                <w:tcPr>
                  <w:tcW w:w="1176" w:type="pct"/>
                  <w:noWrap w:val="0"/>
                  <w:vAlign w:val="center"/>
                </w:tcPr>
                <w:p w14:paraId="6B2014A5">
                  <w:pPr>
                    <w:pStyle w:val="22"/>
                    <w:bidi w:val="0"/>
                    <w:rPr>
                      <w:color w:val="auto"/>
                    </w:rPr>
                  </w:pPr>
                  <w:r>
                    <w:rPr>
                      <w:color w:val="auto"/>
                    </w:rPr>
                    <w:t>6</w:t>
                  </w:r>
                </w:p>
              </w:tc>
              <w:tc>
                <w:tcPr>
                  <w:tcW w:w="1610" w:type="pct"/>
                  <w:noWrap w:val="0"/>
                  <w:vAlign w:val="center"/>
                </w:tcPr>
                <w:p w14:paraId="5F79C309">
                  <w:pPr>
                    <w:pStyle w:val="22"/>
                    <w:bidi w:val="0"/>
                    <w:rPr>
                      <w:color w:val="auto"/>
                    </w:rPr>
                  </w:pPr>
                  <w:r>
                    <w:rPr>
                      <w:color w:val="auto"/>
                    </w:rPr>
                    <w:t>监控点处1h平均浓度值</w:t>
                  </w:r>
                </w:p>
              </w:tc>
              <w:tc>
                <w:tcPr>
                  <w:tcW w:w="1412" w:type="pct"/>
                  <w:vMerge w:val="restart"/>
                  <w:noWrap w:val="0"/>
                  <w:vAlign w:val="center"/>
                </w:tcPr>
                <w:p w14:paraId="6DD0A013">
                  <w:pPr>
                    <w:pStyle w:val="22"/>
                    <w:bidi w:val="0"/>
                    <w:rPr>
                      <w:color w:val="auto"/>
                    </w:rPr>
                  </w:pPr>
                  <w:r>
                    <w:rPr>
                      <w:color w:val="auto"/>
                    </w:rPr>
                    <w:t>在厂房外设置监控点</w:t>
                  </w:r>
                </w:p>
              </w:tc>
            </w:tr>
            <w:tr w14:paraId="34DD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800" w:type="pct"/>
                  <w:vMerge w:val="continue"/>
                  <w:noWrap w:val="0"/>
                  <w:vAlign w:val="center"/>
                </w:tcPr>
                <w:p w14:paraId="027CAD07">
                  <w:pPr>
                    <w:pStyle w:val="22"/>
                    <w:bidi w:val="0"/>
                    <w:rPr>
                      <w:color w:val="auto"/>
                    </w:rPr>
                  </w:pPr>
                </w:p>
              </w:tc>
              <w:tc>
                <w:tcPr>
                  <w:tcW w:w="1176" w:type="pct"/>
                  <w:noWrap w:val="0"/>
                  <w:vAlign w:val="center"/>
                </w:tcPr>
                <w:p w14:paraId="5DD3F103">
                  <w:pPr>
                    <w:pStyle w:val="22"/>
                    <w:bidi w:val="0"/>
                    <w:rPr>
                      <w:color w:val="auto"/>
                    </w:rPr>
                  </w:pPr>
                  <w:r>
                    <w:rPr>
                      <w:color w:val="auto"/>
                    </w:rPr>
                    <w:t>20</w:t>
                  </w:r>
                </w:p>
              </w:tc>
              <w:tc>
                <w:tcPr>
                  <w:tcW w:w="1610" w:type="pct"/>
                  <w:noWrap w:val="0"/>
                  <w:vAlign w:val="center"/>
                </w:tcPr>
                <w:p w14:paraId="430F5558">
                  <w:pPr>
                    <w:pStyle w:val="22"/>
                    <w:bidi w:val="0"/>
                    <w:rPr>
                      <w:color w:val="auto"/>
                    </w:rPr>
                  </w:pPr>
                  <w:r>
                    <w:rPr>
                      <w:color w:val="auto"/>
                    </w:rPr>
                    <w:t>监控点处任意一次浓度值</w:t>
                  </w:r>
                </w:p>
              </w:tc>
              <w:tc>
                <w:tcPr>
                  <w:tcW w:w="1412" w:type="pct"/>
                  <w:vMerge w:val="continue"/>
                  <w:noWrap w:val="0"/>
                  <w:vAlign w:val="center"/>
                </w:tcPr>
                <w:p w14:paraId="47A4528D">
                  <w:pPr>
                    <w:pStyle w:val="22"/>
                    <w:bidi w:val="0"/>
                    <w:rPr>
                      <w:color w:val="auto"/>
                    </w:rPr>
                  </w:pPr>
                </w:p>
              </w:tc>
            </w:tr>
          </w:tbl>
          <w:p w14:paraId="555F5C83">
            <w:pPr>
              <w:bidi w:val="0"/>
              <w:rPr>
                <w:b/>
                <w:bCs/>
                <w:color w:val="auto"/>
              </w:rPr>
            </w:pPr>
            <w:r>
              <w:rPr>
                <w:b/>
                <w:bCs/>
                <w:color w:val="auto"/>
              </w:rPr>
              <w:t>2、废水</w:t>
            </w:r>
            <w:r>
              <w:rPr>
                <w:rFonts w:hint="eastAsia"/>
                <w:b/>
                <w:bCs/>
                <w:color w:val="auto"/>
              </w:rPr>
              <w:t>排放标准</w:t>
            </w:r>
          </w:p>
          <w:p w14:paraId="6CE38444">
            <w:pPr>
              <w:bidi w:val="0"/>
              <w:rPr>
                <w:rFonts w:hint="default"/>
                <w:color w:val="auto"/>
                <w:lang w:val="en-US" w:eastAsia="zh-CN"/>
              </w:rPr>
            </w:pPr>
            <w:r>
              <w:rPr>
                <w:rFonts w:hint="eastAsia"/>
                <w:color w:val="auto"/>
                <w:lang w:val="en-US" w:eastAsia="zh-CN"/>
              </w:rPr>
              <w:t>本项目生活污水经化粪池预处理后达到安徽（淮南）现代煤化工产业园园区污水处理厂接管标准要求后排入安徽（淮南）现代煤化工产业园园区污水处理厂，出水达到《城镇污水处理厂污染物排放标准》（GB18918-2002）表1中一级A标准，出水排入含盐化工废水处理工程进行深度处理，尾水达到《工业循环冷却水处理设计规范》（GB/T50050-2017）中“再生水用于间冷开式循环冷却水系统补充水的水质指标”（其中COD≤50mg/L），尾水回用，不外排。</w:t>
            </w:r>
          </w:p>
          <w:p w14:paraId="5208839E">
            <w:pPr>
              <w:pStyle w:val="21"/>
              <w:bidi w:val="0"/>
              <w:rPr>
                <w:rFonts w:hint="eastAsia"/>
                <w:color w:val="auto"/>
                <w:lang w:val="zh-CN" w:eastAsia="zh-CN"/>
              </w:rPr>
            </w:pPr>
            <w:r>
              <w:rPr>
                <w:rFonts w:hint="eastAsia"/>
                <w:color w:val="auto"/>
                <w:lang w:val="zh-CN"/>
              </w:rPr>
              <w:t>表3-</w:t>
            </w:r>
            <w:r>
              <w:rPr>
                <w:rFonts w:hint="eastAsia"/>
                <w:color w:val="auto"/>
                <w:lang w:val="en-US" w:eastAsia="zh-CN"/>
              </w:rPr>
              <w:t xml:space="preserve">10  </w:t>
            </w:r>
            <w:r>
              <w:rPr>
                <w:rFonts w:hint="eastAsia"/>
                <w:color w:val="auto"/>
                <w:lang w:val="zh-CN"/>
              </w:rPr>
              <w:t>污水排放标准限值</w:t>
            </w:r>
            <w:r>
              <w:rPr>
                <w:rFonts w:hint="eastAsia"/>
                <w:color w:val="auto"/>
                <w:lang w:val="zh-CN" w:eastAsia="zh-CN"/>
              </w:rPr>
              <w:t>（</w:t>
            </w:r>
            <w:r>
              <w:rPr>
                <w:rFonts w:hint="eastAsia"/>
                <w:color w:val="auto"/>
                <w:lang w:val="zh-CN"/>
              </w:rPr>
              <w:t>单位：mg/L，pH值除外</w:t>
            </w:r>
            <w:r>
              <w:rPr>
                <w:rFonts w:hint="eastAsia"/>
                <w:color w:val="auto"/>
                <w:lang w:val="zh-CN" w:eastAsia="zh-CN"/>
              </w:rPr>
              <w:t>）</w:t>
            </w:r>
          </w:p>
          <w:tbl>
            <w:tblPr>
              <w:tblStyle w:val="12"/>
              <w:tblW w:w="48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9"/>
              <w:gridCol w:w="1555"/>
              <w:gridCol w:w="1991"/>
              <w:gridCol w:w="2289"/>
              <w:gridCol w:w="1468"/>
            </w:tblGrid>
            <w:tr w14:paraId="1B67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4" w:type="pct"/>
                  <w:vAlign w:val="center"/>
                </w:tcPr>
                <w:p w14:paraId="6EF5271F">
                  <w:pPr>
                    <w:pStyle w:val="22"/>
                    <w:bidi w:val="0"/>
                    <w:rPr>
                      <w:b/>
                      <w:bCs/>
                      <w:color w:val="auto"/>
                    </w:rPr>
                  </w:pPr>
                  <w:r>
                    <w:rPr>
                      <w:b/>
                      <w:bCs/>
                      <w:color w:val="auto"/>
                    </w:rPr>
                    <w:t>序号</w:t>
                  </w:r>
                </w:p>
              </w:tc>
              <w:tc>
                <w:tcPr>
                  <w:tcW w:w="957" w:type="pct"/>
                  <w:vAlign w:val="center"/>
                </w:tcPr>
                <w:p w14:paraId="325B3381">
                  <w:pPr>
                    <w:pStyle w:val="22"/>
                    <w:bidi w:val="0"/>
                    <w:rPr>
                      <w:b/>
                      <w:bCs/>
                      <w:color w:val="auto"/>
                    </w:rPr>
                  </w:pPr>
                  <w:r>
                    <w:rPr>
                      <w:b/>
                      <w:bCs/>
                      <w:color w:val="auto"/>
                    </w:rPr>
                    <w:t>污染物</w:t>
                  </w:r>
                </w:p>
              </w:tc>
              <w:tc>
                <w:tcPr>
                  <w:tcW w:w="1225" w:type="pct"/>
                  <w:vAlign w:val="center"/>
                </w:tcPr>
                <w:p w14:paraId="43FD9817">
                  <w:pPr>
                    <w:pStyle w:val="22"/>
                    <w:bidi w:val="0"/>
                    <w:rPr>
                      <w:b/>
                      <w:bCs/>
                      <w:color w:val="auto"/>
                    </w:rPr>
                  </w:pPr>
                  <w:r>
                    <w:rPr>
                      <w:b/>
                      <w:bCs/>
                      <w:color w:val="auto"/>
                    </w:rPr>
                    <w:t>园区污水处理厂接管标准mg/L</w:t>
                  </w:r>
                </w:p>
              </w:tc>
              <w:tc>
                <w:tcPr>
                  <w:tcW w:w="1409" w:type="pct"/>
                  <w:vAlign w:val="center"/>
                </w:tcPr>
                <w:p w14:paraId="139C8ACD">
                  <w:pPr>
                    <w:pStyle w:val="22"/>
                    <w:bidi w:val="0"/>
                    <w:rPr>
                      <w:b/>
                      <w:bCs/>
                      <w:color w:val="auto"/>
                    </w:rPr>
                  </w:pPr>
                  <w:r>
                    <w:rPr>
                      <w:rFonts w:hint="eastAsia"/>
                      <w:b/>
                      <w:bCs/>
                      <w:color w:val="auto"/>
                    </w:rPr>
                    <w:t>《污水综合排放标准》表4三级排放标准</w:t>
                  </w:r>
                  <w:r>
                    <w:rPr>
                      <w:b/>
                      <w:bCs/>
                      <w:color w:val="auto"/>
                    </w:rPr>
                    <w:t>mg/L</w:t>
                  </w:r>
                </w:p>
              </w:tc>
              <w:tc>
                <w:tcPr>
                  <w:tcW w:w="903" w:type="pct"/>
                  <w:vAlign w:val="center"/>
                </w:tcPr>
                <w:p w14:paraId="6A8D03F9">
                  <w:pPr>
                    <w:pStyle w:val="22"/>
                    <w:bidi w:val="0"/>
                    <w:rPr>
                      <w:b/>
                      <w:bCs/>
                      <w:color w:val="auto"/>
                    </w:rPr>
                  </w:pPr>
                  <w:r>
                    <w:rPr>
                      <w:b/>
                      <w:bCs/>
                      <w:color w:val="auto"/>
                    </w:rPr>
                    <w:t>本项目执行标准mg/L</w:t>
                  </w:r>
                </w:p>
              </w:tc>
            </w:tr>
            <w:tr w14:paraId="4620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4" w:type="pct"/>
                  <w:vAlign w:val="center"/>
                </w:tcPr>
                <w:p w14:paraId="0601AA28">
                  <w:pPr>
                    <w:pStyle w:val="22"/>
                    <w:bidi w:val="0"/>
                    <w:rPr>
                      <w:color w:val="auto"/>
                    </w:rPr>
                  </w:pPr>
                  <w:r>
                    <w:rPr>
                      <w:color w:val="auto"/>
                    </w:rPr>
                    <w:t>1</w:t>
                  </w:r>
                </w:p>
              </w:tc>
              <w:tc>
                <w:tcPr>
                  <w:tcW w:w="957" w:type="pct"/>
                  <w:vAlign w:val="center"/>
                </w:tcPr>
                <w:p w14:paraId="5001BD52">
                  <w:pPr>
                    <w:pStyle w:val="22"/>
                    <w:bidi w:val="0"/>
                    <w:rPr>
                      <w:color w:val="auto"/>
                    </w:rPr>
                  </w:pPr>
                  <w:r>
                    <w:rPr>
                      <w:color w:val="auto"/>
                    </w:rPr>
                    <w:t>pH</w:t>
                  </w:r>
                  <w:r>
                    <w:rPr>
                      <w:rFonts w:hint="eastAsia"/>
                      <w:color w:val="auto"/>
                    </w:rPr>
                    <w:t>（无量纲）</w:t>
                  </w:r>
                </w:p>
              </w:tc>
              <w:tc>
                <w:tcPr>
                  <w:tcW w:w="1225" w:type="pct"/>
                  <w:vAlign w:val="center"/>
                </w:tcPr>
                <w:p w14:paraId="14FD1F6B">
                  <w:pPr>
                    <w:pStyle w:val="22"/>
                    <w:bidi w:val="0"/>
                    <w:rPr>
                      <w:color w:val="auto"/>
                    </w:rPr>
                  </w:pPr>
                  <w:r>
                    <w:rPr>
                      <w:color w:val="auto"/>
                    </w:rPr>
                    <w:t>6~9</w:t>
                  </w:r>
                </w:p>
              </w:tc>
              <w:tc>
                <w:tcPr>
                  <w:tcW w:w="1409" w:type="pct"/>
                  <w:vAlign w:val="center"/>
                </w:tcPr>
                <w:p w14:paraId="112E870B">
                  <w:pPr>
                    <w:pStyle w:val="22"/>
                    <w:bidi w:val="0"/>
                    <w:rPr>
                      <w:color w:val="auto"/>
                    </w:rPr>
                  </w:pPr>
                  <w:r>
                    <w:rPr>
                      <w:color w:val="auto"/>
                    </w:rPr>
                    <w:t>6~9</w:t>
                  </w:r>
                </w:p>
              </w:tc>
              <w:tc>
                <w:tcPr>
                  <w:tcW w:w="903" w:type="pct"/>
                  <w:vAlign w:val="center"/>
                </w:tcPr>
                <w:p w14:paraId="3FD320CE">
                  <w:pPr>
                    <w:pStyle w:val="22"/>
                    <w:bidi w:val="0"/>
                    <w:rPr>
                      <w:color w:val="auto"/>
                    </w:rPr>
                  </w:pPr>
                  <w:r>
                    <w:rPr>
                      <w:color w:val="auto"/>
                    </w:rPr>
                    <w:t>6~9</w:t>
                  </w:r>
                </w:p>
              </w:tc>
            </w:tr>
            <w:tr w14:paraId="3B5F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4" w:type="pct"/>
                  <w:vAlign w:val="center"/>
                </w:tcPr>
                <w:p w14:paraId="79669414">
                  <w:pPr>
                    <w:pStyle w:val="22"/>
                    <w:bidi w:val="0"/>
                    <w:rPr>
                      <w:color w:val="auto"/>
                    </w:rPr>
                  </w:pPr>
                  <w:r>
                    <w:rPr>
                      <w:color w:val="auto"/>
                    </w:rPr>
                    <w:t>2</w:t>
                  </w:r>
                </w:p>
              </w:tc>
              <w:tc>
                <w:tcPr>
                  <w:tcW w:w="957" w:type="pct"/>
                  <w:vAlign w:val="center"/>
                </w:tcPr>
                <w:p w14:paraId="72787A47">
                  <w:pPr>
                    <w:pStyle w:val="22"/>
                    <w:bidi w:val="0"/>
                    <w:rPr>
                      <w:color w:val="auto"/>
                    </w:rPr>
                  </w:pPr>
                  <w:r>
                    <w:rPr>
                      <w:color w:val="auto"/>
                    </w:rPr>
                    <w:t>COD</w:t>
                  </w:r>
                </w:p>
              </w:tc>
              <w:tc>
                <w:tcPr>
                  <w:tcW w:w="1225" w:type="pct"/>
                  <w:vAlign w:val="center"/>
                </w:tcPr>
                <w:p w14:paraId="0D72880F">
                  <w:pPr>
                    <w:pStyle w:val="22"/>
                    <w:bidi w:val="0"/>
                    <w:rPr>
                      <w:color w:val="auto"/>
                    </w:rPr>
                  </w:pPr>
                  <w:r>
                    <w:rPr>
                      <w:color w:val="auto"/>
                    </w:rPr>
                    <w:t>500</w:t>
                  </w:r>
                </w:p>
              </w:tc>
              <w:tc>
                <w:tcPr>
                  <w:tcW w:w="1409" w:type="pct"/>
                  <w:vAlign w:val="center"/>
                </w:tcPr>
                <w:p w14:paraId="5829DCFB">
                  <w:pPr>
                    <w:pStyle w:val="22"/>
                    <w:bidi w:val="0"/>
                    <w:rPr>
                      <w:color w:val="auto"/>
                    </w:rPr>
                  </w:pPr>
                  <w:r>
                    <w:rPr>
                      <w:color w:val="auto"/>
                    </w:rPr>
                    <w:t>500</w:t>
                  </w:r>
                </w:p>
              </w:tc>
              <w:tc>
                <w:tcPr>
                  <w:tcW w:w="903" w:type="pct"/>
                  <w:vAlign w:val="center"/>
                </w:tcPr>
                <w:p w14:paraId="5B3D154B">
                  <w:pPr>
                    <w:pStyle w:val="22"/>
                    <w:bidi w:val="0"/>
                    <w:rPr>
                      <w:color w:val="auto"/>
                    </w:rPr>
                  </w:pPr>
                  <w:r>
                    <w:rPr>
                      <w:color w:val="auto"/>
                    </w:rPr>
                    <w:t>500</w:t>
                  </w:r>
                </w:p>
              </w:tc>
            </w:tr>
            <w:tr w14:paraId="5DEB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4" w:type="pct"/>
                  <w:vAlign w:val="center"/>
                </w:tcPr>
                <w:p w14:paraId="1F90A8BD">
                  <w:pPr>
                    <w:pStyle w:val="22"/>
                    <w:bidi w:val="0"/>
                    <w:rPr>
                      <w:color w:val="auto"/>
                    </w:rPr>
                  </w:pPr>
                  <w:r>
                    <w:rPr>
                      <w:color w:val="auto"/>
                    </w:rPr>
                    <w:t>3</w:t>
                  </w:r>
                </w:p>
              </w:tc>
              <w:tc>
                <w:tcPr>
                  <w:tcW w:w="957" w:type="pct"/>
                  <w:vAlign w:val="center"/>
                </w:tcPr>
                <w:p w14:paraId="5F775392">
                  <w:pPr>
                    <w:pStyle w:val="22"/>
                    <w:bidi w:val="0"/>
                    <w:rPr>
                      <w:color w:val="auto"/>
                    </w:rPr>
                  </w:pPr>
                  <w:r>
                    <w:rPr>
                      <w:color w:val="auto"/>
                    </w:rPr>
                    <w:t>BOD</w:t>
                  </w:r>
                  <w:r>
                    <w:rPr>
                      <w:color w:val="auto"/>
                      <w:vertAlign w:val="subscript"/>
                    </w:rPr>
                    <w:t>5</w:t>
                  </w:r>
                </w:p>
              </w:tc>
              <w:tc>
                <w:tcPr>
                  <w:tcW w:w="1225" w:type="pct"/>
                  <w:vAlign w:val="center"/>
                </w:tcPr>
                <w:p w14:paraId="66C7824C">
                  <w:pPr>
                    <w:pStyle w:val="22"/>
                    <w:bidi w:val="0"/>
                    <w:rPr>
                      <w:rFonts w:hint="default" w:eastAsia="宋体"/>
                      <w:color w:val="auto"/>
                      <w:lang w:val="en-US" w:eastAsia="zh-CN"/>
                    </w:rPr>
                  </w:pPr>
                  <w:r>
                    <w:rPr>
                      <w:rFonts w:hint="eastAsia"/>
                      <w:color w:val="auto"/>
                      <w:lang w:val="en-US" w:eastAsia="zh-CN"/>
                    </w:rPr>
                    <w:t>350</w:t>
                  </w:r>
                </w:p>
              </w:tc>
              <w:tc>
                <w:tcPr>
                  <w:tcW w:w="1409" w:type="pct"/>
                  <w:vAlign w:val="center"/>
                </w:tcPr>
                <w:p w14:paraId="40F14200">
                  <w:pPr>
                    <w:pStyle w:val="22"/>
                    <w:bidi w:val="0"/>
                    <w:rPr>
                      <w:color w:val="auto"/>
                    </w:rPr>
                  </w:pPr>
                  <w:r>
                    <w:rPr>
                      <w:color w:val="auto"/>
                    </w:rPr>
                    <w:t>300</w:t>
                  </w:r>
                </w:p>
              </w:tc>
              <w:tc>
                <w:tcPr>
                  <w:tcW w:w="903" w:type="pct"/>
                  <w:vAlign w:val="center"/>
                </w:tcPr>
                <w:p w14:paraId="0C8655B2">
                  <w:pPr>
                    <w:pStyle w:val="22"/>
                    <w:bidi w:val="0"/>
                    <w:rPr>
                      <w:color w:val="auto"/>
                    </w:rPr>
                  </w:pPr>
                  <w:r>
                    <w:rPr>
                      <w:color w:val="auto"/>
                    </w:rPr>
                    <w:t>300</w:t>
                  </w:r>
                </w:p>
              </w:tc>
            </w:tr>
            <w:tr w14:paraId="53060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4" w:type="pct"/>
                  <w:vAlign w:val="center"/>
                </w:tcPr>
                <w:p w14:paraId="548A75A2">
                  <w:pPr>
                    <w:pStyle w:val="22"/>
                    <w:bidi w:val="0"/>
                    <w:rPr>
                      <w:rFonts w:hint="eastAsia" w:eastAsia="宋体"/>
                      <w:color w:val="auto"/>
                      <w:lang w:eastAsia="zh-CN"/>
                    </w:rPr>
                  </w:pPr>
                  <w:r>
                    <w:rPr>
                      <w:rFonts w:hint="eastAsia"/>
                      <w:color w:val="auto"/>
                      <w:lang w:val="en-US" w:eastAsia="zh-CN"/>
                    </w:rPr>
                    <w:t>4</w:t>
                  </w:r>
                </w:p>
              </w:tc>
              <w:tc>
                <w:tcPr>
                  <w:tcW w:w="957" w:type="pct"/>
                  <w:vAlign w:val="center"/>
                </w:tcPr>
                <w:p w14:paraId="64D2B148">
                  <w:pPr>
                    <w:pStyle w:val="22"/>
                    <w:bidi w:val="0"/>
                    <w:rPr>
                      <w:color w:val="auto"/>
                    </w:rPr>
                  </w:pPr>
                  <w:r>
                    <w:rPr>
                      <w:color w:val="auto"/>
                    </w:rPr>
                    <w:t>SS</w:t>
                  </w:r>
                </w:p>
              </w:tc>
              <w:tc>
                <w:tcPr>
                  <w:tcW w:w="1225" w:type="pct"/>
                  <w:vAlign w:val="center"/>
                </w:tcPr>
                <w:p w14:paraId="7A21E961">
                  <w:pPr>
                    <w:pStyle w:val="22"/>
                    <w:bidi w:val="0"/>
                    <w:rPr>
                      <w:rFonts w:hint="default" w:eastAsia="宋体"/>
                      <w:color w:val="auto"/>
                      <w:lang w:val="en-US" w:eastAsia="zh-CN"/>
                    </w:rPr>
                  </w:pPr>
                  <w:r>
                    <w:rPr>
                      <w:rFonts w:hint="eastAsia"/>
                      <w:color w:val="auto"/>
                      <w:lang w:val="en-US" w:eastAsia="zh-CN"/>
                    </w:rPr>
                    <w:t>400</w:t>
                  </w:r>
                </w:p>
              </w:tc>
              <w:tc>
                <w:tcPr>
                  <w:tcW w:w="1409" w:type="pct"/>
                  <w:vAlign w:val="center"/>
                </w:tcPr>
                <w:p w14:paraId="6F26BB5D">
                  <w:pPr>
                    <w:pStyle w:val="22"/>
                    <w:bidi w:val="0"/>
                    <w:rPr>
                      <w:color w:val="auto"/>
                    </w:rPr>
                  </w:pPr>
                  <w:r>
                    <w:rPr>
                      <w:color w:val="auto"/>
                    </w:rPr>
                    <w:t>400</w:t>
                  </w:r>
                </w:p>
              </w:tc>
              <w:tc>
                <w:tcPr>
                  <w:tcW w:w="903" w:type="pct"/>
                  <w:vAlign w:val="center"/>
                </w:tcPr>
                <w:p w14:paraId="4C793270">
                  <w:pPr>
                    <w:pStyle w:val="22"/>
                    <w:bidi w:val="0"/>
                    <w:rPr>
                      <w:rFonts w:hint="default" w:eastAsia="宋体"/>
                      <w:color w:val="auto"/>
                      <w:lang w:val="en-US" w:eastAsia="zh-CN"/>
                    </w:rPr>
                  </w:pPr>
                  <w:r>
                    <w:rPr>
                      <w:rFonts w:hint="eastAsia"/>
                      <w:color w:val="auto"/>
                      <w:lang w:val="en-US" w:eastAsia="zh-CN"/>
                    </w:rPr>
                    <w:t>400</w:t>
                  </w:r>
                </w:p>
              </w:tc>
            </w:tr>
            <w:tr w14:paraId="3AA66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4" w:type="pct"/>
                  <w:vAlign w:val="center"/>
                </w:tcPr>
                <w:p w14:paraId="3371B6C8">
                  <w:pPr>
                    <w:pStyle w:val="22"/>
                    <w:bidi w:val="0"/>
                    <w:rPr>
                      <w:rFonts w:hint="eastAsia" w:eastAsia="宋体"/>
                      <w:color w:val="auto"/>
                      <w:lang w:eastAsia="zh-CN"/>
                    </w:rPr>
                  </w:pPr>
                  <w:r>
                    <w:rPr>
                      <w:rFonts w:hint="eastAsia"/>
                      <w:color w:val="auto"/>
                      <w:lang w:val="en-US" w:eastAsia="zh-CN"/>
                    </w:rPr>
                    <w:t>5</w:t>
                  </w:r>
                </w:p>
              </w:tc>
              <w:tc>
                <w:tcPr>
                  <w:tcW w:w="957" w:type="pct"/>
                  <w:vAlign w:val="center"/>
                </w:tcPr>
                <w:p w14:paraId="664B2D2D">
                  <w:pPr>
                    <w:pStyle w:val="22"/>
                    <w:bidi w:val="0"/>
                    <w:rPr>
                      <w:color w:val="auto"/>
                    </w:rPr>
                  </w:pPr>
                  <w:r>
                    <w:rPr>
                      <w:color w:val="auto"/>
                    </w:rPr>
                    <w:t>NH</w:t>
                  </w:r>
                  <w:r>
                    <w:rPr>
                      <w:color w:val="auto"/>
                      <w:vertAlign w:val="subscript"/>
                    </w:rPr>
                    <w:t>3</w:t>
                  </w:r>
                  <w:r>
                    <w:rPr>
                      <w:color w:val="auto"/>
                    </w:rPr>
                    <w:t>-N</w:t>
                  </w:r>
                </w:p>
              </w:tc>
              <w:tc>
                <w:tcPr>
                  <w:tcW w:w="1225" w:type="pct"/>
                  <w:vAlign w:val="center"/>
                </w:tcPr>
                <w:p w14:paraId="3014AA1B">
                  <w:pPr>
                    <w:pStyle w:val="22"/>
                    <w:bidi w:val="0"/>
                    <w:rPr>
                      <w:rFonts w:hint="default" w:eastAsia="宋体"/>
                      <w:color w:val="auto"/>
                      <w:lang w:val="en-US" w:eastAsia="zh-CN"/>
                    </w:rPr>
                  </w:pPr>
                  <w:r>
                    <w:rPr>
                      <w:rFonts w:hint="eastAsia"/>
                      <w:color w:val="auto"/>
                      <w:lang w:val="en-US" w:eastAsia="zh-CN"/>
                    </w:rPr>
                    <w:t>45</w:t>
                  </w:r>
                </w:p>
              </w:tc>
              <w:tc>
                <w:tcPr>
                  <w:tcW w:w="1409" w:type="pct"/>
                  <w:vAlign w:val="center"/>
                </w:tcPr>
                <w:p w14:paraId="5E09906B">
                  <w:pPr>
                    <w:pStyle w:val="22"/>
                    <w:bidi w:val="0"/>
                    <w:rPr>
                      <w:color w:val="auto"/>
                    </w:rPr>
                  </w:pPr>
                  <w:r>
                    <w:rPr>
                      <w:color w:val="auto"/>
                    </w:rPr>
                    <w:t>/</w:t>
                  </w:r>
                </w:p>
              </w:tc>
              <w:tc>
                <w:tcPr>
                  <w:tcW w:w="903" w:type="pct"/>
                  <w:vAlign w:val="center"/>
                </w:tcPr>
                <w:p w14:paraId="1D4B35D2">
                  <w:pPr>
                    <w:pStyle w:val="22"/>
                    <w:bidi w:val="0"/>
                    <w:rPr>
                      <w:color w:val="auto"/>
                    </w:rPr>
                  </w:pPr>
                  <w:r>
                    <w:rPr>
                      <w:color w:val="auto"/>
                    </w:rPr>
                    <w:t>50</w:t>
                  </w:r>
                </w:p>
              </w:tc>
            </w:tr>
            <w:tr w14:paraId="69F7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4" w:type="pct"/>
                  <w:vAlign w:val="center"/>
                </w:tcPr>
                <w:p w14:paraId="1C8FE602">
                  <w:pPr>
                    <w:pStyle w:val="22"/>
                    <w:bidi w:val="0"/>
                    <w:rPr>
                      <w:rFonts w:hint="eastAsia" w:eastAsia="宋体"/>
                      <w:color w:val="auto"/>
                      <w:lang w:eastAsia="zh-CN"/>
                    </w:rPr>
                  </w:pPr>
                  <w:r>
                    <w:rPr>
                      <w:rFonts w:hint="eastAsia"/>
                      <w:color w:val="auto"/>
                      <w:lang w:val="en-US" w:eastAsia="zh-CN"/>
                    </w:rPr>
                    <w:t>6</w:t>
                  </w:r>
                </w:p>
              </w:tc>
              <w:tc>
                <w:tcPr>
                  <w:tcW w:w="957" w:type="pct"/>
                  <w:vAlign w:val="center"/>
                </w:tcPr>
                <w:p w14:paraId="5BB90FE7">
                  <w:pPr>
                    <w:pStyle w:val="22"/>
                    <w:bidi w:val="0"/>
                    <w:rPr>
                      <w:color w:val="auto"/>
                    </w:rPr>
                  </w:pPr>
                  <w:r>
                    <w:rPr>
                      <w:color w:val="auto"/>
                    </w:rPr>
                    <w:t>TN</w:t>
                  </w:r>
                </w:p>
              </w:tc>
              <w:tc>
                <w:tcPr>
                  <w:tcW w:w="1225" w:type="pct"/>
                  <w:vAlign w:val="center"/>
                </w:tcPr>
                <w:p w14:paraId="50CCD7AB">
                  <w:pPr>
                    <w:pStyle w:val="22"/>
                    <w:bidi w:val="0"/>
                    <w:rPr>
                      <w:color w:val="auto"/>
                    </w:rPr>
                  </w:pPr>
                  <w:r>
                    <w:rPr>
                      <w:color w:val="auto"/>
                    </w:rPr>
                    <w:t>70</w:t>
                  </w:r>
                </w:p>
              </w:tc>
              <w:tc>
                <w:tcPr>
                  <w:tcW w:w="1409" w:type="pct"/>
                  <w:vAlign w:val="center"/>
                </w:tcPr>
                <w:p w14:paraId="76210E4C">
                  <w:pPr>
                    <w:pStyle w:val="22"/>
                    <w:bidi w:val="0"/>
                    <w:rPr>
                      <w:color w:val="auto"/>
                    </w:rPr>
                  </w:pPr>
                  <w:r>
                    <w:rPr>
                      <w:color w:val="auto"/>
                    </w:rPr>
                    <w:t>/</w:t>
                  </w:r>
                </w:p>
              </w:tc>
              <w:tc>
                <w:tcPr>
                  <w:tcW w:w="903" w:type="pct"/>
                  <w:vAlign w:val="center"/>
                </w:tcPr>
                <w:p w14:paraId="1E30CA87">
                  <w:pPr>
                    <w:pStyle w:val="22"/>
                    <w:bidi w:val="0"/>
                    <w:rPr>
                      <w:color w:val="auto"/>
                    </w:rPr>
                  </w:pPr>
                  <w:r>
                    <w:rPr>
                      <w:color w:val="auto"/>
                    </w:rPr>
                    <w:t>70</w:t>
                  </w:r>
                </w:p>
              </w:tc>
            </w:tr>
            <w:tr w14:paraId="18A1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4" w:type="pct"/>
                  <w:vAlign w:val="center"/>
                </w:tcPr>
                <w:p w14:paraId="366DDD54">
                  <w:pPr>
                    <w:pStyle w:val="22"/>
                    <w:bidi w:val="0"/>
                    <w:rPr>
                      <w:rFonts w:hint="eastAsia" w:eastAsia="宋体"/>
                      <w:color w:val="auto"/>
                      <w:lang w:eastAsia="zh-CN"/>
                    </w:rPr>
                  </w:pPr>
                  <w:r>
                    <w:rPr>
                      <w:rFonts w:hint="eastAsia"/>
                      <w:color w:val="auto"/>
                      <w:lang w:val="en-US" w:eastAsia="zh-CN"/>
                    </w:rPr>
                    <w:t>7</w:t>
                  </w:r>
                </w:p>
              </w:tc>
              <w:tc>
                <w:tcPr>
                  <w:tcW w:w="957" w:type="pct"/>
                  <w:vAlign w:val="center"/>
                </w:tcPr>
                <w:p w14:paraId="6793EBC4">
                  <w:pPr>
                    <w:pStyle w:val="22"/>
                    <w:bidi w:val="0"/>
                    <w:rPr>
                      <w:rFonts w:hint="eastAsia" w:eastAsia="宋体"/>
                      <w:color w:val="auto"/>
                      <w:lang w:eastAsia="zh-CN"/>
                    </w:rPr>
                  </w:pPr>
                  <w:r>
                    <w:rPr>
                      <w:color w:val="auto"/>
                    </w:rPr>
                    <w:t>T</w:t>
                  </w:r>
                  <w:r>
                    <w:rPr>
                      <w:rFonts w:hint="eastAsia"/>
                      <w:color w:val="auto"/>
                      <w:lang w:val="en-US" w:eastAsia="zh-CN"/>
                    </w:rPr>
                    <w:t>P</w:t>
                  </w:r>
                </w:p>
              </w:tc>
              <w:tc>
                <w:tcPr>
                  <w:tcW w:w="1225" w:type="pct"/>
                  <w:vAlign w:val="center"/>
                </w:tcPr>
                <w:p w14:paraId="608E2AA2">
                  <w:pPr>
                    <w:pStyle w:val="22"/>
                    <w:bidi w:val="0"/>
                    <w:rPr>
                      <w:rFonts w:hint="eastAsia" w:eastAsia="宋体"/>
                      <w:color w:val="auto"/>
                      <w:lang w:eastAsia="zh-CN"/>
                    </w:rPr>
                  </w:pPr>
                  <w:r>
                    <w:rPr>
                      <w:rFonts w:hint="eastAsia"/>
                      <w:color w:val="auto"/>
                      <w:lang w:val="en-US" w:eastAsia="zh-CN"/>
                    </w:rPr>
                    <w:t>8</w:t>
                  </w:r>
                </w:p>
              </w:tc>
              <w:tc>
                <w:tcPr>
                  <w:tcW w:w="1409" w:type="pct"/>
                  <w:vAlign w:val="center"/>
                </w:tcPr>
                <w:p w14:paraId="328863F7">
                  <w:pPr>
                    <w:pStyle w:val="22"/>
                    <w:bidi w:val="0"/>
                    <w:rPr>
                      <w:color w:val="auto"/>
                    </w:rPr>
                  </w:pPr>
                  <w:r>
                    <w:rPr>
                      <w:color w:val="auto"/>
                    </w:rPr>
                    <w:t>/</w:t>
                  </w:r>
                </w:p>
              </w:tc>
              <w:tc>
                <w:tcPr>
                  <w:tcW w:w="903" w:type="pct"/>
                  <w:vAlign w:val="center"/>
                </w:tcPr>
                <w:p w14:paraId="0ED20748">
                  <w:pPr>
                    <w:pStyle w:val="22"/>
                    <w:bidi w:val="0"/>
                    <w:rPr>
                      <w:rFonts w:hint="eastAsia" w:eastAsia="宋体"/>
                      <w:color w:val="auto"/>
                      <w:lang w:eastAsia="zh-CN"/>
                    </w:rPr>
                  </w:pPr>
                  <w:r>
                    <w:rPr>
                      <w:rFonts w:hint="eastAsia"/>
                      <w:color w:val="auto"/>
                      <w:lang w:val="en-US" w:eastAsia="zh-CN"/>
                    </w:rPr>
                    <w:t>8</w:t>
                  </w:r>
                </w:p>
              </w:tc>
            </w:tr>
          </w:tbl>
          <w:p w14:paraId="5C2F076D">
            <w:pPr>
              <w:bidi w:val="0"/>
              <w:rPr>
                <w:b/>
                <w:bCs/>
                <w:color w:val="auto"/>
              </w:rPr>
            </w:pPr>
            <w:r>
              <w:rPr>
                <w:b/>
                <w:bCs/>
                <w:color w:val="auto"/>
              </w:rPr>
              <w:t>3、噪声</w:t>
            </w:r>
            <w:r>
              <w:rPr>
                <w:rFonts w:hint="eastAsia"/>
                <w:b/>
                <w:bCs/>
                <w:color w:val="auto"/>
              </w:rPr>
              <w:t>排放标准</w:t>
            </w:r>
          </w:p>
          <w:p w14:paraId="364069B3">
            <w:pPr>
              <w:bidi w:val="0"/>
              <w:rPr>
                <w:color w:val="auto"/>
                <w:lang w:val="en-US" w:eastAsia="zh-CN"/>
              </w:rPr>
            </w:pPr>
            <w:r>
              <w:rPr>
                <w:rFonts w:hint="eastAsia"/>
                <w:color w:val="auto"/>
                <w:lang w:val="en-US" w:eastAsia="zh-CN"/>
              </w:rPr>
              <w:t>施工期执行《建筑施工噪声排放标准》（GB12523-2025）噪声限值。</w:t>
            </w:r>
            <w:r>
              <w:rPr>
                <w:color w:val="auto"/>
                <w:lang w:eastAsia="zh-CN"/>
              </w:rPr>
              <w:t>运营期厂界噪声排放执行《工业企业厂界环境噪声排放标准》（GB12348-2008）中</w:t>
            </w:r>
            <w:r>
              <w:rPr>
                <w:color w:val="auto"/>
                <w:lang w:val="en-US" w:eastAsia="zh-CN"/>
              </w:rPr>
              <w:t>3</w:t>
            </w:r>
            <w:r>
              <w:rPr>
                <w:color w:val="auto"/>
                <w:lang w:eastAsia="zh-CN"/>
              </w:rPr>
              <w:t>类标准。具体见下表。</w:t>
            </w:r>
          </w:p>
          <w:p w14:paraId="3BAB47D6">
            <w:pPr>
              <w:pStyle w:val="21"/>
              <w:bidi w:val="0"/>
              <w:rPr>
                <w:rFonts w:hint="eastAsia"/>
                <w:color w:val="auto"/>
                <w:lang w:eastAsia="zh-CN"/>
              </w:rPr>
            </w:pPr>
            <w:r>
              <w:rPr>
                <w:color w:val="auto"/>
              </w:rPr>
              <w:t>表</w:t>
            </w:r>
            <w:r>
              <w:rPr>
                <w:rFonts w:hint="eastAsia"/>
                <w:color w:val="auto"/>
              </w:rPr>
              <w:t>3-</w:t>
            </w:r>
            <w:r>
              <w:rPr>
                <w:rFonts w:hint="eastAsia"/>
                <w:color w:val="auto"/>
                <w:lang w:val="en-US" w:eastAsia="zh-CN"/>
              </w:rPr>
              <w:t xml:space="preserve">11  </w:t>
            </w:r>
            <w:r>
              <w:rPr>
                <w:color w:val="auto"/>
              </w:rPr>
              <w:t>噪声排放标准</w:t>
            </w:r>
            <w:r>
              <w:rPr>
                <w:rFonts w:hint="eastAsia"/>
                <w:color w:val="auto"/>
                <w:lang w:eastAsia="zh-CN"/>
              </w:rPr>
              <w:t>（</w:t>
            </w:r>
            <w:r>
              <w:rPr>
                <w:color w:val="auto"/>
              </w:rPr>
              <w:t>单位：dB(A)</w:t>
            </w:r>
            <w:r>
              <w:rPr>
                <w:rFonts w:hint="eastAsia"/>
                <w:color w:val="auto"/>
                <w:lang w:eastAsia="zh-CN"/>
              </w:rPr>
              <w:t>）</w:t>
            </w:r>
          </w:p>
          <w:tbl>
            <w:tblPr>
              <w:tblStyle w:val="12"/>
              <w:tblW w:w="8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6"/>
              <w:gridCol w:w="2335"/>
              <w:gridCol w:w="2311"/>
            </w:tblGrid>
            <w:tr w14:paraId="5E641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476" w:type="dxa"/>
                  <w:noWrap w:val="0"/>
                  <w:vAlign w:val="center"/>
                </w:tcPr>
                <w:p w14:paraId="2FCEE2D9">
                  <w:pPr>
                    <w:pStyle w:val="22"/>
                    <w:bidi w:val="0"/>
                    <w:rPr>
                      <w:b/>
                      <w:bCs/>
                      <w:color w:val="auto"/>
                      <w:lang w:val="en-US" w:eastAsia="zh-CN"/>
                    </w:rPr>
                  </w:pPr>
                  <w:r>
                    <w:rPr>
                      <w:b/>
                      <w:bCs/>
                      <w:color w:val="auto"/>
                      <w:lang w:val="en-US" w:eastAsia="zh-CN"/>
                    </w:rPr>
                    <w:t>类别</w:t>
                  </w:r>
                </w:p>
              </w:tc>
              <w:tc>
                <w:tcPr>
                  <w:tcW w:w="2335" w:type="dxa"/>
                  <w:noWrap w:val="0"/>
                  <w:vAlign w:val="center"/>
                </w:tcPr>
                <w:p w14:paraId="268F274B">
                  <w:pPr>
                    <w:pStyle w:val="22"/>
                    <w:bidi w:val="0"/>
                    <w:rPr>
                      <w:b/>
                      <w:bCs/>
                      <w:color w:val="auto"/>
                      <w:lang w:val="en-US" w:eastAsia="zh-CN"/>
                    </w:rPr>
                  </w:pPr>
                  <w:r>
                    <w:rPr>
                      <w:b/>
                      <w:bCs/>
                      <w:color w:val="auto"/>
                      <w:lang w:val="en-US" w:eastAsia="zh-CN"/>
                    </w:rPr>
                    <w:t>昼间</w:t>
                  </w:r>
                </w:p>
              </w:tc>
              <w:tc>
                <w:tcPr>
                  <w:tcW w:w="2311" w:type="dxa"/>
                  <w:noWrap w:val="0"/>
                  <w:vAlign w:val="center"/>
                </w:tcPr>
                <w:p w14:paraId="3F415483">
                  <w:pPr>
                    <w:pStyle w:val="22"/>
                    <w:bidi w:val="0"/>
                    <w:rPr>
                      <w:b/>
                      <w:bCs/>
                      <w:color w:val="auto"/>
                      <w:lang w:val="en-US" w:eastAsia="zh-CN"/>
                    </w:rPr>
                  </w:pPr>
                  <w:r>
                    <w:rPr>
                      <w:b/>
                      <w:bCs/>
                      <w:color w:val="auto"/>
                      <w:lang w:val="en-US" w:eastAsia="zh-CN"/>
                    </w:rPr>
                    <w:t>夜间</w:t>
                  </w:r>
                </w:p>
              </w:tc>
            </w:tr>
            <w:tr w14:paraId="1236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476" w:type="dxa"/>
                  <w:noWrap w:val="0"/>
                  <w:vAlign w:val="center"/>
                </w:tcPr>
                <w:p w14:paraId="1D77B618">
                  <w:pPr>
                    <w:pStyle w:val="22"/>
                    <w:bidi w:val="0"/>
                    <w:rPr>
                      <w:color w:val="auto"/>
                      <w:lang w:val="en-US" w:eastAsia="zh-CN"/>
                    </w:rPr>
                  </w:pPr>
                  <w:r>
                    <w:rPr>
                      <w:rFonts w:hint="eastAsia"/>
                      <w:color w:val="auto"/>
                      <w:lang w:val="en-US" w:eastAsia="zh-CN"/>
                    </w:rPr>
                    <w:t>《建筑施工噪声排放标准》(GB12523-2025)</w:t>
                  </w:r>
                </w:p>
              </w:tc>
              <w:tc>
                <w:tcPr>
                  <w:tcW w:w="2335" w:type="dxa"/>
                  <w:noWrap w:val="0"/>
                  <w:vAlign w:val="center"/>
                </w:tcPr>
                <w:p w14:paraId="11344D94">
                  <w:pPr>
                    <w:pStyle w:val="22"/>
                    <w:bidi w:val="0"/>
                    <w:rPr>
                      <w:rFonts w:hint="default"/>
                      <w:color w:val="auto"/>
                      <w:lang w:val="en-US" w:eastAsia="zh-CN"/>
                    </w:rPr>
                  </w:pPr>
                  <w:r>
                    <w:rPr>
                      <w:rFonts w:hint="eastAsia"/>
                      <w:color w:val="auto"/>
                      <w:lang w:val="en-US" w:eastAsia="zh-CN"/>
                    </w:rPr>
                    <w:t>70</w:t>
                  </w:r>
                </w:p>
              </w:tc>
              <w:tc>
                <w:tcPr>
                  <w:tcW w:w="2311" w:type="dxa"/>
                  <w:noWrap w:val="0"/>
                  <w:vAlign w:val="center"/>
                </w:tcPr>
                <w:p w14:paraId="2FF2A2C1">
                  <w:pPr>
                    <w:pStyle w:val="22"/>
                    <w:bidi w:val="0"/>
                    <w:rPr>
                      <w:rFonts w:hint="default"/>
                      <w:color w:val="auto"/>
                      <w:lang w:val="en-US" w:eastAsia="zh-CN"/>
                    </w:rPr>
                  </w:pPr>
                  <w:r>
                    <w:rPr>
                      <w:rFonts w:hint="eastAsia"/>
                      <w:color w:val="auto"/>
                      <w:lang w:val="en-US" w:eastAsia="zh-CN"/>
                    </w:rPr>
                    <w:t>55</w:t>
                  </w:r>
                </w:p>
              </w:tc>
            </w:tr>
            <w:tr w14:paraId="29398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476" w:type="dxa"/>
                  <w:noWrap w:val="0"/>
                  <w:vAlign w:val="center"/>
                </w:tcPr>
                <w:p w14:paraId="79498725">
                  <w:pPr>
                    <w:pStyle w:val="22"/>
                    <w:bidi w:val="0"/>
                    <w:rPr>
                      <w:color w:val="auto"/>
                      <w:lang w:val="en-US" w:eastAsia="zh-CN"/>
                    </w:rPr>
                  </w:pPr>
                  <w:r>
                    <w:rPr>
                      <w:color w:val="auto"/>
                      <w:lang w:val="en-US" w:eastAsia="zh-CN"/>
                    </w:rPr>
                    <w:t>《工业企业厂界环境噪声排放标准》（GB12348-2008）中3类标准</w:t>
                  </w:r>
                </w:p>
              </w:tc>
              <w:tc>
                <w:tcPr>
                  <w:tcW w:w="2335" w:type="dxa"/>
                  <w:noWrap w:val="0"/>
                  <w:vAlign w:val="center"/>
                </w:tcPr>
                <w:p w14:paraId="7B89218F">
                  <w:pPr>
                    <w:pStyle w:val="22"/>
                    <w:bidi w:val="0"/>
                    <w:rPr>
                      <w:color w:val="auto"/>
                      <w:lang w:val="en-US" w:eastAsia="zh-CN"/>
                    </w:rPr>
                  </w:pPr>
                  <w:r>
                    <w:rPr>
                      <w:color w:val="auto"/>
                      <w:lang w:val="en-US" w:eastAsia="zh-CN"/>
                    </w:rPr>
                    <w:t>65</w:t>
                  </w:r>
                </w:p>
              </w:tc>
              <w:tc>
                <w:tcPr>
                  <w:tcW w:w="2311" w:type="dxa"/>
                  <w:noWrap w:val="0"/>
                  <w:vAlign w:val="center"/>
                </w:tcPr>
                <w:p w14:paraId="3F983BEB">
                  <w:pPr>
                    <w:pStyle w:val="22"/>
                    <w:bidi w:val="0"/>
                    <w:rPr>
                      <w:color w:val="auto"/>
                      <w:lang w:val="en-US" w:eastAsia="zh-CN"/>
                    </w:rPr>
                  </w:pPr>
                  <w:r>
                    <w:rPr>
                      <w:color w:val="auto"/>
                      <w:lang w:val="en-US" w:eastAsia="zh-CN"/>
                    </w:rPr>
                    <w:t>55</w:t>
                  </w:r>
                </w:p>
              </w:tc>
            </w:tr>
          </w:tbl>
          <w:p w14:paraId="38D9BBF2">
            <w:pPr>
              <w:bidi w:val="0"/>
              <w:rPr>
                <w:b/>
                <w:bCs/>
                <w:color w:val="auto"/>
              </w:rPr>
            </w:pPr>
            <w:r>
              <w:rPr>
                <w:b/>
                <w:bCs/>
                <w:color w:val="auto"/>
              </w:rPr>
              <w:t>4、固废</w:t>
            </w:r>
          </w:p>
          <w:p w14:paraId="53A7C497">
            <w:pPr>
              <w:bidi w:val="0"/>
              <w:rPr>
                <w:rFonts w:hint="eastAsia"/>
                <w:color w:val="0000FF"/>
              </w:rPr>
            </w:pPr>
            <w:r>
              <w:rPr>
                <w:color w:val="auto"/>
              </w:rPr>
              <w:t>项目产生的一般工业固体废物的贮存、处置</w:t>
            </w:r>
            <w:r>
              <w:rPr>
                <w:rFonts w:hint="eastAsia"/>
                <w:color w:val="auto"/>
              </w:rPr>
              <w:t>参照</w:t>
            </w:r>
            <w:r>
              <w:rPr>
                <w:color w:val="auto"/>
              </w:rPr>
              <w:t>执行《</w:t>
            </w:r>
            <w:r>
              <w:rPr>
                <w:rFonts w:hint="eastAsia"/>
                <w:color w:val="auto"/>
              </w:rPr>
              <w:t>一般工业固体废物贮存和填埋污染控制标准</w:t>
            </w:r>
            <w:r>
              <w:rPr>
                <w:color w:val="auto"/>
              </w:rPr>
              <w:t>》（GB18599-2020）</w:t>
            </w:r>
            <w:r>
              <w:rPr>
                <w:rFonts w:hint="eastAsia"/>
                <w:color w:val="auto"/>
              </w:rPr>
              <w:t>中规定</w:t>
            </w:r>
            <w:r>
              <w:rPr>
                <w:color w:val="auto"/>
              </w:rPr>
              <w:t>。危险废物贮存执行《危险废物贮存污染控制标准》（GB18597-20</w:t>
            </w:r>
            <w:r>
              <w:rPr>
                <w:rFonts w:hint="eastAsia"/>
                <w:color w:val="auto"/>
              </w:rPr>
              <w:t>23</w:t>
            </w:r>
            <w:r>
              <w:rPr>
                <w:color w:val="auto"/>
              </w:rPr>
              <w:t>）有关规定</w:t>
            </w:r>
            <w:r>
              <w:rPr>
                <w:rFonts w:hint="eastAsia"/>
                <w:color w:val="0000FF"/>
              </w:rPr>
              <w:t>。</w:t>
            </w:r>
          </w:p>
        </w:tc>
      </w:tr>
      <w:tr w14:paraId="5DBAD0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330" w:hRule="atLeast"/>
          <w:jc w:val="center"/>
        </w:trPr>
        <w:tc>
          <w:tcPr>
            <w:tcW w:w="680" w:type="dxa"/>
            <w:noWrap w:val="0"/>
            <w:vAlign w:val="center"/>
          </w:tcPr>
          <w:p w14:paraId="5217A7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FF"/>
                <w:lang w:val="en-US" w:eastAsia="zh-CN"/>
              </w:rPr>
            </w:pPr>
            <w:r>
              <w:rPr>
                <w:rFonts w:hint="eastAsia"/>
                <w:color w:val="auto"/>
                <w:lang w:val="en-US" w:eastAsia="zh-CN"/>
              </w:rPr>
              <w:t>总量控制指标</w:t>
            </w:r>
          </w:p>
        </w:tc>
        <w:tc>
          <w:tcPr>
            <w:tcW w:w="8404" w:type="dxa"/>
            <w:noWrap w:val="0"/>
            <w:vAlign w:val="center"/>
          </w:tcPr>
          <w:p w14:paraId="1CC4AFEA">
            <w:pPr>
              <w:bidi w:val="0"/>
              <w:rPr>
                <w:rFonts w:hint="default"/>
                <w:color w:val="auto"/>
              </w:rPr>
            </w:pPr>
            <w:r>
              <w:rPr>
                <w:rFonts w:hint="default"/>
                <w:color w:val="auto"/>
              </w:rPr>
              <w:t>根据</w:t>
            </w:r>
            <w:r>
              <w:rPr>
                <w:rFonts w:hint="default"/>
                <w:color w:val="auto"/>
                <w:lang w:eastAsia="zh-CN"/>
              </w:rPr>
              <w:t>“</w:t>
            </w:r>
            <w:r>
              <w:rPr>
                <w:rFonts w:hint="default"/>
                <w:color w:val="auto"/>
              </w:rPr>
              <w:t>安徽省环保厅关于进一步加强建设项目新增大气主要污染物总量指标管理工作的通知</w:t>
            </w:r>
            <w:r>
              <w:rPr>
                <w:rFonts w:hint="default"/>
                <w:color w:val="auto"/>
                <w:lang w:eastAsia="zh-CN"/>
              </w:rPr>
              <w:t>”</w:t>
            </w:r>
            <w:r>
              <w:rPr>
                <w:rFonts w:hint="default"/>
                <w:color w:val="auto"/>
              </w:rPr>
              <w:t>中有关规定，大气主要污染物总量指标从两项增加为四项，在</w:t>
            </w:r>
            <w:r>
              <w:rPr>
                <w:rFonts w:hint="eastAsia"/>
                <w:color w:val="auto"/>
              </w:rPr>
              <w:t>SO</w:t>
            </w:r>
            <w:r>
              <w:rPr>
                <w:rFonts w:hint="eastAsia"/>
                <w:color w:val="auto"/>
                <w:vertAlign w:val="subscript"/>
              </w:rPr>
              <w:t>2</w:t>
            </w:r>
            <w:r>
              <w:rPr>
                <w:rFonts w:hint="default"/>
                <w:color w:val="auto"/>
              </w:rPr>
              <w:t>、NOx的基础上增加烟</w:t>
            </w:r>
            <w:r>
              <w:rPr>
                <w:rFonts w:hint="default"/>
                <w:color w:val="auto"/>
                <w:lang w:eastAsia="zh-CN"/>
              </w:rPr>
              <w:t>（</w:t>
            </w:r>
            <w:r>
              <w:rPr>
                <w:rFonts w:hint="default"/>
                <w:color w:val="auto"/>
              </w:rPr>
              <w:t>粉</w:t>
            </w:r>
            <w:r>
              <w:rPr>
                <w:rFonts w:hint="default"/>
                <w:color w:val="auto"/>
                <w:lang w:eastAsia="zh-CN"/>
              </w:rPr>
              <w:t>）</w:t>
            </w:r>
            <w:r>
              <w:rPr>
                <w:rFonts w:hint="default"/>
                <w:color w:val="auto"/>
              </w:rPr>
              <w:t>尘、挥发性有机物</w:t>
            </w:r>
            <w:r>
              <w:rPr>
                <w:rFonts w:hint="default"/>
                <w:color w:val="auto"/>
                <w:lang w:eastAsia="zh-CN"/>
              </w:rPr>
              <w:t>（</w:t>
            </w:r>
            <w:r>
              <w:rPr>
                <w:rFonts w:hint="default"/>
                <w:color w:val="auto"/>
              </w:rPr>
              <w:t>VOCs</w:t>
            </w:r>
            <w:r>
              <w:rPr>
                <w:rFonts w:hint="default"/>
                <w:color w:val="auto"/>
                <w:lang w:eastAsia="zh-CN"/>
              </w:rPr>
              <w:t>）</w:t>
            </w:r>
            <w:r>
              <w:rPr>
                <w:rFonts w:hint="default"/>
                <w:color w:val="auto"/>
              </w:rPr>
              <w:t>两项指标。</w:t>
            </w:r>
          </w:p>
          <w:p w14:paraId="05BEFC2C">
            <w:pPr>
              <w:bidi w:val="0"/>
              <w:rPr>
                <w:rFonts w:hint="default"/>
                <w:color w:val="auto"/>
              </w:rPr>
            </w:pPr>
            <w:r>
              <w:rPr>
                <w:rFonts w:hint="default"/>
                <w:color w:val="auto"/>
              </w:rPr>
              <w:t>本次环评推荐总量控制指标如下：</w:t>
            </w:r>
          </w:p>
          <w:p w14:paraId="0565C7E7">
            <w:pPr>
              <w:bidi w:val="0"/>
              <w:rPr>
                <w:rFonts w:hint="default"/>
                <w:color w:val="0000FF"/>
                <w:lang w:val="en-US" w:eastAsia="zh-CN"/>
              </w:rPr>
            </w:pPr>
            <w:r>
              <w:rPr>
                <w:rFonts w:hint="default"/>
                <w:color w:val="auto"/>
                <w:lang w:val="en-US" w:eastAsia="zh-CN"/>
              </w:rPr>
              <w:t>废水：根据本项目工程分析计算，本项目废水主要为生活污水</w:t>
            </w:r>
            <w:r>
              <w:rPr>
                <w:rFonts w:hint="eastAsia"/>
                <w:color w:val="auto"/>
                <w:lang w:val="en-US" w:eastAsia="zh-CN"/>
              </w:rPr>
              <w:t>，</w:t>
            </w:r>
            <w:r>
              <w:rPr>
                <w:rFonts w:hint="default"/>
                <w:color w:val="auto"/>
                <w:lang w:val="en-US" w:eastAsia="zh-CN"/>
              </w:rPr>
              <w:t>生活污水经化粪池处理后排入开发区污水管网，废水经</w:t>
            </w:r>
            <w:r>
              <w:rPr>
                <w:rFonts w:hint="eastAsia"/>
                <w:color w:val="auto"/>
                <w:lang w:val="en-US" w:eastAsia="zh-CN"/>
              </w:rPr>
              <w:t>安徽（淮南）现代煤化工产业园</w:t>
            </w:r>
            <w:r>
              <w:rPr>
                <w:rFonts w:hint="default"/>
                <w:color w:val="auto"/>
                <w:lang w:val="en-US" w:eastAsia="zh-CN"/>
              </w:rPr>
              <w:t>处理达标后</w:t>
            </w:r>
            <w:r>
              <w:rPr>
                <w:rFonts w:hint="eastAsia"/>
                <w:color w:val="auto"/>
                <w:lang w:val="en-US" w:eastAsia="zh-CN"/>
              </w:rPr>
              <w:t>回用</w:t>
            </w:r>
            <w:r>
              <w:rPr>
                <w:rFonts w:hint="default"/>
                <w:color w:val="auto"/>
                <w:lang w:val="en-US" w:eastAsia="zh-CN"/>
              </w:rPr>
              <w:t>，因此项目废水污染物总量纳入</w:t>
            </w:r>
            <w:r>
              <w:rPr>
                <w:rFonts w:hint="eastAsia"/>
                <w:color w:val="auto"/>
                <w:lang w:val="en-US" w:eastAsia="zh-CN"/>
              </w:rPr>
              <w:t>安徽（淮南）现代煤化工产业园</w:t>
            </w:r>
            <w:r>
              <w:rPr>
                <w:rFonts w:hint="default"/>
                <w:color w:val="auto"/>
                <w:lang w:val="en-US" w:eastAsia="zh-CN"/>
              </w:rPr>
              <w:t>总量控制指标之内。</w:t>
            </w:r>
          </w:p>
          <w:p w14:paraId="20780A2E">
            <w:pPr>
              <w:bidi w:val="0"/>
              <w:rPr>
                <w:rFonts w:hint="eastAsia"/>
                <w:color w:val="auto"/>
              </w:rPr>
            </w:pPr>
            <w:r>
              <w:rPr>
                <w:rFonts w:hint="eastAsia"/>
                <w:color w:val="auto"/>
              </w:rPr>
              <w:t>废气：生产工序产生的大气污染物主要为粉尘和非甲烷总烃，本项目新增</w:t>
            </w:r>
            <w:r>
              <w:rPr>
                <w:rFonts w:hint="eastAsia"/>
                <w:color w:val="auto"/>
                <w:lang w:val="en-US" w:eastAsia="zh-CN"/>
              </w:rPr>
              <w:t>有组织</w:t>
            </w:r>
            <w:r>
              <w:rPr>
                <w:rFonts w:hint="eastAsia"/>
                <w:color w:val="auto"/>
              </w:rPr>
              <w:t>VOC</w:t>
            </w:r>
            <w:r>
              <w:rPr>
                <w:rFonts w:hint="eastAsia"/>
                <w:color w:val="auto"/>
                <w:lang w:val="en-US" w:eastAsia="zh-CN"/>
              </w:rPr>
              <w:t>s</w:t>
            </w:r>
            <w:r>
              <w:rPr>
                <w:rFonts w:hint="eastAsia"/>
                <w:color w:val="auto"/>
              </w:rPr>
              <w:t>排放量为0.</w:t>
            </w:r>
            <w:r>
              <w:rPr>
                <w:rFonts w:hint="eastAsia"/>
                <w:color w:val="auto"/>
                <w:lang w:val="en-US" w:eastAsia="zh-CN"/>
              </w:rPr>
              <w:t>27</w:t>
            </w:r>
            <w:r>
              <w:rPr>
                <w:rFonts w:hint="eastAsia"/>
                <w:color w:val="auto"/>
              </w:rPr>
              <w:t>t/a、烟粉尘0.</w:t>
            </w:r>
            <w:r>
              <w:rPr>
                <w:rFonts w:hint="eastAsia"/>
                <w:color w:val="auto"/>
                <w:lang w:val="en-US" w:eastAsia="zh-CN"/>
              </w:rPr>
              <w:t>108</w:t>
            </w:r>
            <w:r>
              <w:rPr>
                <w:rFonts w:hint="eastAsia"/>
                <w:color w:val="auto"/>
              </w:rPr>
              <w:t>t/a。</w:t>
            </w:r>
          </w:p>
          <w:p w14:paraId="40B906A4">
            <w:pPr>
              <w:bidi w:val="0"/>
              <w:rPr>
                <w:rFonts w:hint="eastAsia"/>
                <w:color w:val="auto"/>
              </w:rPr>
            </w:pPr>
            <w:r>
              <w:rPr>
                <w:rFonts w:hint="eastAsia"/>
                <w:color w:val="auto"/>
              </w:rPr>
              <w:t>本项目需申请总量控制指标为：VOCS：0.</w:t>
            </w:r>
            <w:r>
              <w:rPr>
                <w:rFonts w:hint="eastAsia"/>
                <w:color w:val="auto"/>
                <w:lang w:val="en-US" w:eastAsia="zh-CN"/>
              </w:rPr>
              <w:t>27</w:t>
            </w:r>
            <w:r>
              <w:rPr>
                <w:rFonts w:hint="eastAsia"/>
                <w:color w:val="auto"/>
              </w:rPr>
              <w:t>t/a、烟粉尘0.</w:t>
            </w:r>
            <w:r>
              <w:rPr>
                <w:rFonts w:hint="eastAsia"/>
                <w:color w:val="auto"/>
                <w:lang w:val="en-US" w:eastAsia="zh-CN"/>
              </w:rPr>
              <w:t>108</w:t>
            </w:r>
            <w:r>
              <w:rPr>
                <w:rFonts w:hint="eastAsia"/>
                <w:color w:val="auto"/>
              </w:rPr>
              <w:t>t/a。</w:t>
            </w:r>
          </w:p>
          <w:p w14:paraId="7A4B2547">
            <w:pPr>
              <w:pStyle w:val="2"/>
              <w:rPr>
                <w:rFonts w:hint="eastAsia"/>
                <w:color w:val="auto"/>
              </w:rPr>
            </w:pPr>
          </w:p>
          <w:p w14:paraId="28C2A569">
            <w:pPr>
              <w:pStyle w:val="2"/>
              <w:rPr>
                <w:rFonts w:hint="eastAsia"/>
                <w:color w:val="auto"/>
              </w:rPr>
            </w:pPr>
          </w:p>
          <w:p w14:paraId="50D8A333">
            <w:pPr>
              <w:pStyle w:val="2"/>
              <w:rPr>
                <w:rFonts w:hint="eastAsia"/>
                <w:color w:val="auto"/>
              </w:rPr>
            </w:pPr>
          </w:p>
          <w:p w14:paraId="512B1ED7">
            <w:pPr>
              <w:pStyle w:val="2"/>
              <w:rPr>
                <w:rFonts w:hint="eastAsia"/>
                <w:color w:val="auto"/>
              </w:rPr>
            </w:pPr>
          </w:p>
        </w:tc>
      </w:tr>
    </w:tbl>
    <w:p w14:paraId="56A6A924">
      <w:pPr>
        <w:bidi w:val="0"/>
        <w:rPr>
          <w:rFonts w:ascii="Times New Roman" w:hAnsi="Times New Roman" w:eastAsia="黑体"/>
          <w:snapToGrid w:val="0"/>
          <w:color w:val="0000FF"/>
          <w:sz w:val="36"/>
          <w:szCs w:val="36"/>
        </w:rPr>
        <w:sectPr>
          <w:pgSz w:w="11907" w:h="16840"/>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4B953642">
      <w:pPr>
        <w:pStyle w:val="3"/>
        <w:bidi w:val="0"/>
        <w:rPr>
          <w:color w:val="auto"/>
        </w:rPr>
      </w:pPr>
      <w:r>
        <w:rPr>
          <w:color w:val="auto"/>
        </w:rPr>
        <w:t>四、主要环境影响和保护措施</w:t>
      </w:r>
    </w:p>
    <w:tbl>
      <w:tblPr>
        <w:tblStyle w:val="12"/>
        <w:tblW w:w="90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78"/>
        <w:gridCol w:w="8403"/>
      </w:tblGrid>
      <w:tr w14:paraId="78B224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678" w:type="dxa"/>
            <w:noWrap w:val="0"/>
            <w:tcMar>
              <w:left w:w="28" w:type="dxa"/>
              <w:right w:w="28" w:type="dxa"/>
            </w:tcMar>
            <w:vAlign w:val="center"/>
          </w:tcPr>
          <w:p w14:paraId="7E4835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rPr>
            </w:pPr>
            <w:r>
              <w:rPr>
                <w:rFonts w:hint="eastAsia"/>
                <w:color w:val="auto"/>
              </w:rPr>
              <w:t>施工期环境保护措施</w:t>
            </w:r>
          </w:p>
        </w:tc>
        <w:tc>
          <w:tcPr>
            <w:tcW w:w="8403" w:type="dxa"/>
            <w:noWrap w:val="0"/>
            <w:vAlign w:val="center"/>
          </w:tcPr>
          <w:p w14:paraId="315897DB">
            <w:pPr>
              <w:bidi w:val="0"/>
              <w:rPr>
                <w:rFonts w:hint="eastAsia"/>
                <w:color w:val="auto"/>
                <w:lang w:val="en-US"/>
              </w:rPr>
            </w:pPr>
            <w:r>
              <w:rPr>
                <w:rFonts w:hint="default"/>
                <w:color w:val="auto"/>
                <w:lang w:val="en-US" w:eastAsia="zh-CN"/>
              </w:rPr>
              <w:t>本项目为租赁现有厂房进行生产，施工期仅进行设备安装。本项目施工期的噪声对周围声环境的不利影响随着工程竣工，噪声影响将降低或消失。</w:t>
            </w:r>
          </w:p>
        </w:tc>
      </w:tr>
      <w:tr w14:paraId="4891D6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678" w:type="dxa"/>
            <w:noWrap w:val="0"/>
            <w:tcMar>
              <w:left w:w="28" w:type="dxa"/>
              <w:right w:w="28" w:type="dxa"/>
            </w:tcMar>
            <w:vAlign w:val="center"/>
          </w:tcPr>
          <w:p w14:paraId="297801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rPr>
            </w:pPr>
            <w:r>
              <w:rPr>
                <w:rFonts w:hint="eastAsia"/>
                <w:color w:val="auto"/>
              </w:rPr>
              <w:t>运营</w:t>
            </w:r>
          </w:p>
          <w:p w14:paraId="1E2CF1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rPr>
            </w:pPr>
            <w:r>
              <w:rPr>
                <w:rFonts w:hint="eastAsia"/>
                <w:color w:val="auto"/>
              </w:rPr>
              <w:t>期环</w:t>
            </w:r>
          </w:p>
          <w:p w14:paraId="0F35E7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rPr>
            </w:pPr>
            <w:r>
              <w:rPr>
                <w:rFonts w:hint="eastAsia"/>
                <w:color w:val="auto"/>
              </w:rPr>
              <w:t>境影</w:t>
            </w:r>
          </w:p>
          <w:p w14:paraId="5E134F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rPr>
            </w:pPr>
            <w:r>
              <w:rPr>
                <w:rFonts w:hint="eastAsia"/>
                <w:color w:val="auto"/>
              </w:rPr>
              <w:t>响和</w:t>
            </w:r>
          </w:p>
          <w:p w14:paraId="2EBDAF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rPr>
            </w:pPr>
            <w:r>
              <w:rPr>
                <w:rFonts w:hint="eastAsia"/>
                <w:color w:val="auto"/>
              </w:rPr>
              <w:t>保护</w:t>
            </w:r>
          </w:p>
          <w:p w14:paraId="7DB78E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FF"/>
              </w:rPr>
            </w:pPr>
            <w:r>
              <w:rPr>
                <w:rFonts w:hint="eastAsia"/>
                <w:color w:val="auto"/>
              </w:rPr>
              <w:t>措施</w:t>
            </w:r>
          </w:p>
        </w:tc>
        <w:tc>
          <w:tcPr>
            <w:tcW w:w="8403" w:type="dxa"/>
            <w:noWrap w:val="0"/>
            <w:vAlign w:val="center"/>
          </w:tcPr>
          <w:p w14:paraId="3C4CCFD3">
            <w:pPr>
              <w:bidi w:val="0"/>
              <w:rPr>
                <w:b/>
                <w:bCs/>
                <w:color w:val="auto"/>
              </w:rPr>
            </w:pPr>
            <w:r>
              <w:rPr>
                <w:rFonts w:hint="eastAsia"/>
                <w:b/>
                <w:bCs/>
                <w:color w:val="auto"/>
              </w:rPr>
              <w:t>一、大气环境影响和保护措施</w:t>
            </w:r>
          </w:p>
          <w:p w14:paraId="30C1340B">
            <w:pPr>
              <w:bidi w:val="0"/>
              <w:rPr>
                <w:b/>
                <w:bCs/>
                <w:color w:val="auto"/>
              </w:rPr>
            </w:pPr>
            <w:r>
              <w:rPr>
                <w:rFonts w:hint="eastAsia"/>
                <w:b/>
                <w:bCs/>
                <w:color w:val="auto"/>
              </w:rPr>
              <w:t>1、废气污染物排放情况</w:t>
            </w:r>
          </w:p>
          <w:p w14:paraId="5A6EEDE5">
            <w:pPr>
              <w:bidi w:val="0"/>
              <w:rPr>
                <w:color w:val="auto"/>
              </w:rPr>
            </w:pPr>
            <w:r>
              <w:rPr>
                <w:rFonts w:hint="eastAsia"/>
                <w:color w:val="auto"/>
              </w:rPr>
              <w:t>本项目废气产排情况见表4-</w:t>
            </w:r>
            <w:r>
              <w:rPr>
                <w:color w:val="auto"/>
              </w:rPr>
              <w:t>1</w:t>
            </w:r>
            <w:r>
              <w:rPr>
                <w:rFonts w:hint="eastAsia"/>
                <w:color w:val="auto"/>
              </w:rPr>
              <w:t>。</w:t>
            </w:r>
          </w:p>
          <w:p w14:paraId="760AC954">
            <w:pPr>
              <w:bidi w:val="0"/>
              <w:rPr>
                <w:color w:val="auto"/>
              </w:rPr>
            </w:pPr>
            <w:r>
              <w:rPr>
                <w:rFonts w:hint="eastAsia"/>
                <w:color w:val="auto"/>
              </w:rPr>
              <w:t>本项目大气污染物无组织排放信息汇总见表4-</w:t>
            </w:r>
            <w:r>
              <w:rPr>
                <w:rFonts w:hint="eastAsia"/>
                <w:color w:val="auto"/>
                <w:lang w:val="en-US" w:eastAsia="zh-CN"/>
              </w:rPr>
              <w:t>2</w:t>
            </w:r>
            <w:r>
              <w:rPr>
                <w:rFonts w:hint="eastAsia"/>
                <w:color w:val="auto"/>
              </w:rPr>
              <w:t>。</w:t>
            </w:r>
          </w:p>
          <w:p w14:paraId="7F1D90CC">
            <w:pPr>
              <w:bidi w:val="0"/>
              <w:rPr>
                <w:color w:val="auto"/>
              </w:rPr>
            </w:pPr>
            <w:r>
              <w:rPr>
                <w:rFonts w:hint="eastAsia"/>
                <w:color w:val="auto"/>
              </w:rPr>
              <w:t>本项目废气例行监测要求汇总见表4-</w:t>
            </w:r>
            <w:r>
              <w:rPr>
                <w:rFonts w:hint="eastAsia"/>
                <w:color w:val="auto"/>
                <w:lang w:val="en-US" w:eastAsia="zh-CN"/>
              </w:rPr>
              <w:t>3</w:t>
            </w:r>
            <w:r>
              <w:rPr>
                <w:rFonts w:hint="eastAsia"/>
                <w:color w:val="auto"/>
              </w:rPr>
              <w:t>。</w:t>
            </w:r>
          </w:p>
          <w:p w14:paraId="373F7F50">
            <w:pPr>
              <w:ind w:firstLine="480"/>
              <w:rPr>
                <w:color w:val="0000FF"/>
              </w:rPr>
            </w:pPr>
          </w:p>
          <w:p w14:paraId="1587834B">
            <w:pPr>
              <w:ind w:firstLine="480"/>
              <w:rPr>
                <w:rFonts w:hint="eastAsia"/>
                <w:color w:val="0000FF"/>
              </w:rPr>
            </w:pPr>
          </w:p>
          <w:p w14:paraId="1BFE9A29">
            <w:pPr>
              <w:ind w:firstLine="480"/>
              <w:rPr>
                <w:rFonts w:hint="eastAsia"/>
                <w:color w:val="0000FF"/>
              </w:rPr>
            </w:pPr>
          </w:p>
          <w:p w14:paraId="60AB7F14">
            <w:pPr>
              <w:ind w:firstLine="480"/>
              <w:rPr>
                <w:rFonts w:hint="eastAsia"/>
                <w:color w:val="0000FF"/>
              </w:rPr>
            </w:pPr>
          </w:p>
          <w:p w14:paraId="7DB2BCEE">
            <w:pPr>
              <w:ind w:firstLine="480"/>
              <w:rPr>
                <w:rFonts w:hint="eastAsia"/>
                <w:color w:val="0000FF"/>
              </w:rPr>
            </w:pPr>
          </w:p>
          <w:p w14:paraId="3AEA21FF">
            <w:pPr>
              <w:ind w:firstLine="480"/>
              <w:rPr>
                <w:rFonts w:hint="eastAsia"/>
                <w:color w:val="0000FF"/>
              </w:rPr>
            </w:pPr>
          </w:p>
          <w:p w14:paraId="14969DFE">
            <w:pPr>
              <w:ind w:firstLine="480"/>
              <w:rPr>
                <w:rFonts w:hint="eastAsia"/>
                <w:color w:val="0000FF"/>
              </w:rPr>
            </w:pPr>
          </w:p>
          <w:p w14:paraId="030DDFF6">
            <w:pPr>
              <w:ind w:firstLine="480"/>
              <w:rPr>
                <w:rFonts w:hint="eastAsia"/>
                <w:color w:val="0000FF"/>
              </w:rPr>
            </w:pPr>
          </w:p>
          <w:p w14:paraId="6D354C77">
            <w:pPr>
              <w:ind w:firstLine="480"/>
              <w:rPr>
                <w:rFonts w:hint="eastAsia"/>
                <w:color w:val="0000FF"/>
              </w:rPr>
            </w:pPr>
          </w:p>
          <w:p w14:paraId="134ADEEE">
            <w:pPr>
              <w:ind w:firstLine="480"/>
              <w:rPr>
                <w:rFonts w:hint="eastAsia"/>
                <w:color w:val="0000FF"/>
              </w:rPr>
            </w:pPr>
          </w:p>
          <w:p w14:paraId="4D1F10CE">
            <w:pPr>
              <w:ind w:firstLine="480"/>
              <w:rPr>
                <w:rFonts w:hint="eastAsia"/>
                <w:color w:val="0000FF"/>
              </w:rPr>
            </w:pPr>
          </w:p>
          <w:p w14:paraId="4599D63B">
            <w:pPr>
              <w:ind w:firstLine="480"/>
              <w:rPr>
                <w:rFonts w:hint="eastAsia"/>
                <w:color w:val="0000FF"/>
              </w:rPr>
            </w:pPr>
          </w:p>
          <w:p w14:paraId="71F7C104">
            <w:pPr>
              <w:ind w:firstLine="480"/>
              <w:rPr>
                <w:rFonts w:hint="eastAsia"/>
                <w:color w:val="0000FF"/>
              </w:rPr>
            </w:pPr>
          </w:p>
          <w:p w14:paraId="423F10A5">
            <w:pPr>
              <w:ind w:firstLine="480"/>
              <w:rPr>
                <w:rFonts w:hint="eastAsia"/>
                <w:color w:val="0000FF"/>
              </w:rPr>
            </w:pPr>
          </w:p>
          <w:p w14:paraId="65064B38">
            <w:pPr>
              <w:ind w:firstLine="480"/>
              <w:rPr>
                <w:rFonts w:hint="eastAsia"/>
                <w:color w:val="0000FF"/>
              </w:rPr>
            </w:pPr>
          </w:p>
          <w:p w14:paraId="73830FA0">
            <w:pPr>
              <w:ind w:firstLine="480"/>
              <w:rPr>
                <w:rFonts w:hint="eastAsia"/>
                <w:color w:val="0000FF"/>
              </w:rPr>
            </w:pPr>
          </w:p>
          <w:p w14:paraId="459B3A5C">
            <w:pPr>
              <w:ind w:firstLine="480"/>
              <w:rPr>
                <w:rFonts w:hint="eastAsia"/>
                <w:color w:val="0000FF"/>
              </w:rPr>
            </w:pPr>
          </w:p>
          <w:p w14:paraId="597E545D">
            <w:pPr>
              <w:ind w:firstLine="480"/>
              <w:rPr>
                <w:rFonts w:hint="eastAsia"/>
                <w:color w:val="0000FF"/>
              </w:rPr>
            </w:pPr>
          </w:p>
          <w:p w14:paraId="059B3FDE">
            <w:pPr>
              <w:ind w:firstLine="480"/>
              <w:rPr>
                <w:rFonts w:hint="eastAsia"/>
                <w:color w:val="0000FF"/>
              </w:rPr>
            </w:pPr>
          </w:p>
          <w:p w14:paraId="70EBBB5A">
            <w:pPr>
              <w:ind w:firstLine="480"/>
              <w:rPr>
                <w:rFonts w:hint="eastAsia"/>
                <w:color w:val="0000FF"/>
              </w:rPr>
            </w:pPr>
          </w:p>
        </w:tc>
      </w:tr>
    </w:tbl>
    <w:p w14:paraId="3D443FC3">
      <w:pPr>
        <w:ind w:firstLine="480"/>
        <w:rPr>
          <w:rFonts w:hint="eastAsia"/>
          <w:color w:val="0000FF"/>
        </w:rPr>
      </w:pPr>
    </w:p>
    <w:p w14:paraId="21CC22B6">
      <w:pPr>
        <w:rPr>
          <w:color w:val="0000FF"/>
        </w:rPr>
        <w:sectPr>
          <w:pgSz w:w="11907" w:h="16840"/>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63AF6C7C">
      <w:pPr>
        <w:pStyle w:val="21"/>
        <w:bidi w:val="0"/>
        <w:rPr>
          <w:rFonts w:hint="eastAsia"/>
          <w:color w:val="auto"/>
        </w:rPr>
      </w:pPr>
      <w:r>
        <w:rPr>
          <w:rFonts w:hint="eastAsia"/>
          <w:color w:val="auto"/>
        </w:rPr>
        <w:t>表4-</w:t>
      </w:r>
      <w:r>
        <w:rPr>
          <w:color w:val="auto"/>
        </w:rPr>
        <w:t>1</w:t>
      </w:r>
      <w:r>
        <w:rPr>
          <w:rFonts w:hint="eastAsia"/>
          <w:color w:val="auto"/>
        </w:rPr>
        <w:t xml:space="preserve"> </w:t>
      </w:r>
      <w:r>
        <w:rPr>
          <w:rFonts w:hint="eastAsia"/>
          <w:color w:val="auto"/>
          <w:lang w:val="en-US" w:eastAsia="zh-CN"/>
        </w:rPr>
        <w:t xml:space="preserve"> 本</w:t>
      </w:r>
      <w:r>
        <w:rPr>
          <w:rFonts w:hint="eastAsia"/>
          <w:color w:val="auto"/>
        </w:rPr>
        <w:t>项目废气产排污节点、污染物产排及污染治理设施信息表</w:t>
      </w:r>
    </w:p>
    <w:tbl>
      <w:tblPr>
        <w:tblStyle w:val="12"/>
        <w:tblW w:w="51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88"/>
        <w:gridCol w:w="738"/>
        <w:gridCol w:w="806"/>
        <w:gridCol w:w="760"/>
        <w:gridCol w:w="719"/>
        <w:gridCol w:w="797"/>
        <w:gridCol w:w="718"/>
        <w:gridCol w:w="1232"/>
        <w:gridCol w:w="760"/>
        <w:gridCol w:w="899"/>
        <w:gridCol w:w="699"/>
        <w:gridCol w:w="745"/>
        <w:gridCol w:w="745"/>
        <w:gridCol w:w="793"/>
        <w:gridCol w:w="774"/>
        <w:gridCol w:w="839"/>
        <w:gridCol w:w="806"/>
      </w:tblGrid>
      <w:tr w14:paraId="36C3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vMerge w:val="restart"/>
            <w:noWrap w:val="0"/>
            <w:vAlign w:val="center"/>
          </w:tcPr>
          <w:p w14:paraId="11AF006F">
            <w:pPr>
              <w:pStyle w:val="22"/>
              <w:bidi w:val="0"/>
              <w:rPr>
                <w:rFonts w:hint="eastAsia" w:eastAsia="宋体"/>
                <w:b/>
                <w:bCs/>
                <w:color w:val="auto"/>
                <w:lang w:val="en-US" w:eastAsia="zh-CN"/>
              </w:rPr>
            </w:pPr>
            <w:r>
              <w:rPr>
                <w:rFonts w:hint="eastAsia"/>
                <w:b/>
                <w:bCs/>
                <w:color w:val="auto"/>
              </w:rPr>
              <w:t>工</w:t>
            </w:r>
            <w:r>
              <w:rPr>
                <w:rFonts w:hint="eastAsia"/>
                <w:b/>
                <w:bCs/>
                <w:color w:val="auto"/>
                <w:lang w:val="en-US" w:eastAsia="zh-CN"/>
              </w:rPr>
              <w:t>序</w:t>
            </w:r>
          </w:p>
        </w:tc>
        <w:tc>
          <w:tcPr>
            <w:tcW w:w="270" w:type="pct"/>
            <w:vMerge w:val="restart"/>
            <w:noWrap w:val="0"/>
            <w:vAlign w:val="center"/>
          </w:tcPr>
          <w:p w14:paraId="47CDD434">
            <w:pPr>
              <w:pStyle w:val="22"/>
              <w:bidi w:val="0"/>
              <w:rPr>
                <w:b/>
                <w:bCs/>
                <w:color w:val="auto"/>
              </w:rPr>
            </w:pPr>
            <w:r>
              <w:rPr>
                <w:rFonts w:hint="eastAsia"/>
                <w:b/>
                <w:bCs/>
                <w:color w:val="auto"/>
              </w:rPr>
              <w:t>污染物</w:t>
            </w:r>
          </w:p>
        </w:tc>
        <w:tc>
          <w:tcPr>
            <w:tcW w:w="1131" w:type="pct"/>
            <w:gridSpan w:val="4"/>
            <w:vMerge w:val="restart"/>
            <w:noWrap w:val="0"/>
            <w:vAlign w:val="center"/>
          </w:tcPr>
          <w:p w14:paraId="32FA0952">
            <w:pPr>
              <w:pStyle w:val="22"/>
              <w:bidi w:val="0"/>
              <w:rPr>
                <w:b/>
                <w:bCs/>
                <w:color w:val="auto"/>
              </w:rPr>
            </w:pPr>
            <w:r>
              <w:rPr>
                <w:rFonts w:hint="eastAsia"/>
                <w:b/>
                <w:bCs/>
                <w:color w:val="auto"/>
              </w:rPr>
              <w:t>污染物产生情况</w:t>
            </w:r>
          </w:p>
        </w:tc>
        <w:tc>
          <w:tcPr>
            <w:tcW w:w="1325" w:type="pct"/>
            <w:gridSpan w:val="4"/>
            <w:vMerge w:val="restart"/>
            <w:noWrap w:val="0"/>
            <w:vAlign w:val="center"/>
          </w:tcPr>
          <w:p w14:paraId="57680682">
            <w:pPr>
              <w:pStyle w:val="22"/>
              <w:bidi w:val="0"/>
              <w:rPr>
                <w:b/>
                <w:bCs/>
                <w:color w:val="auto"/>
              </w:rPr>
            </w:pPr>
            <w:r>
              <w:rPr>
                <w:rFonts w:hint="eastAsia"/>
                <w:b/>
                <w:bCs/>
                <w:color w:val="auto"/>
              </w:rPr>
              <w:t>治理设施</w:t>
            </w:r>
          </w:p>
        </w:tc>
        <w:tc>
          <w:tcPr>
            <w:tcW w:w="1687" w:type="pct"/>
            <w:gridSpan w:val="6"/>
            <w:noWrap w:val="0"/>
            <w:vAlign w:val="center"/>
          </w:tcPr>
          <w:p w14:paraId="36F7038D">
            <w:pPr>
              <w:pStyle w:val="22"/>
              <w:bidi w:val="0"/>
              <w:rPr>
                <w:b/>
                <w:bCs/>
                <w:color w:val="auto"/>
              </w:rPr>
            </w:pPr>
            <w:r>
              <w:rPr>
                <w:rFonts w:hint="eastAsia"/>
                <w:b/>
                <w:bCs/>
                <w:color w:val="auto"/>
              </w:rPr>
              <w:t>污染物排放情况</w:t>
            </w:r>
          </w:p>
        </w:tc>
        <w:tc>
          <w:tcPr>
            <w:tcW w:w="295" w:type="pct"/>
            <w:vMerge w:val="restart"/>
            <w:noWrap w:val="0"/>
            <w:vAlign w:val="center"/>
          </w:tcPr>
          <w:p w14:paraId="6F6A1507">
            <w:pPr>
              <w:pStyle w:val="22"/>
              <w:bidi w:val="0"/>
              <w:rPr>
                <w:b/>
                <w:bCs/>
                <w:color w:val="auto"/>
              </w:rPr>
            </w:pPr>
            <w:r>
              <w:rPr>
                <w:rFonts w:hint="eastAsia"/>
                <w:b/>
                <w:bCs/>
                <w:color w:val="auto"/>
              </w:rPr>
              <w:t>排放时间h</w:t>
            </w:r>
            <w:r>
              <w:rPr>
                <w:b/>
                <w:bCs/>
                <w:color w:val="auto"/>
              </w:rPr>
              <w:t>/a</w:t>
            </w:r>
          </w:p>
        </w:tc>
      </w:tr>
      <w:tr w14:paraId="65F4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vMerge w:val="continue"/>
            <w:noWrap w:val="0"/>
            <w:vAlign w:val="center"/>
          </w:tcPr>
          <w:p w14:paraId="61F5173C">
            <w:pPr>
              <w:pStyle w:val="22"/>
              <w:bidi w:val="0"/>
              <w:rPr>
                <w:b/>
                <w:bCs/>
                <w:color w:val="0000FF"/>
              </w:rPr>
            </w:pPr>
          </w:p>
        </w:tc>
        <w:tc>
          <w:tcPr>
            <w:tcW w:w="270" w:type="pct"/>
            <w:vMerge w:val="continue"/>
            <w:noWrap w:val="0"/>
            <w:vAlign w:val="center"/>
          </w:tcPr>
          <w:p w14:paraId="38FD4029">
            <w:pPr>
              <w:pStyle w:val="22"/>
              <w:bidi w:val="0"/>
              <w:rPr>
                <w:b/>
                <w:bCs/>
                <w:color w:val="0000FF"/>
              </w:rPr>
            </w:pPr>
          </w:p>
        </w:tc>
        <w:tc>
          <w:tcPr>
            <w:tcW w:w="1131" w:type="pct"/>
            <w:gridSpan w:val="4"/>
            <w:vMerge w:val="continue"/>
            <w:noWrap w:val="0"/>
            <w:vAlign w:val="center"/>
          </w:tcPr>
          <w:p w14:paraId="3BF7B913">
            <w:pPr>
              <w:pStyle w:val="22"/>
              <w:bidi w:val="0"/>
              <w:rPr>
                <w:b/>
                <w:bCs/>
                <w:color w:val="0000FF"/>
              </w:rPr>
            </w:pPr>
          </w:p>
        </w:tc>
        <w:tc>
          <w:tcPr>
            <w:tcW w:w="1325" w:type="pct"/>
            <w:gridSpan w:val="4"/>
            <w:vMerge w:val="continue"/>
            <w:noWrap w:val="0"/>
            <w:vAlign w:val="center"/>
          </w:tcPr>
          <w:p w14:paraId="1F6244EC">
            <w:pPr>
              <w:pStyle w:val="22"/>
              <w:bidi w:val="0"/>
              <w:rPr>
                <w:b/>
                <w:bCs/>
                <w:color w:val="0000FF"/>
              </w:rPr>
            </w:pPr>
          </w:p>
        </w:tc>
        <w:tc>
          <w:tcPr>
            <w:tcW w:w="1094" w:type="pct"/>
            <w:gridSpan w:val="4"/>
            <w:noWrap w:val="0"/>
            <w:vAlign w:val="center"/>
          </w:tcPr>
          <w:p w14:paraId="4E2200AF">
            <w:pPr>
              <w:pStyle w:val="22"/>
              <w:bidi w:val="0"/>
              <w:rPr>
                <w:b/>
                <w:bCs/>
                <w:color w:val="auto"/>
              </w:rPr>
            </w:pPr>
            <w:r>
              <w:rPr>
                <w:rFonts w:hint="eastAsia"/>
                <w:b/>
                <w:bCs/>
                <w:color w:val="auto"/>
              </w:rPr>
              <w:t>有组织</w:t>
            </w:r>
          </w:p>
        </w:tc>
        <w:tc>
          <w:tcPr>
            <w:tcW w:w="592" w:type="pct"/>
            <w:gridSpan w:val="2"/>
            <w:noWrap w:val="0"/>
            <w:vAlign w:val="center"/>
          </w:tcPr>
          <w:p w14:paraId="22D54BAA">
            <w:pPr>
              <w:pStyle w:val="22"/>
              <w:bidi w:val="0"/>
              <w:rPr>
                <w:b/>
                <w:bCs/>
                <w:color w:val="auto"/>
              </w:rPr>
            </w:pPr>
            <w:r>
              <w:rPr>
                <w:rFonts w:hint="eastAsia"/>
                <w:b/>
                <w:bCs/>
                <w:color w:val="auto"/>
              </w:rPr>
              <w:t>无组织</w:t>
            </w:r>
          </w:p>
        </w:tc>
        <w:tc>
          <w:tcPr>
            <w:tcW w:w="295" w:type="pct"/>
            <w:vMerge w:val="continue"/>
            <w:noWrap w:val="0"/>
            <w:vAlign w:val="center"/>
          </w:tcPr>
          <w:p w14:paraId="0FFDD6A9">
            <w:pPr>
              <w:pStyle w:val="22"/>
              <w:bidi w:val="0"/>
              <w:rPr>
                <w:b/>
                <w:bCs/>
                <w:color w:val="0000FF"/>
              </w:rPr>
            </w:pPr>
          </w:p>
        </w:tc>
      </w:tr>
      <w:tr w14:paraId="0A769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vMerge w:val="continue"/>
            <w:noWrap w:val="0"/>
            <w:vAlign w:val="center"/>
          </w:tcPr>
          <w:p w14:paraId="2231DA1A">
            <w:pPr>
              <w:pStyle w:val="22"/>
              <w:bidi w:val="0"/>
              <w:rPr>
                <w:b/>
                <w:bCs/>
                <w:color w:val="0000FF"/>
              </w:rPr>
            </w:pPr>
          </w:p>
        </w:tc>
        <w:tc>
          <w:tcPr>
            <w:tcW w:w="270" w:type="pct"/>
            <w:vMerge w:val="continue"/>
            <w:noWrap w:val="0"/>
            <w:vAlign w:val="center"/>
          </w:tcPr>
          <w:p w14:paraId="75F0EFB3">
            <w:pPr>
              <w:pStyle w:val="22"/>
              <w:bidi w:val="0"/>
              <w:rPr>
                <w:b/>
                <w:bCs/>
                <w:color w:val="0000FF"/>
              </w:rPr>
            </w:pPr>
          </w:p>
        </w:tc>
        <w:tc>
          <w:tcPr>
            <w:tcW w:w="295" w:type="pct"/>
            <w:noWrap w:val="0"/>
            <w:vAlign w:val="center"/>
          </w:tcPr>
          <w:p w14:paraId="793F6150">
            <w:pPr>
              <w:pStyle w:val="22"/>
              <w:bidi w:val="0"/>
              <w:rPr>
                <w:b/>
                <w:bCs/>
                <w:color w:val="auto"/>
              </w:rPr>
            </w:pPr>
            <w:r>
              <w:rPr>
                <w:rFonts w:hint="eastAsia"/>
                <w:b/>
                <w:bCs/>
                <w:color w:val="auto"/>
              </w:rPr>
              <w:t>废气量</w:t>
            </w:r>
          </w:p>
          <w:p w14:paraId="4A5D14EE">
            <w:pPr>
              <w:pStyle w:val="22"/>
              <w:bidi w:val="0"/>
              <w:rPr>
                <w:b/>
                <w:bCs/>
                <w:color w:val="auto"/>
              </w:rPr>
            </w:pPr>
            <w:r>
              <w:rPr>
                <w:rFonts w:hint="eastAsia"/>
                <w:b/>
                <w:bCs/>
                <w:color w:val="auto"/>
                <w:lang w:val="en-US" w:eastAsia="zh-CN"/>
              </w:rPr>
              <w:t>m</w:t>
            </w:r>
            <w:r>
              <w:rPr>
                <w:rFonts w:hint="eastAsia"/>
                <w:b/>
                <w:bCs/>
                <w:color w:val="auto"/>
                <w:vertAlign w:val="superscript"/>
                <w:lang w:val="en-US" w:eastAsia="zh-CN"/>
              </w:rPr>
              <w:t>3</w:t>
            </w:r>
            <w:r>
              <w:rPr>
                <w:b/>
                <w:bCs/>
                <w:color w:val="auto"/>
              </w:rPr>
              <w:t>/h</w:t>
            </w:r>
          </w:p>
        </w:tc>
        <w:tc>
          <w:tcPr>
            <w:tcW w:w="279" w:type="pct"/>
            <w:noWrap w:val="0"/>
            <w:vAlign w:val="center"/>
          </w:tcPr>
          <w:p w14:paraId="4EEF5BE8">
            <w:pPr>
              <w:pStyle w:val="22"/>
              <w:bidi w:val="0"/>
              <w:rPr>
                <w:b/>
                <w:bCs/>
                <w:color w:val="auto"/>
              </w:rPr>
            </w:pPr>
            <w:r>
              <w:rPr>
                <w:rFonts w:hint="eastAsia"/>
                <w:b/>
                <w:bCs/>
                <w:color w:val="auto"/>
              </w:rPr>
              <w:t>产生量</w:t>
            </w:r>
          </w:p>
          <w:p w14:paraId="3F30B942">
            <w:pPr>
              <w:pStyle w:val="22"/>
              <w:bidi w:val="0"/>
              <w:rPr>
                <w:b/>
                <w:bCs/>
                <w:color w:val="auto"/>
              </w:rPr>
            </w:pPr>
            <w:r>
              <w:rPr>
                <w:rFonts w:hint="eastAsia"/>
                <w:b/>
                <w:bCs/>
                <w:color w:val="auto"/>
                <w:lang w:eastAsia="zh-CN"/>
              </w:rPr>
              <w:t>t</w:t>
            </w:r>
            <w:r>
              <w:rPr>
                <w:b/>
                <w:bCs/>
                <w:color w:val="auto"/>
              </w:rPr>
              <w:t>/a</w:t>
            </w:r>
          </w:p>
        </w:tc>
        <w:tc>
          <w:tcPr>
            <w:tcW w:w="263" w:type="pct"/>
            <w:noWrap w:val="0"/>
            <w:vAlign w:val="center"/>
          </w:tcPr>
          <w:p w14:paraId="7E00FC5F">
            <w:pPr>
              <w:pStyle w:val="22"/>
              <w:bidi w:val="0"/>
              <w:rPr>
                <w:b/>
                <w:bCs/>
                <w:color w:val="auto"/>
              </w:rPr>
            </w:pPr>
            <w:r>
              <w:rPr>
                <w:rFonts w:hint="eastAsia"/>
                <w:b/>
                <w:bCs/>
                <w:color w:val="auto"/>
              </w:rPr>
              <w:t>浓度</w:t>
            </w:r>
          </w:p>
          <w:p w14:paraId="370D61E4">
            <w:pPr>
              <w:pStyle w:val="22"/>
              <w:bidi w:val="0"/>
              <w:rPr>
                <w:b/>
                <w:bCs/>
                <w:color w:val="auto"/>
              </w:rPr>
            </w:pPr>
            <w:r>
              <w:rPr>
                <w:rFonts w:hint="eastAsia"/>
                <w:b/>
                <w:bCs/>
                <w:color w:val="auto"/>
              </w:rPr>
              <w:t>m</w:t>
            </w:r>
            <w:r>
              <w:rPr>
                <w:b/>
                <w:bCs/>
                <w:color w:val="auto"/>
              </w:rPr>
              <w:t>g/</w:t>
            </w:r>
            <w:r>
              <w:rPr>
                <w:rFonts w:hint="eastAsia"/>
                <w:b/>
                <w:bCs/>
                <w:color w:val="auto"/>
                <w:lang w:val="en-US" w:eastAsia="zh-CN"/>
              </w:rPr>
              <w:t>m</w:t>
            </w:r>
            <w:r>
              <w:rPr>
                <w:rFonts w:hint="eastAsia"/>
                <w:b/>
                <w:bCs/>
                <w:color w:val="auto"/>
                <w:vertAlign w:val="superscript"/>
                <w:lang w:val="en-US" w:eastAsia="zh-CN"/>
              </w:rPr>
              <w:t>3</w:t>
            </w:r>
          </w:p>
        </w:tc>
        <w:tc>
          <w:tcPr>
            <w:tcW w:w="292" w:type="pct"/>
            <w:noWrap w:val="0"/>
            <w:vAlign w:val="center"/>
          </w:tcPr>
          <w:p w14:paraId="5CABCCB9">
            <w:pPr>
              <w:pStyle w:val="22"/>
              <w:bidi w:val="0"/>
              <w:rPr>
                <w:b/>
                <w:bCs/>
                <w:color w:val="auto"/>
              </w:rPr>
            </w:pPr>
            <w:r>
              <w:rPr>
                <w:rFonts w:hint="eastAsia"/>
                <w:b/>
                <w:bCs/>
                <w:color w:val="auto"/>
              </w:rPr>
              <w:t>速率</w:t>
            </w:r>
          </w:p>
          <w:p w14:paraId="7C47F93E">
            <w:pPr>
              <w:pStyle w:val="22"/>
              <w:bidi w:val="0"/>
              <w:rPr>
                <w:b/>
                <w:bCs/>
                <w:color w:val="auto"/>
              </w:rPr>
            </w:pPr>
            <w:r>
              <w:rPr>
                <w:rFonts w:hint="eastAsia"/>
                <w:b/>
                <w:bCs/>
                <w:color w:val="auto"/>
              </w:rPr>
              <w:t>k</w:t>
            </w:r>
            <w:r>
              <w:rPr>
                <w:b/>
                <w:bCs/>
                <w:color w:val="auto"/>
              </w:rPr>
              <w:t>g/h</w:t>
            </w:r>
          </w:p>
        </w:tc>
        <w:tc>
          <w:tcPr>
            <w:tcW w:w="263" w:type="pct"/>
            <w:noWrap w:val="0"/>
            <w:vAlign w:val="center"/>
          </w:tcPr>
          <w:p w14:paraId="5319E445">
            <w:pPr>
              <w:pStyle w:val="22"/>
              <w:bidi w:val="0"/>
              <w:rPr>
                <w:b/>
                <w:bCs/>
                <w:color w:val="auto"/>
              </w:rPr>
            </w:pPr>
            <w:r>
              <w:rPr>
                <w:rFonts w:hint="eastAsia"/>
                <w:b/>
                <w:bCs/>
                <w:color w:val="auto"/>
              </w:rPr>
              <w:t>收集效率%</w:t>
            </w:r>
          </w:p>
        </w:tc>
        <w:tc>
          <w:tcPr>
            <w:tcW w:w="452" w:type="pct"/>
            <w:noWrap w:val="0"/>
            <w:vAlign w:val="center"/>
          </w:tcPr>
          <w:p w14:paraId="16B6D76E">
            <w:pPr>
              <w:pStyle w:val="22"/>
              <w:bidi w:val="0"/>
              <w:rPr>
                <w:b/>
                <w:bCs/>
                <w:color w:val="auto"/>
              </w:rPr>
            </w:pPr>
            <w:r>
              <w:rPr>
                <w:rFonts w:hint="eastAsia"/>
                <w:b/>
                <w:bCs/>
                <w:color w:val="auto"/>
              </w:rPr>
              <w:t>治理工艺</w:t>
            </w:r>
          </w:p>
        </w:tc>
        <w:tc>
          <w:tcPr>
            <w:tcW w:w="279" w:type="pct"/>
            <w:noWrap w:val="0"/>
            <w:vAlign w:val="center"/>
          </w:tcPr>
          <w:p w14:paraId="473A6621">
            <w:pPr>
              <w:pStyle w:val="22"/>
              <w:bidi w:val="0"/>
              <w:rPr>
                <w:b/>
                <w:bCs/>
                <w:color w:val="auto"/>
              </w:rPr>
            </w:pPr>
            <w:r>
              <w:rPr>
                <w:rFonts w:hint="eastAsia"/>
                <w:b/>
                <w:bCs/>
                <w:color w:val="auto"/>
              </w:rPr>
              <w:t>去除效率%</w:t>
            </w:r>
          </w:p>
        </w:tc>
        <w:tc>
          <w:tcPr>
            <w:tcW w:w="330" w:type="pct"/>
            <w:noWrap w:val="0"/>
            <w:vAlign w:val="center"/>
          </w:tcPr>
          <w:p w14:paraId="74A67945">
            <w:pPr>
              <w:pStyle w:val="22"/>
              <w:bidi w:val="0"/>
              <w:rPr>
                <w:b/>
                <w:bCs/>
                <w:color w:val="auto"/>
              </w:rPr>
            </w:pPr>
            <w:r>
              <w:rPr>
                <w:rFonts w:hint="eastAsia"/>
                <w:b/>
                <w:bCs/>
                <w:color w:val="auto"/>
              </w:rPr>
              <w:t>是否可行技术</w:t>
            </w:r>
          </w:p>
        </w:tc>
        <w:tc>
          <w:tcPr>
            <w:tcW w:w="256" w:type="pct"/>
            <w:noWrap w:val="0"/>
            <w:vAlign w:val="center"/>
          </w:tcPr>
          <w:p w14:paraId="5B4AFFEA">
            <w:pPr>
              <w:pStyle w:val="22"/>
              <w:bidi w:val="0"/>
              <w:rPr>
                <w:b/>
                <w:bCs/>
                <w:color w:val="auto"/>
              </w:rPr>
            </w:pPr>
            <w:r>
              <w:rPr>
                <w:rFonts w:hint="eastAsia"/>
                <w:b/>
                <w:bCs/>
                <w:color w:val="auto"/>
              </w:rPr>
              <w:t>排放量</w:t>
            </w:r>
          </w:p>
          <w:p w14:paraId="02DCCD9D">
            <w:pPr>
              <w:pStyle w:val="22"/>
              <w:bidi w:val="0"/>
              <w:rPr>
                <w:b/>
                <w:bCs/>
                <w:color w:val="auto"/>
              </w:rPr>
            </w:pPr>
            <w:r>
              <w:rPr>
                <w:rFonts w:hint="eastAsia"/>
                <w:b/>
                <w:bCs/>
                <w:color w:val="auto"/>
                <w:lang w:eastAsia="zh-CN"/>
              </w:rPr>
              <w:t>t</w:t>
            </w:r>
            <w:r>
              <w:rPr>
                <w:b/>
                <w:bCs/>
                <w:color w:val="auto"/>
              </w:rPr>
              <w:t>/a</w:t>
            </w:r>
          </w:p>
        </w:tc>
        <w:tc>
          <w:tcPr>
            <w:tcW w:w="273" w:type="pct"/>
            <w:noWrap w:val="0"/>
            <w:vAlign w:val="center"/>
          </w:tcPr>
          <w:p w14:paraId="653C80EA">
            <w:pPr>
              <w:pStyle w:val="22"/>
              <w:bidi w:val="0"/>
              <w:rPr>
                <w:b/>
                <w:bCs/>
                <w:color w:val="auto"/>
              </w:rPr>
            </w:pPr>
            <w:r>
              <w:rPr>
                <w:rFonts w:hint="eastAsia"/>
                <w:b/>
                <w:bCs/>
                <w:color w:val="auto"/>
              </w:rPr>
              <w:t>浓度</w:t>
            </w:r>
          </w:p>
          <w:p w14:paraId="170E4533">
            <w:pPr>
              <w:pStyle w:val="22"/>
              <w:bidi w:val="0"/>
              <w:rPr>
                <w:b/>
                <w:bCs/>
                <w:color w:val="auto"/>
              </w:rPr>
            </w:pPr>
            <w:r>
              <w:rPr>
                <w:rFonts w:hint="eastAsia"/>
                <w:b/>
                <w:bCs/>
                <w:color w:val="auto"/>
              </w:rPr>
              <w:t>m</w:t>
            </w:r>
            <w:r>
              <w:rPr>
                <w:b/>
                <w:bCs/>
                <w:color w:val="auto"/>
              </w:rPr>
              <w:t>g/</w:t>
            </w:r>
            <w:r>
              <w:rPr>
                <w:rFonts w:hint="eastAsia"/>
                <w:b/>
                <w:bCs/>
                <w:color w:val="auto"/>
                <w:lang w:val="en-US" w:eastAsia="zh-CN"/>
              </w:rPr>
              <w:t>m</w:t>
            </w:r>
            <w:r>
              <w:rPr>
                <w:rFonts w:hint="eastAsia"/>
                <w:b/>
                <w:bCs/>
                <w:color w:val="auto"/>
                <w:vertAlign w:val="superscript"/>
                <w:lang w:val="en-US" w:eastAsia="zh-CN"/>
              </w:rPr>
              <w:t>3</w:t>
            </w:r>
          </w:p>
        </w:tc>
        <w:tc>
          <w:tcPr>
            <w:tcW w:w="273" w:type="pct"/>
            <w:noWrap w:val="0"/>
            <w:vAlign w:val="center"/>
          </w:tcPr>
          <w:p w14:paraId="17457124">
            <w:pPr>
              <w:pStyle w:val="22"/>
              <w:bidi w:val="0"/>
              <w:rPr>
                <w:b/>
                <w:bCs/>
                <w:color w:val="auto"/>
              </w:rPr>
            </w:pPr>
            <w:r>
              <w:rPr>
                <w:rFonts w:hint="eastAsia"/>
                <w:b/>
                <w:bCs/>
                <w:color w:val="auto"/>
              </w:rPr>
              <w:t>速率</w:t>
            </w:r>
          </w:p>
          <w:p w14:paraId="126B41CE">
            <w:pPr>
              <w:pStyle w:val="22"/>
              <w:bidi w:val="0"/>
              <w:rPr>
                <w:b/>
                <w:bCs/>
                <w:color w:val="auto"/>
              </w:rPr>
            </w:pPr>
            <w:r>
              <w:rPr>
                <w:rFonts w:hint="eastAsia"/>
                <w:b/>
                <w:bCs/>
                <w:color w:val="auto"/>
              </w:rPr>
              <w:t>k</w:t>
            </w:r>
            <w:r>
              <w:rPr>
                <w:b/>
                <w:bCs/>
                <w:color w:val="auto"/>
              </w:rPr>
              <w:t>g/h</w:t>
            </w:r>
          </w:p>
        </w:tc>
        <w:tc>
          <w:tcPr>
            <w:tcW w:w="291" w:type="pct"/>
            <w:noWrap w:val="0"/>
            <w:vAlign w:val="center"/>
          </w:tcPr>
          <w:p w14:paraId="7F87BC7D">
            <w:pPr>
              <w:pStyle w:val="22"/>
              <w:bidi w:val="0"/>
              <w:rPr>
                <w:b/>
                <w:bCs/>
                <w:color w:val="auto"/>
              </w:rPr>
            </w:pPr>
            <w:r>
              <w:rPr>
                <w:rFonts w:hint="eastAsia"/>
                <w:b/>
                <w:bCs/>
                <w:color w:val="auto"/>
              </w:rPr>
              <w:t>排口</w:t>
            </w:r>
          </w:p>
        </w:tc>
        <w:tc>
          <w:tcPr>
            <w:tcW w:w="284" w:type="pct"/>
            <w:noWrap w:val="0"/>
            <w:vAlign w:val="center"/>
          </w:tcPr>
          <w:p w14:paraId="1EF42991">
            <w:pPr>
              <w:pStyle w:val="22"/>
              <w:bidi w:val="0"/>
              <w:rPr>
                <w:b/>
                <w:bCs/>
                <w:color w:val="auto"/>
              </w:rPr>
            </w:pPr>
            <w:r>
              <w:rPr>
                <w:rFonts w:hint="eastAsia"/>
                <w:b/>
                <w:bCs/>
                <w:color w:val="auto"/>
              </w:rPr>
              <w:t>排放量t</w:t>
            </w:r>
            <w:r>
              <w:rPr>
                <w:b/>
                <w:bCs/>
                <w:color w:val="auto"/>
              </w:rPr>
              <w:t>/a</w:t>
            </w:r>
          </w:p>
        </w:tc>
        <w:tc>
          <w:tcPr>
            <w:tcW w:w="308" w:type="pct"/>
            <w:noWrap w:val="0"/>
            <w:vAlign w:val="center"/>
          </w:tcPr>
          <w:p w14:paraId="3E187291">
            <w:pPr>
              <w:pStyle w:val="22"/>
              <w:bidi w:val="0"/>
              <w:rPr>
                <w:b/>
                <w:bCs/>
                <w:color w:val="auto"/>
              </w:rPr>
            </w:pPr>
            <w:r>
              <w:rPr>
                <w:rFonts w:hint="eastAsia"/>
                <w:b/>
                <w:bCs/>
                <w:color w:val="auto"/>
              </w:rPr>
              <w:t>速率</w:t>
            </w:r>
          </w:p>
          <w:p w14:paraId="06D0611B">
            <w:pPr>
              <w:pStyle w:val="22"/>
              <w:bidi w:val="0"/>
              <w:rPr>
                <w:b/>
                <w:bCs/>
                <w:color w:val="auto"/>
              </w:rPr>
            </w:pPr>
            <w:r>
              <w:rPr>
                <w:rFonts w:hint="eastAsia"/>
                <w:b/>
                <w:bCs/>
                <w:color w:val="auto"/>
              </w:rPr>
              <w:t>k</w:t>
            </w:r>
            <w:r>
              <w:rPr>
                <w:b/>
                <w:bCs/>
                <w:color w:val="auto"/>
              </w:rPr>
              <w:t>g/h</w:t>
            </w:r>
          </w:p>
        </w:tc>
        <w:tc>
          <w:tcPr>
            <w:tcW w:w="295" w:type="pct"/>
            <w:vMerge w:val="continue"/>
            <w:noWrap w:val="0"/>
            <w:vAlign w:val="center"/>
          </w:tcPr>
          <w:p w14:paraId="6403E7A3">
            <w:pPr>
              <w:pStyle w:val="22"/>
              <w:bidi w:val="0"/>
              <w:rPr>
                <w:color w:val="0000FF"/>
              </w:rPr>
            </w:pPr>
          </w:p>
        </w:tc>
      </w:tr>
      <w:tr w14:paraId="34AA4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noWrap w:val="0"/>
            <w:vAlign w:val="center"/>
          </w:tcPr>
          <w:p w14:paraId="51120F85">
            <w:pPr>
              <w:pStyle w:val="22"/>
              <w:bidi w:val="0"/>
              <w:rPr>
                <w:rFonts w:hint="default"/>
                <w:color w:val="auto"/>
                <w:lang w:val="en-US" w:eastAsia="zh-CN"/>
              </w:rPr>
            </w:pPr>
            <w:r>
              <w:rPr>
                <w:rFonts w:hint="eastAsia"/>
                <w:color w:val="auto"/>
                <w:lang w:val="en-US" w:eastAsia="zh-CN"/>
              </w:rPr>
              <w:t>上料</w:t>
            </w:r>
          </w:p>
        </w:tc>
        <w:tc>
          <w:tcPr>
            <w:tcW w:w="270" w:type="pct"/>
            <w:noWrap w:val="0"/>
            <w:vAlign w:val="center"/>
          </w:tcPr>
          <w:p w14:paraId="588D44C7">
            <w:pPr>
              <w:pStyle w:val="22"/>
              <w:bidi w:val="0"/>
              <w:rPr>
                <w:rFonts w:hint="eastAsia"/>
                <w:color w:val="auto"/>
                <w:lang w:eastAsia="zh-CN"/>
              </w:rPr>
            </w:pPr>
            <w:r>
              <w:rPr>
                <w:rFonts w:hint="eastAsia"/>
                <w:color w:val="auto"/>
                <w:lang w:val="en-US" w:eastAsia="zh-CN"/>
              </w:rPr>
              <w:t>颗粒物</w:t>
            </w:r>
          </w:p>
        </w:tc>
        <w:tc>
          <w:tcPr>
            <w:tcW w:w="295" w:type="pct"/>
            <w:vMerge w:val="restart"/>
            <w:noWrap w:val="0"/>
            <w:vAlign w:val="center"/>
          </w:tcPr>
          <w:p w14:paraId="367F6AF9">
            <w:pPr>
              <w:pStyle w:val="22"/>
              <w:bidi w:val="0"/>
              <w:rPr>
                <w:rFonts w:hint="default"/>
                <w:color w:val="auto"/>
                <w:lang w:val="en-US" w:eastAsia="zh-CN"/>
              </w:rPr>
            </w:pPr>
            <w:r>
              <w:rPr>
                <w:rFonts w:hint="eastAsia"/>
                <w:color w:val="auto"/>
                <w:lang w:val="en-US" w:eastAsia="zh-CN"/>
              </w:rPr>
              <w:t>6000</w:t>
            </w:r>
          </w:p>
        </w:tc>
        <w:tc>
          <w:tcPr>
            <w:tcW w:w="279" w:type="pct"/>
            <w:noWrap w:val="0"/>
            <w:vAlign w:val="center"/>
          </w:tcPr>
          <w:p w14:paraId="40CA0D98">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12</w:t>
            </w:r>
          </w:p>
        </w:tc>
        <w:tc>
          <w:tcPr>
            <w:tcW w:w="263" w:type="pct"/>
            <w:noWrap w:val="0"/>
            <w:vAlign w:val="center"/>
          </w:tcPr>
          <w:p w14:paraId="1326CA86">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833</w:t>
            </w:r>
          </w:p>
        </w:tc>
        <w:tc>
          <w:tcPr>
            <w:tcW w:w="292" w:type="pct"/>
            <w:noWrap w:val="0"/>
            <w:vAlign w:val="center"/>
          </w:tcPr>
          <w:p w14:paraId="2DD8ABB2">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5</w:t>
            </w:r>
          </w:p>
        </w:tc>
        <w:tc>
          <w:tcPr>
            <w:tcW w:w="263" w:type="pct"/>
            <w:noWrap w:val="0"/>
            <w:vAlign w:val="center"/>
          </w:tcPr>
          <w:p w14:paraId="32F4B454">
            <w:pPr>
              <w:pStyle w:val="22"/>
              <w:bidi w:val="0"/>
              <w:rPr>
                <w:rFonts w:hint="default"/>
                <w:color w:val="auto"/>
                <w:lang w:val="en-US" w:eastAsia="zh-CN"/>
              </w:rPr>
            </w:pPr>
            <w:r>
              <w:rPr>
                <w:rFonts w:hint="eastAsia"/>
                <w:color w:val="auto"/>
                <w:lang w:val="en-US" w:eastAsia="zh-CN"/>
              </w:rPr>
              <w:t>90</w:t>
            </w:r>
          </w:p>
        </w:tc>
        <w:tc>
          <w:tcPr>
            <w:tcW w:w="452" w:type="pct"/>
            <w:noWrap w:val="0"/>
            <w:vAlign w:val="center"/>
          </w:tcPr>
          <w:p w14:paraId="2C8B67B5">
            <w:pPr>
              <w:pStyle w:val="22"/>
              <w:bidi w:val="0"/>
              <w:rPr>
                <w:rFonts w:hint="default"/>
                <w:color w:val="auto"/>
                <w:lang w:val="en-US" w:eastAsia="zh-CN"/>
              </w:rPr>
            </w:pPr>
            <w:r>
              <w:rPr>
                <w:rFonts w:hint="eastAsia"/>
                <w:color w:val="auto"/>
                <w:lang w:val="en-US" w:eastAsia="zh-CN"/>
              </w:rPr>
              <w:t>集气罩+布袋除尘器</w:t>
            </w:r>
          </w:p>
        </w:tc>
        <w:tc>
          <w:tcPr>
            <w:tcW w:w="279" w:type="pct"/>
            <w:noWrap w:val="0"/>
            <w:vAlign w:val="center"/>
          </w:tcPr>
          <w:p w14:paraId="099EF7A8">
            <w:pPr>
              <w:pStyle w:val="22"/>
              <w:bidi w:val="0"/>
              <w:rPr>
                <w:rFonts w:hint="default"/>
                <w:color w:val="auto"/>
                <w:lang w:val="en-US" w:eastAsia="zh-CN"/>
              </w:rPr>
            </w:pPr>
            <w:r>
              <w:rPr>
                <w:rFonts w:hint="eastAsia"/>
                <w:color w:val="auto"/>
                <w:lang w:val="en-US" w:eastAsia="zh-CN"/>
              </w:rPr>
              <w:t>99</w:t>
            </w:r>
          </w:p>
        </w:tc>
        <w:tc>
          <w:tcPr>
            <w:tcW w:w="330" w:type="pct"/>
            <w:noWrap w:val="0"/>
            <w:vAlign w:val="center"/>
          </w:tcPr>
          <w:p w14:paraId="1ADCB71A">
            <w:pPr>
              <w:pStyle w:val="22"/>
              <w:bidi w:val="0"/>
              <w:rPr>
                <w:color w:val="auto"/>
              </w:rPr>
            </w:pPr>
            <w:r>
              <w:rPr>
                <w:rFonts w:hint="eastAsia"/>
                <w:color w:val="auto"/>
                <w:lang w:val="en-US" w:eastAsia="zh-CN"/>
              </w:rPr>
              <w:t>是</w:t>
            </w:r>
          </w:p>
        </w:tc>
        <w:tc>
          <w:tcPr>
            <w:tcW w:w="256" w:type="pct"/>
            <w:vMerge w:val="restart"/>
            <w:noWrap w:val="0"/>
            <w:vAlign w:val="center"/>
          </w:tcPr>
          <w:p w14:paraId="0185F19A">
            <w:pPr>
              <w:pStyle w:val="22"/>
              <w:bidi w:val="0"/>
              <w:rPr>
                <w:rFonts w:hint="default" w:eastAsia="宋体"/>
                <w:color w:val="auto"/>
                <w:lang w:val="en-US" w:eastAsia="zh-CN"/>
              </w:rPr>
            </w:pPr>
            <w:r>
              <w:rPr>
                <w:rFonts w:hint="eastAsia"/>
                <w:color w:val="auto"/>
                <w:lang w:val="en-US" w:eastAsia="zh-CN"/>
              </w:rPr>
              <w:t>0.108</w:t>
            </w:r>
          </w:p>
        </w:tc>
        <w:tc>
          <w:tcPr>
            <w:tcW w:w="273" w:type="pct"/>
            <w:vMerge w:val="restart"/>
            <w:noWrap w:val="0"/>
            <w:vAlign w:val="center"/>
          </w:tcPr>
          <w:p w14:paraId="4A2D58D1">
            <w:pPr>
              <w:pStyle w:val="22"/>
              <w:bidi w:val="0"/>
              <w:rPr>
                <w:rFonts w:hint="default"/>
                <w:color w:val="auto"/>
                <w:lang w:val="en-US" w:eastAsia="zh-CN"/>
              </w:rPr>
            </w:pPr>
            <w:r>
              <w:rPr>
                <w:rFonts w:hint="eastAsia"/>
                <w:color w:val="auto"/>
                <w:lang w:val="en-US" w:eastAsia="zh-CN"/>
              </w:rPr>
              <w:t>7.5</w:t>
            </w:r>
          </w:p>
        </w:tc>
        <w:tc>
          <w:tcPr>
            <w:tcW w:w="273" w:type="pct"/>
            <w:vMerge w:val="restart"/>
            <w:noWrap w:val="0"/>
            <w:vAlign w:val="center"/>
          </w:tcPr>
          <w:p w14:paraId="5B7F3BFD">
            <w:pPr>
              <w:pStyle w:val="22"/>
              <w:bidi w:val="0"/>
              <w:rPr>
                <w:rFonts w:hint="default"/>
                <w:color w:val="auto"/>
                <w:lang w:val="en-US" w:eastAsia="zh-CN"/>
              </w:rPr>
            </w:pPr>
            <w:r>
              <w:rPr>
                <w:rFonts w:hint="eastAsia"/>
                <w:color w:val="auto"/>
                <w:lang w:val="en-US" w:eastAsia="zh-CN"/>
              </w:rPr>
              <w:t>0.045</w:t>
            </w:r>
          </w:p>
        </w:tc>
        <w:tc>
          <w:tcPr>
            <w:tcW w:w="291" w:type="pct"/>
            <w:vMerge w:val="restart"/>
            <w:noWrap w:val="0"/>
            <w:vAlign w:val="center"/>
          </w:tcPr>
          <w:p w14:paraId="28E9B96E">
            <w:pPr>
              <w:pStyle w:val="22"/>
              <w:bidi w:val="0"/>
              <w:rPr>
                <w:rFonts w:hint="default"/>
                <w:color w:val="auto"/>
                <w:lang w:val="en-US" w:eastAsia="zh-CN"/>
              </w:rPr>
            </w:pPr>
            <w:r>
              <w:rPr>
                <w:rFonts w:hint="eastAsia"/>
                <w:color w:val="auto"/>
                <w:lang w:val="en-US" w:eastAsia="zh-CN"/>
              </w:rPr>
              <w:t>DA002</w:t>
            </w:r>
          </w:p>
        </w:tc>
        <w:tc>
          <w:tcPr>
            <w:tcW w:w="284" w:type="pct"/>
            <w:vMerge w:val="restart"/>
            <w:noWrap w:val="0"/>
            <w:vAlign w:val="center"/>
          </w:tcPr>
          <w:p w14:paraId="3A1703E2">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1.2</w:t>
            </w:r>
          </w:p>
        </w:tc>
        <w:tc>
          <w:tcPr>
            <w:tcW w:w="308" w:type="pct"/>
            <w:vMerge w:val="restart"/>
            <w:noWrap w:val="0"/>
            <w:vAlign w:val="center"/>
          </w:tcPr>
          <w:p w14:paraId="68850380">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0.</w:t>
            </w:r>
            <w:r>
              <w:rPr>
                <w:rFonts w:hint="eastAsia" w:cs="Times New Roman"/>
                <w:b w:val="0"/>
                <w:bCs w:val="0"/>
                <w:color w:val="auto"/>
                <w:sz w:val="21"/>
                <w:szCs w:val="21"/>
                <w:lang w:val="en-US" w:eastAsia="zh-CN"/>
              </w:rPr>
              <w:t>5</w:t>
            </w:r>
          </w:p>
        </w:tc>
        <w:tc>
          <w:tcPr>
            <w:tcW w:w="295" w:type="pct"/>
            <w:noWrap w:val="0"/>
            <w:vAlign w:val="center"/>
          </w:tcPr>
          <w:p w14:paraId="567DE2D4">
            <w:pPr>
              <w:pStyle w:val="22"/>
              <w:bidi w:val="0"/>
              <w:rPr>
                <w:rFonts w:hint="default"/>
                <w:color w:val="auto"/>
                <w:lang w:val="en-US"/>
              </w:rPr>
            </w:pPr>
            <w:r>
              <w:rPr>
                <w:rFonts w:hint="eastAsia"/>
                <w:color w:val="auto"/>
                <w:lang w:val="en-US" w:eastAsia="zh-CN"/>
              </w:rPr>
              <w:t>2400</w:t>
            </w:r>
          </w:p>
        </w:tc>
      </w:tr>
      <w:tr w14:paraId="33311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noWrap w:val="0"/>
            <w:vAlign w:val="center"/>
          </w:tcPr>
          <w:p w14:paraId="452EC75C">
            <w:pPr>
              <w:pStyle w:val="22"/>
              <w:bidi w:val="0"/>
              <w:rPr>
                <w:rFonts w:hint="default"/>
                <w:color w:val="auto"/>
                <w:lang w:val="en-US" w:eastAsia="zh-CN"/>
              </w:rPr>
            </w:pPr>
            <w:r>
              <w:rPr>
                <w:rFonts w:hint="eastAsia"/>
                <w:color w:val="auto"/>
                <w:lang w:val="en-US" w:eastAsia="zh-CN"/>
              </w:rPr>
              <w:t>破碎</w:t>
            </w:r>
          </w:p>
        </w:tc>
        <w:tc>
          <w:tcPr>
            <w:tcW w:w="270" w:type="pct"/>
            <w:noWrap w:val="0"/>
            <w:vAlign w:val="center"/>
          </w:tcPr>
          <w:p w14:paraId="79692E69">
            <w:pPr>
              <w:pStyle w:val="22"/>
              <w:bidi w:val="0"/>
              <w:rPr>
                <w:rFonts w:hint="eastAsia"/>
                <w:color w:val="auto"/>
                <w:lang w:val="en-US" w:eastAsia="zh-CN"/>
              </w:rPr>
            </w:pPr>
            <w:r>
              <w:rPr>
                <w:rFonts w:hint="eastAsia"/>
                <w:color w:val="auto"/>
                <w:lang w:val="en-US" w:eastAsia="zh-CN"/>
              </w:rPr>
              <w:t>颗粒物</w:t>
            </w:r>
          </w:p>
        </w:tc>
        <w:tc>
          <w:tcPr>
            <w:tcW w:w="295" w:type="pct"/>
            <w:vMerge w:val="continue"/>
            <w:noWrap w:val="0"/>
            <w:vAlign w:val="center"/>
          </w:tcPr>
          <w:p w14:paraId="069FF053">
            <w:pPr>
              <w:pStyle w:val="22"/>
              <w:bidi w:val="0"/>
              <w:rPr>
                <w:rFonts w:hint="eastAsia"/>
                <w:color w:val="auto"/>
                <w:lang w:val="en-US" w:eastAsia="zh-CN"/>
              </w:rPr>
            </w:pPr>
          </w:p>
        </w:tc>
        <w:tc>
          <w:tcPr>
            <w:tcW w:w="279" w:type="pct"/>
            <w:noWrap w:val="0"/>
            <w:vAlign w:val="center"/>
          </w:tcPr>
          <w:p w14:paraId="0F0A3E1A">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0.0015</w:t>
            </w:r>
          </w:p>
        </w:tc>
        <w:tc>
          <w:tcPr>
            <w:tcW w:w="263" w:type="pct"/>
            <w:noWrap w:val="0"/>
            <w:vAlign w:val="center"/>
          </w:tcPr>
          <w:p w14:paraId="72B88AC8">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2.5</w:t>
            </w:r>
          </w:p>
        </w:tc>
        <w:tc>
          <w:tcPr>
            <w:tcW w:w="292" w:type="pct"/>
            <w:noWrap w:val="0"/>
            <w:vAlign w:val="center"/>
          </w:tcPr>
          <w:p w14:paraId="05B3DDF7">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0.015</w:t>
            </w:r>
          </w:p>
        </w:tc>
        <w:tc>
          <w:tcPr>
            <w:tcW w:w="263" w:type="pct"/>
            <w:noWrap w:val="0"/>
            <w:vAlign w:val="center"/>
          </w:tcPr>
          <w:p w14:paraId="5E79D498">
            <w:pPr>
              <w:pStyle w:val="22"/>
              <w:bidi w:val="0"/>
              <w:rPr>
                <w:rFonts w:hint="default"/>
                <w:color w:val="auto"/>
                <w:lang w:val="en-US" w:eastAsia="zh-CN"/>
              </w:rPr>
            </w:pPr>
            <w:r>
              <w:rPr>
                <w:rFonts w:hint="eastAsia"/>
                <w:color w:val="auto"/>
                <w:lang w:val="en-US" w:eastAsia="zh-CN"/>
              </w:rPr>
              <w:t>100</w:t>
            </w:r>
          </w:p>
        </w:tc>
        <w:tc>
          <w:tcPr>
            <w:tcW w:w="452" w:type="pct"/>
            <w:noWrap w:val="0"/>
            <w:vAlign w:val="center"/>
          </w:tcPr>
          <w:p w14:paraId="3D6A367C">
            <w:pPr>
              <w:pStyle w:val="22"/>
              <w:bidi w:val="0"/>
              <w:rPr>
                <w:rFonts w:hint="eastAsia"/>
                <w:color w:val="auto"/>
                <w:lang w:val="en-US" w:eastAsia="zh-CN"/>
              </w:rPr>
            </w:pPr>
            <w:r>
              <w:rPr>
                <w:rFonts w:hint="eastAsia"/>
                <w:color w:val="auto"/>
                <w:lang w:val="en-US" w:eastAsia="zh-CN"/>
              </w:rPr>
              <w:t>布袋除尘器</w:t>
            </w:r>
          </w:p>
        </w:tc>
        <w:tc>
          <w:tcPr>
            <w:tcW w:w="279" w:type="pct"/>
            <w:noWrap w:val="0"/>
            <w:vAlign w:val="center"/>
          </w:tcPr>
          <w:p w14:paraId="7D1AE860">
            <w:pPr>
              <w:pStyle w:val="22"/>
              <w:bidi w:val="0"/>
              <w:rPr>
                <w:rFonts w:hint="eastAsia"/>
                <w:color w:val="auto"/>
                <w:lang w:val="en-US" w:eastAsia="zh-CN"/>
              </w:rPr>
            </w:pPr>
            <w:r>
              <w:rPr>
                <w:rFonts w:hint="eastAsia"/>
                <w:color w:val="auto"/>
                <w:lang w:val="en-US" w:eastAsia="zh-CN"/>
              </w:rPr>
              <w:t>99</w:t>
            </w:r>
          </w:p>
        </w:tc>
        <w:tc>
          <w:tcPr>
            <w:tcW w:w="330" w:type="pct"/>
            <w:noWrap w:val="0"/>
            <w:vAlign w:val="center"/>
          </w:tcPr>
          <w:p w14:paraId="52E6CB8C">
            <w:pPr>
              <w:pStyle w:val="22"/>
              <w:bidi w:val="0"/>
              <w:rPr>
                <w:rFonts w:hint="eastAsia"/>
                <w:color w:val="auto"/>
                <w:lang w:val="en-US" w:eastAsia="zh-CN"/>
              </w:rPr>
            </w:pPr>
            <w:r>
              <w:rPr>
                <w:rFonts w:hint="eastAsia"/>
                <w:color w:val="auto"/>
                <w:lang w:val="en-US" w:eastAsia="zh-CN"/>
              </w:rPr>
              <w:t>是</w:t>
            </w:r>
          </w:p>
        </w:tc>
        <w:tc>
          <w:tcPr>
            <w:tcW w:w="256" w:type="pct"/>
            <w:vMerge w:val="continue"/>
            <w:noWrap w:val="0"/>
            <w:vAlign w:val="center"/>
          </w:tcPr>
          <w:p w14:paraId="6C6C3ED9">
            <w:pPr>
              <w:pStyle w:val="22"/>
              <w:bidi w:val="0"/>
              <w:rPr>
                <w:rFonts w:hint="eastAsia"/>
                <w:color w:val="auto"/>
                <w:lang w:val="en-US" w:eastAsia="zh-CN"/>
              </w:rPr>
            </w:pPr>
          </w:p>
        </w:tc>
        <w:tc>
          <w:tcPr>
            <w:tcW w:w="273" w:type="pct"/>
            <w:vMerge w:val="continue"/>
            <w:noWrap w:val="0"/>
            <w:vAlign w:val="center"/>
          </w:tcPr>
          <w:p w14:paraId="532573E5">
            <w:pPr>
              <w:pStyle w:val="22"/>
              <w:bidi w:val="0"/>
              <w:rPr>
                <w:rFonts w:hint="eastAsia"/>
                <w:color w:val="auto"/>
                <w:lang w:val="en-US" w:eastAsia="zh-CN"/>
              </w:rPr>
            </w:pPr>
          </w:p>
        </w:tc>
        <w:tc>
          <w:tcPr>
            <w:tcW w:w="273" w:type="pct"/>
            <w:vMerge w:val="continue"/>
            <w:noWrap w:val="0"/>
            <w:vAlign w:val="center"/>
          </w:tcPr>
          <w:p w14:paraId="53E95631">
            <w:pPr>
              <w:pStyle w:val="22"/>
              <w:bidi w:val="0"/>
              <w:rPr>
                <w:rFonts w:hint="eastAsia"/>
                <w:color w:val="auto"/>
                <w:lang w:val="en-US" w:eastAsia="zh-CN"/>
              </w:rPr>
            </w:pPr>
          </w:p>
        </w:tc>
        <w:tc>
          <w:tcPr>
            <w:tcW w:w="291" w:type="pct"/>
            <w:vMerge w:val="continue"/>
            <w:noWrap w:val="0"/>
            <w:vAlign w:val="center"/>
          </w:tcPr>
          <w:p w14:paraId="663FA355">
            <w:pPr>
              <w:pStyle w:val="22"/>
              <w:bidi w:val="0"/>
              <w:rPr>
                <w:rFonts w:hint="eastAsia"/>
                <w:color w:val="auto"/>
                <w:lang w:val="en-US" w:eastAsia="zh-CN"/>
              </w:rPr>
            </w:pPr>
          </w:p>
        </w:tc>
        <w:tc>
          <w:tcPr>
            <w:tcW w:w="284" w:type="pct"/>
            <w:vMerge w:val="continue"/>
            <w:noWrap w:val="0"/>
            <w:vAlign w:val="center"/>
          </w:tcPr>
          <w:p w14:paraId="40AAC942">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cs="Times New Roman"/>
                <w:b w:val="0"/>
                <w:bCs w:val="0"/>
                <w:color w:val="auto"/>
                <w:sz w:val="21"/>
                <w:szCs w:val="21"/>
                <w:lang w:val="en-US" w:eastAsia="zh-CN"/>
              </w:rPr>
            </w:pPr>
          </w:p>
        </w:tc>
        <w:tc>
          <w:tcPr>
            <w:tcW w:w="308" w:type="pct"/>
            <w:vMerge w:val="continue"/>
            <w:noWrap w:val="0"/>
            <w:vAlign w:val="center"/>
          </w:tcPr>
          <w:p w14:paraId="105DA92B">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Times New Roman" w:hAnsi="Times New Roman" w:eastAsia="宋体" w:cs="Times New Roman"/>
                <w:b w:val="0"/>
                <w:bCs w:val="0"/>
                <w:color w:val="auto"/>
                <w:sz w:val="21"/>
                <w:szCs w:val="21"/>
                <w:lang w:val="en-US" w:eastAsia="zh-CN"/>
              </w:rPr>
            </w:pPr>
          </w:p>
        </w:tc>
        <w:tc>
          <w:tcPr>
            <w:tcW w:w="295" w:type="pct"/>
            <w:noWrap w:val="0"/>
            <w:vAlign w:val="center"/>
          </w:tcPr>
          <w:p w14:paraId="0D5C9D3E">
            <w:pPr>
              <w:pStyle w:val="22"/>
              <w:bidi w:val="0"/>
              <w:rPr>
                <w:rFonts w:hint="default"/>
                <w:color w:val="auto"/>
                <w:lang w:val="en-US" w:eastAsia="zh-CN"/>
              </w:rPr>
            </w:pPr>
            <w:r>
              <w:rPr>
                <w:rFonts w:hint="eastAsia"/>
                <w:color w:val="auto"/>
                <w:lang w:val="en-US" w:eastAsia="zh-CN"/>
              </w:rPr>
              <w:t>100</w:t>
            </w:r>
          </w:p>
        </w:tc>
      </w:tr>
      <w:tr w14:paraId="09040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noWrap w:val="0"/>
            <w:vAlign w:val="center"/>
          </w:tcPr>
          <w:p w14:paraId="58F5F21C">
            <w:pPr>
              <w:pStyle w:val="22"/>
              <w:bidi w:val="0"/>
              <w:rPr>
                <w:rFonts w:hint="default"/>
                <w:color w:val="auto"/>
                <w:lang w:val="en-US" w:eastAsia="zh-CN"/>
              </w:rPr>
            </w:pPr>
            <w:r>
              <w:rPr>
                <w:rFonts w:hint="eastAsia"/>
                <w:color w:val="auto"/>
                <w:lang w:val="en-US" w:eastAsia="zh-CN"/>
              </w:rPr>
              <w:t>熔融挤出</w:t>
            </w:r>
          </w:p>
        </w:tc>
        <w:tc>
          <w:tcPr>
            <w:tcW w:w="270" w:type="pct"/>
            <w:noWrap w:val="0"/>
            <w:vAlign w:val="center"/>
          </w:tcPr>
          <w:p w14:paraId="67206D46">
            <w:pPr>
              <w:pStyle w:val="22"/>
              <w:bidi w:val="0"/>
              <w:rPr>
                <w:rFonts w:hint="default"/>
                <w:color w:val="auto"/>
                <w:lang w:val="en-US" w:eastAsia="zh-CN"/>
              </w:rPr>
            </w:pPr>
            <w:r>
              <w:rPr>
                <w:rFonts w:hint="eastAsia"/>
                <w:color w:val="auto"/>
                <w:lang w:val="en-US" w:eastAsia="zh-CN"/>
              </w:rPr>
              <w:t>非甲烷总烃</w:t>
            </w:r>
          </w:p>
        </w:tc>
        <w:tc>
          <w:tcPr>
            <w:tcW w:w="295" w:type="pct"/>
            <w:noWrap w:val="0"/>
            <w:vAlign w:val="center"/>
          </w:tcPr>
          <w:p w14:paraId="5431598A">
            <w:pPr>
              <w:pStyle w:val="22"/>
              <w:bidi w:val="0"/>
              <w:rPr>
                <w:rFonts w:hint="default"/>
                <w:color w:val="auto"/>
                <w:lang w:val="en-US" w:eastAsia="zh-CN"/>
              </w:rPr>
            </w:pPr>
            <w:r>
              <w:rPr>
                <w:rFonts w:hint="eastAsia"/>
                <w:color w:val="auto"/>
                <w:lang w:val="en-US" w:eastAsia="zh-CN"/>
              </w:rPr>
              <w:t>6000</w:t>
            </w:r>
          </w:p>
        </w:tc>
        <w:tc>
          <w:tcPr>
            <w:tcW w:w="279" w:type="pct"/>
            <w:noWrap w:val="0"/>
            <w:vAlign w:val="center"/>
          </w:tcPr>
          <w:p w14:paraId="30AE6F52">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w:t>
            </w:r>
          </w:p>
        </w:tc>
        <w:tc>
          <w:tcPr>
            <w:tcW w:w="263" w:type="pct"/>
            <w:noWrap w:val="0"/>
            <w:vAlign w:val="center"/>
          </w:tcPr>
          <w:p w14:paraId="0FB93D3D">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208</w:t>
            </w:r>
          </w:p>
        </w:tc>
        <w:tc>
          <w:tcPr>
            <w:tcW w:w="292" w:type="pct"/>
            <w:noWrap w:val="0"/>
            <w:vAlign w:val="center"/>
          </w:tcPr>
          <w:p w14:paraId="048C9E14">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1.</w:t>
            </w:r>
            <w:r>
              <w:rPr>
                <w:rFonts w:hint="eastAsia" w:cs="Times New Roman"/>
                <w:b w:val="0"/>
                <w:bCs w:val="0"/>
                <w:color w:val="auto"/>
                <w:sz w:val="21"/>
                <w:szCs w:val="21"/>
                <w:lang w:val="en-US" w:eastAsia="zh-CN"/>
              </w:rPr>
              <w:t>25</w:t>
            </w:r>
          </w:p>
        </w:tc>
        <w:tc>
          <w:tcPr>
            <w:tcW w:w="263" w:type="pct"/>
            <w:noWrap w:val="0"/>
            <w:vAlign w:val="center"/>
          </w:tcPr>
          <w:p w14:paraId="18C931C5">
            <w:pPr>
              <w:pStyle w:val="22"/>
              <w:bidi w:val="0"/>
              <w:rPr>
                <w:rFonts w:hint="default"/>
                <w:color w:val="auto"/>
                <w:lang w:val="en-US" w:eastAsia="zh-CN"/>
              </w:rPr>
            </w:pPr>
            <w:r>
              <w:rPr>
                <w:rFonts w:hint="eastAsia"/>
                <w:color w:val="auto"/>
                <w:lang w:val="en-US" w:eastAsia="zh-CN"/>
              </w:rPr>
              <w:t>90</w:t>
            </w:r>
          </w:p>
        </w:tc>
        <w:tc>
          <w:tcPr>
            <w:tcW w:w="452" w:type="pct"/>
            <w:noWrap w:val="0"/>
            <w:vAlign w:val="center"/>
          </w:tcPr>
          <w:p w14:paraId="55A7807F">
            <w:pPr>
              <w:pStyle w:val="22"/>
              <w:bidi w:val="0"/>
              <w:rPr>
                <w:rFonts w:hint="default"/>
                <w:color w:val="auto"/>
                <w:lang w:val="en-US" w:eastAsia="zh-CN"/>
              </w:rPr>
            </w:pPr>
            <w:r>
              <w:rPr>
                <w:rFonts w:hint="eastAsia"/>
                <w:color w:val="auto"/>
                <w:lang w:val="en-US" w:eastAsia="zh-CN"/>
              </w:rPr>
              <w:t>集气罩+二级活性炭</w:t>
            </w:r>
          </w:p>
        </w:tc>
        <w:tc>
          <w:tcPr>
            <w:tcW w:w="279" w:type="pct"/>
            <w:noWrap w:val="0"/>
            <w:vAlign w:val="center"/>
          </w:tcPr>
          <w:p w14:paraId="74D31AE8">
            <w:pPr>
              <w:pStyle w:val="22"/>
              <w:bidi w:val="0"/>
              <w:rPr>
                <w:rFonts w:hint="default"/>
                <w:color w:val="auto"/>
                <w:lang w:val="en-US" w:eastAsia="zh-CN"/>
              </w:rPr>
            </w:pPr>
            <w:r>
              <w:rPr>
                <w:rFonts w:hint="eastAsia"/>
                <w:color w:val="auto"/>
                <w:lang w:val="en-US" w:eastAsia="zh-CN"/>
              </w:rPr>
              <w:t>90</w:t>
            </w:r>
          </w:p>
        </w:tc>
        <w:tc>
          <w:tcPr>
            <w:tcW w:w="330" w:type="pct"/>
            <w:noWrap w:val="0"/>
            <w:vAlign w:val="center"/>
          </w:tcPr>
          <w:p w14:paraId="083B066E">
            <w:pPr>
              <w:pStyle w:val="22"/>
              <w:bidi w:val="0"/>
              <w:rPr>
                <w:rFonts w:hint="eastAsia"/>
                <w:color w:val="auto"/>
                <w:lang w:val="en-US" w:eastAsia="zh-CN"/>
              </w:rPr>
            </w:pPr>
            <w:r>
              <w:rPr>
                <w:rFonts w:hint="eastAsia"/>
                <w:color w:val="auto"/>
                <w:lang w:val="en-US" w:eastAsia="zh-CN"/>
              </w:rPr>
              <w:t>是</w:t>
            </w:r>
          </w:p>
        </w:tc>
        <w:tc>
          <w:tcPr>
            <w:tcW w:w="256" w:type="pct"/>
            <w:noWrap w:val="0"/>
            <w:vAlign w:val="center"/>
          </w:tcPr>
          <w:p w14:paraId="3F60F958">
            <w:pPr>
              <w:pStyle w:val="22"/>
              <w:bidi w:val="0"/>
              <w:rPr>
                <w:rFonts w:hint="default"/>
                <w:color w:val="auto"/>
                <w:lang w:val="en-US" w:eastAsia="zh-CN"/>
              </w:rPr>
            </w:pPr>
            <w:r>
              <w:rPr>
                <w:rFonts w:hint="eastAsia"/>
                <w:color w:val="auto"/>
                <w:lang w:val="en-US" w:eastAsia="zh-CN"/>
              </w:rPr>
              <w:t>0.27</w:t>
            </w:r>
          </w:p>
        </w:tc>
        <w:tc>
          <w:tcPr>
            <w:tcW w:w="273" w:type="pct"/>
            <w:noWrap w:val="0"/>
            <w:vAlign w:val="center"/>
          </w:tcPr>
          <w:p w14:paraId="61636411">
            <w:pPr>
              <w:pStyle w:val="22"/>
              <w:bidi w:val="0"/>
              <w:rPr>
                <w:rFonts w:hint="default"/>
                <w:color w:val="auto"/>
                <w:lang w:val="en-US" w:eastAsia="zh-CN"/>
              </w:rPr>
            </w:pPr>
            <w:r>
              <w:rPr>
                <w:rFonts w:hint="eastAsia"/>
                <w:color w:val="auto"/>
                <w:lang w:val="en-US" w:eastAsia="zh-CN"/>
              </w:rPr>
              <w:t>18.75</w:t>
            </w:r>
          </w:p>
        </w:tc>
        <w:tc>
          <w:tcPr>
            <w:tcW w:w="273" w:type="pct"/>
            <w:noWrap w:val="0"/>
            <w:vAlign w:val="center"/>
          </w:tcPr>
          <w:p w14:paraId="60E2B67E">
            <w:pPr>
              <w:pStyle w:val="22"/>
              <w:bidi w:val="0"/>
              <w:rPr>
                <w:rFonts w:hint="default"/>
                <w:color w:val="auto"/>
                <w:lang w:val="en-US" w:eastAsia="zh-CN"/>
              </w:rPr>
            </w:pPr>
            <w:r>
              <w:rPr>
                <w:rFonts w:hint="eastAsia"/>
                <w:color w:val="auto"/>
                <w:lang w:val="en-US" w:eastAsia="zh-CN"/>
              </w:rPr>
              <w:t>0.113</w:t>
            </w:r>
          </w:p>
        </w:tc>
        <w:tc>
          <w:tcPr>
            <w:tcW w:w="291" w:type="pct"/>
            <w:noWrap w:val="0"/>
            <w:vAlign w:val="center"/>
          </w:tcPr>
          <w:p w14:paraId="3AE8B9BA">
            <w:pPr>
              <w:pStyle w:val="22"/>
              <w:bidi w:val="0"/>
              <w:rPr>
                <w:rFonts w:hint="eastAsia"/>
                <w:color w:val="auto"/>
                <w:lang w:val="en-US" w:eastAsia="zh-CN"/>
              </w:rPr>
            </w:pPr>
            <w:r>
              <w:rPr>
                <w:rFonts w:hint="eastAsia"/>
                <w:color w:val="auto"/>
                <w:lang w:val="en-US" w:eastAsia="zh-CN"/>
              </w:rPr>
              <w:t>DA001</w:t>
            </w:r>
          </w:p>
        </w:tc>
        <w:tc>
          <w:tcPr>
            <w:tcW w:w="284" w:type="pct"/>
            <w:noWrap w:val="0"/>
            <w:vAlign w:val="center"/>
          </w:tcPr>
          <w:p w14:paraId="6CB0C870">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0.</w:t>
            </w:r>
            <w:r>
              <w:rPr>
                <w:rFonts w:hint="eastAsia" w:cs="Times New Roman"/>
                <w:b w:val="0"/>
                <w:bCs w:val="0"/>
                <w:color w:val="auto"/>
                <w:sz w:val="21"/>
                <w:szCs w:val="21"/>
                <w:lang w:val="en-US" w:eastAsia="zh-CN"/>
              </w:rPr>
              <w:t>3</w:t>
            </w:r>
          </w:p>
        </w:tc>
        <w:tc>
          <w:tcPr>
            <w:tcW w:w="308" w:type="pct"/>
            <w:noWrap w:val="0"/>
            <w:vAlign w:val="center"/>
          </w:tcPr>
          <w:p w14:paraId="35A645A7">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0.</w:t>
            </w:r>
            <w:r>
              <w:rPr>
                <w:rFonts w:hint="eastAsia" w:cs="Times New Roman"/>
                <w:b w:val="0"/>
                <w:bCs w:val="0"/>
                <w:color w:val="auto"/>
                <w:sz w:val="21"/>
                <w:szCs w:val="21"/>
                <w:lang w:val="en-US" w:eastAsia="zh-CN"/>
              </w:rPr>
              <w:t>125</w:t>
            </w:r>
          </w:p>
        </w:tc>
        <w:tc>
          <w:tcPr>
            <w:tcW w:w="295" w:type="pct"/>
            <w:noWrap w:val="0"/>
            <w:vAlign w:val="center"/>
          </w:tcPr>
          <w:p w14:paraId="339376F4">
            <w:pPr>
              <w:pStyle w:val="22"/>
              <w:bidi w:val="0"/>
              <w:rPr>
                <w:rFonts w:hint="eastAsia"/>
                <w:color w:val="auto"/>
              </w:rPr>
            </w:pPr>
            <w:r>
              <w:rPr>
                <w:rFonts w:hint="eastAsia"/>
                <w:color w:val="auto"/>
                <w:lang w:val="en-US" w:eastAsia="zh-CN"/>
              </w:rPr>
              <w:t>24</w:t>
            </w:r>
            <w:r>
              <w:rPr>
                <w:rFonts w:hint="eastAsia"/>
                <w:color w:val="auto"/>
              </w:rPr>
              <w:t>00</w:t>
            </w:r>
          </w:p>
        </w:tc>
      </w:tr>
      <w:tr w14:paraId="40A32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noWrap w:val="0"/>
            <w:vAlign w:val="center"/>
          </w:tcPr>
          <w:p w14:paraId="1A8538B3">
            <w:pPr>
              <w:pStyle w:val="22"/>
              <w:bidi w:val="0"/>
              <w:rPr>
                <w:rFonts w:hint="default"/>
                <w:color w:val="auto"/>
                <w:lang w:val="en-US" w:eastAsia="zh-CN"/>
              </w:rPr>
            </w:pPr>
            <w:r>
              <w:rPr>
                <w:rFonts w:hint="eastAsia"/>
                <w:color w:val="auto"/>
                <w:lang w:val="en-US" w:eastAsia="zh-CN"/>
              </w:rPr>
              <w:t>危废暂存</w:t>
            </w:r>
          </w:p>
        </w:tc>
        <w:tc>
          <w:tcPr>
            <w:tcW w:w="270" w:type="pct"/>
            <w:noWrap w:val="0"/>
            <w:vAlign w:val="center"/>
          </w:tcPr>
          <w:p w14:paraId="16A28C05">
            <w:pPr>
              <w:pStyle w:val="22"/>
              <w:bidi w:val="0"/>
              <w:rPr>
                <w:rFonts w:hint="eastAsia"/>
                <w:color w:val="auto"/>
                <w:lang w:val="en-US" w:eastAsia="zh-CN"/>
              </w:rPr>
            </w:pPr>
            <w:r>
              <w:rPr>
                <w:rFonts w:hint="eastAsia"/>
                <w:color w:val="auto"/>
                <w:lang w:val="en-US" w:eastAsia="zh-CN"/>
              </w:rPr>
              <w:t>非甲烷总烃</w:t>
            </w:r>
          </w:p>
        </w:tc>
        <w:tc>
          <w:tcPr>
            <w:tcW w:w="295" w:type="pct"/>
            <w:noWrap w:val="0"/>
            <w:vAlign w:val="center"/>
          </w:tcPr>
          <w:p w14:paraId="34353C12">
            <w:pPr>
              <w:pStyle w:val="22"/>
              <w:bidi w:val="0"/>
              <w:rPr>
                <w:rFonts w:hint="default"/>
                <w:color w:val="auto"/>
                <w:lang w:val="en-US" w:eastAsia="zh-CN"/>
              </w:rPr>
            </w:pPr>
            <w:r>
              <w:rPr>
                <w:rFonts w:hint="eastAsia"/>
                <w:color w:val="auto"/>
                <w:lang w:val="en-US" w:eastAsia="zh-CN"/>
              </w:rPr>
              <w:t>500</w:t>
            </w:r>
          </w:p>
        </w:tc>
        <w:tc>
          <w:tcPr>
            <w:tcW w:w="279" w:type="pct"/>
            <w:noWrap w:val="0"/>
            <w:vAlign w:val="center"/>
          </w:tcPr>
          <w:p w14:paraId="419A4BA3">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w:t>
            </w:r>
          </w:p>
        </w:tc>
        <w:tc>
          <w:tcPr>
            <w:tcW w:w="263" w:type="pct"/>
            <w:noWrap w:val="0"/>
            <w:vAlign w:val="center"/>
          </w:tcPr>
          <w:p w14:paraId="6397A764">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w:t>
            </w:r>
          </w:p>
        </w:tc>
        <w:tc>
          <w:tcPr>
            <w:tcW w:w="292" w:type="pct"/>
            <w:noWrap w:val="0"/>
            <w:vAlign w:val="center"/>
          </w:tcPr>
          <w:p w14:paraId="4DAC1649">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p>
        </w:tc>
        <w:tc>
          <w:tcPr>
            <w:tcW w:w="263" w:type="pct"/>
            <w:noWrap w:val="0"/>
            <w:vAlign w:val="center"/>
          </w:tcPr>
          <w:p w14:paraId="054460BA">
            <w:pPr>
              <w:pStyle w:val="22"/>
              <w:bidi w:val="0"/>
              <w:rPr>
                <w:rFonts w:hint="default"/>
                <w:color w:val="auto"/>
                <w:lang w:val="en-US" w:eastAsia="zh-CN"/>
              </w:rPr>
            </w:pPr>
            <w:r>
              <w:rPr>
                <w:rFonts w:hint="eastAsia"/>
                <w:color w:val="auto"/>
                <w:lang w:val="en-US" w:eastAsia="zh-CN"/>
              </w:rPr>
              <w:t>90</w:t>
            </w:r>
          </w:p>
        </w:tc>
        <w:tc>
          <w:tcPr>
            <w:tcW w:w="452" w:type="pct"/>
            <w:noWrap w:val="0"/>
            <w:vAlign w:val="center"/>
          </w:tcPr>
          <w:p w14:paraId="64F04F6B">
            <w:pPr>
              <w:pStyle w:val="22"/>
              <w:bidi w:val="0"/>
              <w:rPr>
                <w:rFonts w:hint="eastAsia"/>
                <w:color w:val="auto"/>
                <w:lang w:val="en-US" w:eastAsia="zh-CN"/>
              </w:rPr>
            </w:pPr>
            <w:r>
              <w:rPr>
                <w:rFonts w:hint="eastAsia"/>
                <w:color w:val="auto"/>
                <w:lang w:val="en-US" w:eastAsia="zh-CN"/>
              </w:rPr>
              <w:t>集气罩+二级活性炭</w:t>
            </w:r>
          </w:p>
        </w:tc>
        <w:tc>
          <w:tcPr>
            <w:tcW w:w="279" w:type="pct"/>
            <w:noWrap w:val="0"/>
            <w:vAlign w:val="center"/>
          </w:tcPr>
          <w:p w14:paraId="3621896B">
            <w:pPr>
              <w:pStyle w:val="22"/>
              <w:bidi w:val="0"/>
              <w:rPr>
                <w:rFonts w:hint="default"/>
                <w:color w:val="auto"/>
                <w:lang w:val="en-US" w:eastAsia="zh-CN"/>
              </w:rPr>
            </w:pPr>
            <w:r>
              <w:rPr>
                <w:rFonts w:hint="eastAsia"/>
                <w:color w:val="auto"/>
                <w:lang w:val="en-US" w:eastAsia="zh-CN"/>
              </w:rPr>
              <w:t>90</w:t>
            </w:r>
          </w:p>
        </w:tc>
        <w:tc>
          <w:tcPr>
            <w:tcW w:w="330" w:type="pct"/>
            <w:noWrap w:val="0"/>
            <w:vAlign w:val="center"/>
          </w:tcPr>
          <w:p w14:paraId="00E8881D">
            <w:pPr>
              <w:pStyle w:val="22"/>
              <w:bidi w:val="0"/>
              <w:rPr>
                <w:rFonts w:hint="eastAsia"/>
                <w:color w:val="auto"/>
                <w:lang w:val="en-US" w:eastAsia="zh-CN"/>
              </w:rPr>
            </w:pPr>
            <w:r>
              <w:rPr>
                <w:rFonts w:hint="eastAsia"/>
                <w:color w:val="auto"/>
                <w:lang w:val="en-US" w:eastAsia="zh-CN"/>
              </w:rPr>
              <w:t>是</w:t>
            </w:r>
          </w:p>
        </w:tc>
        <w:tc>
          <w:tcPr>
            <w:tcW w:w="256" w:type="pct"/>
            <w:noWrap w:val="0"/>
            <w:vAlign w:val="center"/>
          </w:tcPr>
          <w:p w14:paraId="0D2E2793">
            <w:pPr>
              <w:pStyle w:val="22"/>
              <w:bidi w:val="0"/>
              <w:rPr>
                <w:rFonts w:hint="default"/>
                <w:color w:val="auto"/>
                <w:lang w:val="en-US" w:eastAsia="zh-CN"/>
              </w:rPr>
            </w:pPr>
            <w:r>
              <w:rPr>
                <w:rFonts w:hint="eastAsia"/>
                <w:color w:val="auto"/>
                <w:lang w:val="en-US" w:eastAsia="zh-CN"/>
              </w:rPr>
              <w:t>/</w:t>
            </w:r>
          </w:p>
        </w:tc>
        <w:tc>
          <w:tcPr>
            <w:tcW w:w="273" w:type="pct"/>
            <w:noWrap w:val="0"/>
            <w:vAlign w:val="center"/>
          </w:tcPr>
          <w:p w14:paraId="3F26C5FE">
            <w:pPr>
              <w:pStyle w:val="22"/>
              <w:bidi w:val="0"/>
              <w:rPr>
                <w:rFonts w:hint="default"/>
                <w:color w:val="auto"/>
                <w:lang w:val="en-US" w:eastAsia="zh-CN"/>
              </w:rPr>
            </w:pPr>
            <w:r>
              <w:rPr>
                <w:rFonts w:hint="eastAsia"/>
                <w:color w:val="auto"/>
                <w:lang w:val="en-US" w:eastAsia="zh-CN"/>
              </w:rPr>
              <w:t>/</w:t>
            </w:r>
          </w:p>
        </w:tc>
        <w:tc>
          <w:tcPr>
            <w:tcW w:w="273" w:type="pct"/>
            <w:noWrap w:val="0"/>
            <w:vAlign w:val="center"/>
          </w:tcPr>
          <w:p w14:paraId="746787E1">
            <w:pPr>
              <w:pStyle w:val="22"/>
              <w:bidi w:val="0"/>
              <w:rPr>
                <w:rFonts w:hint="default"/>
                <w:color w:val="auto"/>
                <w:lang w:val="en-US" w:eastAsia="zh-CN"/>
              </w:rPr>
            </w:pPr>
            <w:r>
              <w:rPr>
                <w:rFonts w:hint="eastAsia"/>
                <w:color w:val="auto"/>
                <w:lang w:val="en-US" w:eastAsia="zh-CN"/>
              </w:rPr>
              <w:t>/</w:t>
            </w:r>
          </w:p>
        </w:tc>
        <w:tc>
          <w:tcPr>
            <w:tcW w:w="291" w:type="pct"/>
            <w:noWrap w:val="0"/>
            <w:vAlign w:val="center"/>
          </w:tcPr>
          <w:p w14:paraId="3D2224BD">
            <w:pPr>
              <w:pStyle w:val="22"/>
              <w:bidi w:val="0"/>
              <w:rPr>
                <w:rFonts w:hint="eastAsia"/>
                <w:color w:val="auto"/>
                <w:lang w:val="en-US" w:eastAsia="zh-CN"/>
              </w:rPr>
            </w:pPr>
            <w:r>
              <w:rPr>
                <w:rFonts w:hint="eastAsia"/>
                <w:color w:val="auto"/>
                <w:lang w:val="en-US" w:eastAsia="zh-CN"/>
              </w:rPr>
              <w:t>DA001</w:t>
            </w:r>
          </w:p>
        </w:tc>
        <w:tc>
          <w:tcPr>
            <w:tcW w:w="284" w:type="pct"/>
            <w:noWrap w:val="0"/>
            <w:vAlign w:val="center"/>
          </w:tcPr>
          <w:p w14:paraId="4D612EE9">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p>
        </w:tc>
        <w:tc>
          <w:tcPr>
            <w:tcW w:w="308" w:type="pct"/>
            <w:noWrap w:val="0"/>
            <w:vAlign w:val="center"/>
          </w:tcPr>
          <w:p w14:paraId="6C0E1A34">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p>
        </w:tc>
        <w:tc>
          <w:tcPr>
            <w:tcW w:w="295" w:type="pct"/>
            <w:noWrap w:val="0"/>
            <w:vAlign w:val="center"/>
          </w:tcPr>
          <w:p w14:paraId="4555F0A4">
            <w:pPr>
              <w:pStyle w:val="22"/>
              <w:bidi w:val="0"/>
              <w:rPr>
                <w:rFonts w:hint="eastAsia"/>
                <w:color w:val="auto"/>
                <w:lang w:val="en-US" w:eastAsia="zh-CN"/>
              </w:rPr>
            </w:pPr>
            <w:r>
              <w:rPr>
                <w:rFonts w:hint="eastAsia"/>
                <w:color w:val="auto"/>
                <w:lang w:val="en-US" w:eastAsia="zh-CN"/>
              </w:rPr>
              <w:t>24</w:t>
            </w:r>
            <w:r>
              <w:rPr>
                <w:rFonts w:hint="eastAsia"/>
                <w:color w:val="auto"/>
              </w:rPr>
              <w:t>00</w:t>
            </w:r>
          </w:p>
        </w:tc>
      </w:tr>
    </w:tbl>
    <w:p w14:paraId="71E775D0">
      <w:pPr>
        <w:pStyle w:val="21"/>
        <w:bidi w:val="0"/>
        <w:rPr>
          <w:color w:val="auto"/>
        </w:rPr>
      </w:pPr>
      <w:r>
        <w:rPr>
          <w:color w:val="auto"/>
        </w:rPr>
        <w:t>表</w:t>
      </w:r>
      <w:r>
        <w:rPr>
          <w:rFonts w:hint="eastAsia"/>
          <w:color w:val="auto"/>
        </w:rPr>
        <w:t>4-</w:t>
      </w:r>
      <w:r>
        <w:rPr>
          <w:rFonts w:hint="eastAsia"/>
          <w:color w:val="auto"/>
          <w:lang w:val="en-US" w:eastAsia="zh-CN"/>
        </w:rPr>
        <w:t xml:space="preserve">2  </w:t>
      </w:r>
      <w:r>
        <w:rPr>
          <w:rFonts w:hint="eastAsia"/>
          <w:color w:val="auto"/>
        </w:rPr>
        <w:t>本项目无</w:t>
      </w:r>
      <w:r>
        <w:rPr>
          <w:color w:val="auto"/>
        </w:rPr>
        <w:t>组织废气排放基本信息一览表</w:t>
      </w:r>
    </w:p>
    <w:tbl>
      <w:tblPr>
        <w:tblStyle w:val="12"/>
        <w:tblW w:w="51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26"/>
        <w:gridCol w:w="1575"/>
        <w:gridCol w:w="1425"/>
        <w:gridCol w:w="1200"/>
        <w:gridCol w:w="4695"/>
        <w:gridCol w:w="2075"/>
        <w:gridCol w:w="2030"/>
      </w:tblGrid>
      <w:tr w14:paraId="5B0EF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26" w:type="dxa"/>
            <w:vMerge w:val="restart"/>
            <w:noWrap w:val="0"/>
            <w:vAlign w:val="center"/>
          </w:tcPr>
          <w:p w14:paraId="6DEB71DB">
            <w:pPr>
              <w:pStyle w:val="22"/>
              <w:bidi w:val="0"/>
              <w:rPr>
                <w:b/>
                <w:bCs/>
                <w:color w:val="auto"/>
              </w:rPr>
            </w:pPr>
            <w:r>
              <w:rPr>
                <w:b/>
                <w:bCs/>
                <w:color w:val="auto"/>
              </w:rPr>
              <w:t>序号</w:t>
            </w:r>
          </w:p>
        </w:tc>
        <w:tc>
          <w:tcPr>
            <w:tcW w:w="1575" w:type="dxa"/>
            <w:vMerge w:val="restart"/>
            <w:noWrap w:val="0"/>
            <w:vAlign w:val="center"/>
          </w:tcPr>
          <w:p w14:paraId="13661E2A">
            <w:pPr>
              <w:pStyle w:val="22"/>
              <w:bidi w:val="0"/>
              <w:rPr>
                <w:b/>
                <w:bCs/>
                <w:color w:val="auto"/>
              </w:rPr>
            </w:pPr>
            <w:r>
              <w:rPr>
                <w:b/>
                <w:bCs/>
                <w:color w:val="auto"/>
              </w:rPr>
              <w:t>生产设施编号/无组织排放编号</w:t>
            </w:r>
          </w:p>
        </w:tc>
        <w:tc>
          <w:tcPr>
            <w:tcW w:w="1425" w:type="dxa"/>
            <w:vMerge w:val="restart"/>
            <w:noWrap w:val="0"/>
            <w:vAlign w:val="center"/>
          </w:tcPr>
          <w:p w14:paraId="1C0A6B15">
            <w:pPr>
              <w:pStyle w:val="22"/>
              <w:bidi w:val="0"/>
              <w:rPr>
                <w:b/>
                <w:bCs/>
                <w:color w:val="auto"/>
              </w:rPr>
            </w:pPr>
            <w:r>
              <w:rPr>
                <w:b/>
                <w:bCs/>
                <w:color w:val="auto"/>
              </w:rPr>
              <w:t>产污环节</w:t>
            </w:r>
          </w:p>
        </w:tc>
        <w:tc>
          <w:tcPr>
            <w:tcW w:w="1200" w:type="dxa"/>
            <w:vMerge w:val="restart"/>
            <w:noWrap w:val="0"/>
            <w:vAlign w:val="center"/>
          </w:tcPr>
          <w:p w14:paraId="315C7770">
            <w:pPr>
              <w:pStyle w:val="22"/>
              <w:bidi w:val="0"/>
              <w:rPr>
                <w:b/>
                <w:bCs/>
                <w:color w:val="auto"/>
              </w:rPr>
            </w:pPr>
            <w:r>
              <w:rPr>
                <w:b/>
                <w:bCs/>
                <w:color w:val="auto"/>
              </w:rPr>
              <w:t>污染物种类</w:t>
            </w:r>
          </w:p>
        </w:tc>
        <w:tc>
          <w:tcPr>
            <w:tcW w:w="4695" w:type="dxa"/>
            <w:vMerge w:val="restart"/>
            <w:noWrap w:val="0"/>
            <w:vAlign w:val="center"/>
          </w:tcPr>
          <w:p w14:paraId="3D33F161">
            <w:pPr>
              <w:pStyle w:val="22"/>
              <w:bidi w:val="0"/>
              <w:rPr>
                <w:b/>
                <w:bCs/>
                <w:color w:val="auto"/>
              </w:rPr>
            </w:pPr>
            <w:r>
              <w:rPr>
                <w:b/>
                <w:bCs/>
                <w:color w:val="auto"/>
              </w:rPr>
              <w:t>主要污染防治措施</w:t>
            </w:r>
          </w:p>
        </w:tc>
        <w:tc>
          <w:tcPr>
            <w:tcW w:w="4105" w:type="dxa"/>
            <w:gridSpan w:val="2"/>
            <w:noWrap w:val="0"/>
            <w:vAlign w:val="center"/>
          </w:tcPr>
          <w:p w14:paraId="3C13BBFF">
            <w:pPr>
              <w:pStyle w:val="22"/>
              <w:bidi w:val="0"/>
              <w:rPr>
                <w:b/>
                <w:bCs/>
                <w:color w:val="auto"/>
              </w:rPr>
            </w:pPr>
            <w:r>
              <w:rPr>
                <w:b/>
                <w:bCs/>
                <w:color w:val="auto"/>
              </w:rPr>
              <w:t>国家或地方污染物排放标准</w:t>
            </w:r>
          </w:p>
        </w:tc>
      </w:tr>
      <w:tr w14:paraId="2AEF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26" w:type="dxa"/>
            <w:vMerge w:val="continue"/>
            <w:noWrap w:val="0"/>
            <w:vAlign w:val="center"/>
          </w:tcPr>
          <w:p w14:paraId="18977315">
            <w:pPr>
              <w:pStyle w:val="22"/>
              <w:bidi w:val="0"/>
              <w:rPr>
                <w:b/>
                <w:bCs/>
                <w:color w:val="auto"/>
              </w:rPr>
            </w:pPr>
          </w:p>
        </w:tc>
        <w:tc>
          <w:tcPr>
            <w:tcW w:w="1575" w:type="dxa"/>
            <w:vMerge w:val="continue"/>
            <w:noWrap w:val="0"/>
            <w:vAlign w:val="center"/>
          </w:tcPr>
          <w:p w14:paraId="7515E508">
            <w:pPr>
              <w:pStyle w:val="22"/>
              <w:bidi w:val="0"/>
              <w:rPr>
                <w:b/>
                <w:bCs/>
                <w:color w:val="auto"/>
              </w:rPr>
            </w:pPr>
          </w:p>
        </w:tc>
        <w:tc>
          <w:tcPr>
            <w:tcW w:w="1425" w:type="dxa"/>
            <w:vMerge w:val="continue"/>
            <w:noWrap w:val="0"/>
            <w:vAlign w:val="center"/>
          </w:tcPr>
          <w:p w14:paraId="52F33549">
            <w:pPr>
              <w:pStyle w:val="22"/>
              <w:bidi w:val="0"/>
              <w:rPr>
                <w:b/>
                <w:bCs/>
                <w:color w:val="auto"/>
              </w:rPr>
            </w:pPr>
          </w:p>
        </w:tc>
        <w:tc>
          <w:tcPr>
            <w:tcW w:w="1200" w:type="dxa"/>
            <w:vMerge w:val="continue"/>
            <w:noWrap w:val="0"/>
            <w:vAlign w:val="center"/>
          </w:tcPr>
          <w:p w14:paraId="31363F73">
            <w:pPr>
              <w:pStyle w:val="22"/>
              <w:bidi w:val="0"/>
              <w:rPr>
                <w:b/>
                <w:bCs/>
                <w:color w:val="auto"/>
              </w:rPr>
            </w:pPr>
          </w:p>
        </w:tc>
        <w:tc>
          <w:tcPr>
            <w:tcW w:w="4695" w:type="dxa"/>
            <w:vMerge w:val="continue"/>
            <w:noWrap w:val="0"/>
            <w:vAlign w:val="center"/>
          </w:tcPr>
          <w:p w14:paraId="3C311450">
            <w:pPr>
              <w:pStyle w:val="22"/>
              <w:bidi w:val="0"/>
              <w:rPr>
                <w:b/>
                <w:bCs/>
                <w:color w:val="auto"/>
              </w:rPr>
            </w:pPr>
          </w:p>
        </w:tc>
        <w:tc>
          <w:tcPr>
            <w:tcW w:w="2075" w:type="dxa"/>
            <w:noWrap w:val="0"/>
            <w:vAlign w:val="center"/>
          </w:tcPr>
          <w:p w14:paraId="546E10D4">
            <w:pPr>
              <w:pStyle w:val="22"/>
              <w:bidi w:val="0"/>
              <w:rPr>
                <w:b/>
                <w:bCs/>
                <w:color w:val="auto"/>
              </w:rPr>
            </w:pPr>
            <w:r>
              <w:rPr>
                <w:b/>
                <w:bCs/>
                <w:color w:val="auto"/>
              </w:rPr>
              <w:t>名称</w:t>
            </w:r>
          </w:p>
        </w:tc>
        <w:tc>
          <w:tcPr>
            <w:tcW w:w="2030" w:type="dxa"/>
            <w:noWrap w:val="0"/>
            <w:vAlign w:val="center"/>
          </w:tcPr>
          <w:p w14:paraId="11C035E0">
            <w:pPr>
              <w:pStyle w:val="22"/>
              <w:bidi w:val="0"/>
              <w:rPr>
                <w:b/>
                <w:bCs/>
                <w:color w:val="auto"/>
              </w:rPr>
            </w:pPr>
            <w:r>
              <w:rPr>
                <w:b/>
                <w:bCs/>
                <w:color w:val="auto"/>
              </w:rPr>
              <w:t>浓度限值（mg/N</w:t>
            </w:r>
            <w:r>
              <w:rPr>
                <w:rFonts w:hint="eastAsia"/>
                <w:b/>
                <w:bCs/>
                <w:color w:val="auto"/>
                <w:lang w:val="en-US" w:eastAsia="zh-CN"/>
              </w:rPr>
              <w:t>m</w:t>
            </w:r>
            <w:r>
              <w:rPr>
                <w:rFonts w:hint="eastAsia"/>
                <w:b/>
                <w:bCs/>
                <w:color w:val="auto"/>
                <w:vertAlign w:val="superscript"/>
                <w:lang w:val="en-US" w:eastAsia="zh-CN"/>
              </w:rPr>
              <w:t>3</w:t>
            </w:r>
            <w:r>
              <w:rPr>
                <w:b/>
                <w:bCs/>
                <w:color w:val="auto"/>
              </w:rPr>
              <w:t>）</w:t>
            </w:r>
          </w:p>
        </w:tc>
      </w:tr>
      <w:tr w14:paraId="091EF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26" w:type="dxa"/>
            <w:noWrap w:val="0"/>
            <w:vAlign w:val="center"/>
          </w:tcPr>
          <w:p w14:paraId="6765A84F">
            <w:pPr>
              <w:pStyle w:val="22"/>
              <w:bidi w:val="0"/>
              <w:rPr>
                <w:color w:val="auto"/>
              </w:rPr>
            </w:pPr>
            <w:r>
              <w:rPr>
                <w:color w:val="auto"/>
              </w:rPr>
              <w:t>1</w:t>
            </w:r>
          </w:p>
        </w:tc>
        <w:tc>
          <w:tcPr>
            <w:tcW w:w="1575" w:type="dxa"/>
            <w:noWrap w:val="0"/>
            <w:vAlign w:val="center"/>
          </w:tcPr>
          <w:p w14:paraId="242BB731">
            <w:pPr>
              <w:pStyle w:val="22"/>
              <w:bidi w:val="0"/>
              <w:rPr>
                <w:color w:val="auto"/>
              </w:rPr>
            </w:pPr>
            <w:r>
              <w:rPr>
                <w:color w:val="auto"/>
              </w:rPr>
              <w:t>厂界</w:t>
            </w:r>
          </w:p>
        </w:tc>
        <w:tc>
          <w:tcPr>
            <w:tcW w:w="1425" w:type="dxa"/>
            <w:noWrap w:val="0"/>
            <w:vAlign w:val="center"/>
          </w:tcPr>
          <w:p w14:paraId="26E6F88A">
            <w:pPr>
              <w:pStyle w:val="22"/>
              <w:bidi w:val="0"/>
              <w:rPr>
                <w:color w:val="auto"/>
              </w:rPr>
            </w:pPr>
            <w:r>
              <w:rPr>
                <w:color w:val="auto"/>
              </w:rPr>
              <w:t>废气未</w:t>
            </w:r>
            <w:r>
              <w:rPr>
                <w:rFonts w:hint="eastAsia"/>
                <w:color w:val="auto"/>
                <w:lang w:eastAsia="zh-CN"/>
              </w:rPr>
              <w:t>被</w:t>
            </w:r>
            <w:r>
              <w:rPr>
                <w:color w:val="auto"/>
              </w:rPr>
              <w:t>收集</w:t>
            </w:r>
          </w:p>
        </w:tc>
        <w:tc>
          <w:tcPr>
            <w:tcW w:w="1200" w:type="dxa"/>
            <w:noWrap w:val="0"/>
            <w:vAlign w:val="center"/>
          </w:tcPr>
          <w:p w14:paraId="4CB388FD">
            <w:pPr>
              <w:pStyle w:val="22"/>
              <w:bidi w:val="0"/>
              <w:rPr>
                <w:color w:val="auto"/>
              </w:rPr>
            </w:pPr>
            <w:r>
              <w:rPr>
                <w:color w:val="auto"/>
              </w:rPr>
              <w:t>颗粒物</w:t>
            </w:r>
          </w:p>
        </w:tc>
        <w:tc>
          <w:tcPr>
            <w:tcW w:w="4695" w:type="dxa"/>
            <w:noWrap w:val="0"/>
            <w:vAlign w:val="center"/>
          </w:tcPr>
          <w:p w14:paraId="2F37E600">
            <w:pPr>
              <w:pStyle w:val="22"/>
              <w:bidi w:val="0"/>
              <w:rPr>
                <w:color w:val="auto"/>
              </w:rPr>
            </w:pPr>
            <w:r>
              <w:rPr>
                <w:color w:val="auto"/>
              </w:rPr>
              <w:t>密闭车间，提高废气收集效率，地面定期干法清洁</w:t>
            </w:r>
          </w:p>
        </w:tc>
        <w:tc>
          <w:tcPr>
            <w:tcW w:w="2075" w:type="dxa"/>
            <w:noWrap w:val="0"/>
            <w:vAlign w:val="center"/>
          </w:tcPr>
          <w:p w14:paraId="0A3E19EA">
            <w:pPr>
              <w:pStyle w:val="22"/>
              <w:bidi w:val="0"/>
              <w:rPr>
                <w:color w:val="auto"/>
              </w:rPr>
            </w:pPr>
            <w:r>
              <w:rPr>
                <w:rFonts w:hint="eastAsia"/>
                <w:color w:val="auto"/>
              </w:rPr>
              <w:t>GB31572-2015</w:t>
            </w:r>
            <w:r>
              <w:rPr>
                <w:rFonts w:hint="eastAsia"/>
                <w:color w:val="auto"/>
                <w:lang w:eastAsia="zh-CN"/>
              </w:rPr>
              <w:t>，</w:t>
            </w:r>
            <w:r>
              <w:rPr>
                <w:rFonts w:hint="eastAsia"/>
                <w:color w:val="auto"/>
                <w:lang w:val="en-US" w:eastAsia="zh-CN"/>
              </w:rPr>
              <w:t>含2024年修改单</w:t>
            </w:r>
          </w:p>
        </w:tc>
        <w:tc>
          <w:tcPr>
            <w:tcW w:w="2030" w:type="dxa"/>
            <w:noWrap w:val="0"/>
            <w:vAlign w:val="center"/>
          </w:tcPr>
          <w:p w14:paraId="79B9CE52">
            <w:pPr>
              <w:pStyle w:val="22"/>
              <w:bidi w:val="0"/>
              <w:rPr>
                <w:color w:val="auto"/>
              </w:rPr>
            </w:pPr>
            <w:r>
              <w:rPr>
                <w:color w:val="auto"/>
              </w:rPr>
              <w:t>1.0</w:t>
            </w:r>
          </w:p>
        </w:tc>
      </w:tr>
      <w:tr w14:paraId="578AF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26" w:type="dxa"/>
            <w:noWrap w:val="0"/>
            <w:vAlign w:val="center"/>
          </w:tcPr>
          <w:p w14:paraId="1542DDCC">
            <w:pPr>
              <w:pStyle w:val="22"/>
              <w:bidi w:val="0"/>
              <w:rPr>
                <w:color w:val="auto"/>
              </w:rPr>
            </w:pPr>
            <w:r>
              <w:rPr>
                <w:color w:val="auto"/>
              </w:rPr>
              <w:t>2</w:t>
            </w:r>
          </w:p>
        </w:tc>
        <w:tc>
          <w:tcPr>
            <w:tcW w:w="1575" w:type="dxa"/>
            <w:noWrap w:val="0"/>
            <w:vAlign w:val="center"/>
          </w:tcPr>
          <w:p w14:paraId="7FB926DE">
            <w:pPr>
              <w:pStyle w:val="22"/>
              <w:bidi w:val="0"/>
              <w:rPr>
                <w:color w:val="auto"/>
              </w:rPr>
            </w:pPr>
            <w:r>
              <w:rPr>
                <w:color w:val="auto"/>
              </w:rPr>
              <w:t>厂界</w:t>
            </w:r>
          </w:p>
        </w:tc>
        <w:tc>
          <w:tcPr>
            <w:tcW w:w="1425" w:type="dxa"/>
            <w:noWrap w:val="0"/>
            <w:vAlign w:val="center"/>
          </w:tcPr>
          <w:p w14:paraId="0B531694">
            <w:pPr>
              <w:pStyle w:val="22"/>
              <w:bidi w:val="0"/>
              <w:rPr>
                <w:rFonts w:hint="eastAsia"/>
                <w:color w:val="auto"/>
                <w:lang w:eastAsia="zh-CN"/>
              </w:rPr>
            </w:pPr>
            <w:r>
              <w:rPr>
                <w:color w:val="auto"/>
              </w:rPr>
              <w:t>废气未</w:t>
            </w:r>
            <w:r>
              <w:rPr>
                <w:rFonts w:hint="eastAsia"/>
                <w:color w:val="auto"/>
                <w:lang w:eastAsia="zh-CN"/>
              </w:rPr>
              <w:t>被</w:t>
            </w:r>
            <w:r>
              <w:rPr>
                <w:color w:val="auto"/>
              </w:rPr>
              <w:t>收集</w:t>
            </w:r>
          </w:p>
        </w:tc>
        <w:tc>
          <w:tcPr>
            <w:tcW w:w="1200" w:type="dxa"/>
            <w:noWrap w:val="0"/>
            <w:vAlign w:val="center"/>
          </w:tcPr>
          <w:p w14:paraId="30CEA2AD">
            <w:pPr>
              <w:pStyle w:val="22"/>
              <w:bidi w:val="0"/>
              <w:rPr>
                <w:color w:val="auto"/>
              </w:rPr>
            </w:pPr>
            <w:r>
              <w:rPr>
                <w:rFonts w:hint="eastAsia"/>
                <w:color w:val="auto"/>
              </w:rPr>
              <w:t>非甲烷总烃</w:t>
            </w:r>
          </w:p>
        </w:tc>
        <w:tc>
          <w:tcPr>
            <w:tcW w:w="4695" w:type="dxa"/>
            <w:noWrap w:val="0"/>
            <w:vAlign w:val="center"/>
          </w:tcPr>
          <w:p w14:paraId="09ECDFD5">
            <w:pPr>
              <w:pStyle w:val="22"/>
              <w:bidi w:val="0"/>
              <w:rPr>
                <w:rFonts w:hint="default"/>
                <w:color w:val="auto"/>
                <w:lang w:val="en-US" w:eastAsia="zh-CN"/>
              </w:rPr>
            </w:pPr>
            <w:r>
              <w:rPr>
                <w:rFonts w:hint="eastAsia"/>
                <w:color w:val="auto"/>
                <w:lang w:val="en-US" w:eastAsia="zh-CN"/>
              </w:rPr>
              <w:t>加大废气收集效率，减少无组织排放</w:t>
            </w:r>
          </w:p>
        </w:tc>
        <w:tc>
          <w:tcPr>
            <w:tcW w:w="2075" w:type="dxa"/>
            <w:noWrap w:val="0"/>
            <w:vAlign w:val="center"/>
          </w:tcPr>
          <w:p w14:paraId="6F775739">
            <w:pPr>
              <w:pStyle w:val="22"/>
              <w:bidi w:val="0"/>
              <w:rPr>
                <w:rFonts w:hint="default"/>
                <w:color w:val="auto"/>
                <w:lang w:val="en-US" w:eastAsia="zh-CN"/>
              </w:rPr>
            </w:pPr>
            <w:r>
              <w:rPr>
                <w:rFonts w:hint="eastAsia"/>
                <w:color w:val="auto"/>
              </w:rPr>
              <w:t>GB31572-2015</w:t>
            </w:r>
            <w:r>
              <w:rPr>
                <w:rFonts w:hint="eastAsia"/>
                <w:color w:val="auto"/>
                <w:lang w:eastAsia="zh-CN"/>
              </w:rPr>
              <w:t>，</w:t>
            </w:r>
            <w:r>
              <w:rPr>
                <w:rFonts w:hint="eastAsia"/>
                <w:color w:val="auto"/>
                <w:lang w:val="en-US" w:eastAsia="zh-CN"/>
              </w:rPr>
              <w:t>含2024年修改单</w:t>
            </w:r>
          </w:p>
        </w:tc>
        <w:tc>
          <w:tcPr>
            <w:tcW w:w="2030" w:type="dxa"/>
            <w:noWrap w:val="0"/>
            <w:vAlign w:val="center"/>
          </w:tcPr>
          <w:p w14:paraId="05ADA898">
            <w:pPr>
              <w:pStyle w:val="22"/>
              <w:bidi w:val="0"/>
              <w:rPr>
                <w:rFonts w:hint="eastAsia"/>
                <w:color w:val="auto"/>
                <w:lang w:eastAsia="zh-CN"/>
              </w:rPr>
            </w:pPr>
            <w:r>
              <w:rPr>
                <w:rFonts w:hint="eastAsia"/>
                <w:color w:val="auto"/>
                <w:lang w:eastAsia="zh-CN"/>
              </w:rPr>
              <w:t>4.0</w:t>
            </w:r>
          </w:p>
        </w:tc>
      </w:tr>
      <w:tr w14:paraId="658D0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26" w:type="dxa"/>
            <w:noWrap w:val="0"/>
            <w:vAlign w:val="center"/>
          </w:tcPr>
          <w:p w14:paraId="41EEB9BC">
            <w:pPr>
              <w:pStyle w:val="22"/>
              <w:bidi w:val="0"/>
              <w:rPr>
                <w:rFonts w:hint="eastAsia"/>
                <w:color w:val="auto"/>
                <w:lang w:eastAsia="zh-CN"/>
              </w:rPr>
            </w:pPr>
            <w:r>
              <w:rPr>
                <w:rFonts w:hint="eastAsia"/>
                <w:color w:val="auto"/>
                <w:lang w:eastAsia="zh-CN"/>
              </w:rPr>
              <w:t>3</w:t>
            </w:r>
          </w:p>
        </w:tc>
        <w:tc>
          <w:tcPr>
            <w:tcW w:w="1575" w:type="dxa"/>
            <w:noWrap w:val="0"/>
            <w:vAlign w:val="center"/>
          </w:tcPr>
          <w:p w14:paraId="0CDFBA04">
            <w:pPr>
              <w:pStyle w:val="22"/>
              <w:bidi w:val="0"/>
              <w:rPr>
                <w:color w:val="auto"/>
              </w:rPr>
            </w:pPr>
            <w:r>
              <w:rPr>
                <w:rFonts w:hint="eastAsia"/>
                <w:color w:val="auto"/>
              </w:rPr>
              <w:t>厂区内</w:t>
            </w:r>
          </w:p>
        </w:tc>
        <w:tc>
          <w:tcPr>
            <w:tcW w:w="1425" w:type="dxa"/>
            <w:noWrap w:val="0"/>
            <w:vAlign w:val="center"/>
          </w:tcPr>
          <w:p w14:paraId="230F2577">
            <w:pPr>
              <w:pStyle w:val="22"/>
              <w:bidi w:val="0"/>
              <w:rPr>
                <w:rFonts w:hint="default"/>
                <w:color w:val="auto"/>
                <w:lang w:val="en-US" w:eastAsia="zh-CN"/>
              </w:rPr>
            </w:pPr>
            <w:r>
              <w:rPr>
                <w:color w:val="auto"/>
              </w:rPr>
              <w:t>废气未</w:t>
            </w:r>
            <w:r>
              <w:rPr>
                <w:rFonts w:hint="eastAsia"/>
                <w:color w:val="auto"/>
                <w:lang w:eastAsia="zh-CN"/>
              </w:rPr>
              <w:t>被</w:t>
            </w:r>
            <w:r>
              <w:rPr>
                <w:color w:val="auto"/>
              </w:rPr>
              <w:t>收集</w:t>
            </w:r>
          </w:p>
        </w:tc>
        <w:tc>
          <w:tcPr>
            <w:tcW w:w="1200" w:type="dxa"/>
            <w:noWrap w:val="0"/>
            <w:vAlign w:val="center"/>
          </w:tcPr>
          <w:p w14:paraId="32DE5171">
            <w:pPr>
              <w:pStyle w:val="22"/>
              <w:bidi w:val="0"/>
              <w:rPr>
                <w:color w:val="auto"/>
              </w:rPr>
            </w:pPr>
            <w:r>
              <w:rPr>
                <w:rFonts w:hint="eastAsia"/>
                <w:color w:val="auto"/>
              </w:rPr>
              <w:t>非甲烷总烃</w:t>
            </w:r>
          </w:p>
        </w:tc>
        <w:tc>
          <w:tcPr>
            <w:tcW w:w="4695" w:type="dxa"/>
            <w:noWrap w:val="0"/>
            <w:vAlign w:val="center"/>
          </w:tcPr>
          <w:p w14:paraId="66CC16E5">
            <w:pPr>
              <w:pStyle w:val="22"/>
              <w:bidi w:val="0"/>
              <w:rPr>
                <w:rFonts w:hint="eastAsia"/>
                <w:color w:val="auto"/>
                <w:lang w:eastAsia="zh-CN"/>
              </w:rPr>
            </w:pPr>
            <w:r>
              <w:rPr>
                <w:rFonts w:hint="eastAsia"/>
                <w:color w:val="auto"/>
                <w:lang w:val="en-US" w:eastAsia="zh-CN"/>
              </w:rPr>
              <w:t>加大废气收集效率，减少无组织排放</w:t>
            </w:r>
          </w:p>
        </w:tc>
        <w:tc>
          <w:tcPr>
            <w:tcW w:w="2075" w:type="dxa"/>
            <w:noWrap w:val="0"/>
            <w:vAlign w:val="center"/>
          </w:tcPr>
          <w:p w14:paraId="4D5B1AAB">
            <w:pPr>
              <w:pStyle w:val="22"/>
              <w:bidi w:val="0"/>
              <w:rPr>
                <w:color w:val="auto"/>
              </w:rPr>
            </w:pPr>
            <w:r>
              <w:rPr>
                <w:rFonts w:hint="eastAsia"/>
                <w:color w:val="auto"/>
              </w:rPr>
              <w:t>DB34/4812.6-2024</w:t>
            </w:r>
          </w:p>
        </w:tc>
        <w:tc>
          <w:tcPr>
            <w:tcW w:w="2030" w:type="dxa"/>
            <w:noWrap w:val="0"/>
            <w:vAlign w:val="center"/>
          </w:tcPr>
          <w:p w14:paraId="6C7C6137">
            <w:pPr>
              <w:pStyle w:val="22"/>
              <w:bidi w:val="0"/>
              <w:rPr>
                <w:rFonts w:hint="eastAsia"/>
                <w:color w:val="auto"/>
                <w:lang w:eastAsia="zh-CN"/>
              </w:rPr>
            </w:pPr>
            <w:r>
              <w:rPr>
                <w:rFonts w:hint="eastAsia"/>
                <w:color w:val="auto"/>
                <w:lang w:eastAsia="zh-CN"/>
              </w:rPr>
              <w:t>6（1h平均）</w:t>
            </w:r>
          </w:p>
        </w:tc>
      </w:tr>
      <w:tr w14:paraId="4662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26" w:type="dxa"/>
            <w:noWrap w:val="0"/>
            <w:vAlign w:val="center"/>
          </w:tcPr>
          <w:p w14:paraId="2979BF4F">
            <w:pPr>
              <w:pStyle w:val="22"/>
              <w:bidi w:val="0"/>
              <w:rPr>
                <w:rFonts w:hint="eastAsia"/>
                <w:color w:val="auto"/>
                <w:lang w:eastAsia="zh-CN"/>
              </w:rPr>
            </w:pPr>
            <w:r>
              <w:rPr>
                <w:rFonts w:hint="eastAsia"/>
                <w:color w:val="auto"/>
                <w:lang w:eastAsia="zh-CN"/>
              </w:rPr>
              <w:t>4</w:t>
            </w:r>
          </w:p>
        </w:tc>
        <w:tc>
          <w:tcPr>
            <w:tcW w:w="1575" w:type="dxa"/>
            <w:noWrap w:val="0"/>
            <w:vAlign w:val="center"/>
          </w:tcPr>
          <w:p w14:paraId="3BC223AF">
            <w:pPr>
              <w:pStyle w:val="22"/>
              <w:bidi w:val="0"/>
              <w:rPr>
                <w:color w:val="auto"/>
              </w:rPr>
            </w:pPr>
            <w:r>
              <w:rPr>
                <w:rFonts w:hint="eastAsia"/>
                <w:color w:val="auto"/>
              </w:rPr>
              <w:t>厂区内</w:t>
            </w:r>
          </w:p>
        </w:tc>
        <w:tc>
          <w:tcPr>
            <w:tcW w:w="1425" w:type="dxa"/>
            <w:noWrap w:val="0"/>
            <w:vAlign w:val="center"/>
          </w:tcPr>
          <w:p w14:paraId="0EB80B97">
            <w:pPr>
              <w:pStyle w:val="22"/>
              <w:bidi w:val="0"/>
              <w:rPr>
                <w:rFonts w:hint="eastAsia"/>
                <w:color w:val="auto"/>
                <w:lang w:eastAsia="zh-CN"/>
              </w:rPr>
            </w:pPr>
            <w:r>
              <w:rPr>
                <w:color w:val="auto"/>
              </w:rPr>
              <w:t>废气未</w:t>
            </w:r>
            <w:r>
              <w:rPr>
                <w:rFonts w:hint="eastAsia"/>
                <w:color w:val="auto"/>
                <w:lang w:eastAsia="zh-CN"/>
              </w:rPr>
              <w:t>被</w:t>
            </w:r>
            <w:r>
              <w:rPr>
                <w:color w:val="auto"/>
              </w:rPr>
              <w:t>收集</w:t>
            </w:r>
          </w:p>
        </w:tc>
        <w:tc>
          <w:tcPr>
            <w:tcW w:w="1200" w:type="dxa"/>
            <w:noWrap w:val="0"/>
            <w:vAlign w:val="center"/>
          </w:tcPr>
          <w:p w14:paraId="23E9853D">
            <w:pPr>
              <w:pStyle w:val="22"/>
              <w:bidi w:val="0"/>
              <w:rPr>
                <w:color w:val="auto"/>
              </w:rPr>
            </w:pPr>
            <w:r>
              <w:rPr>
                <w:rFonts w:hint="eastAsia"/>
                <w:color w:val="auto"/>
              </w:rPr>
              <w:t>非甲烷总烃</w:t>
            </w:r>
          </w:p>
        </w:tc>
        <w:tc>
          <w:tcPr>
            <w:tcW w:w="4695" w:type="dxa"/>
            <w:noWrap w:val="0"/>
            <w:vAlign w:val="center"/>
          </w:tcPr>
          <w:p w14:paraId="691B1F0A">
            <w:pPr>
              <w:pStyle w:val="22"/>
              <w:bidi w:val="0"/>
              <w:rPr>
                <w:rFonts w:hint="eastAsia"/>
                <w:color w:val="auto"/>
                <w:lang w:eastAsia="zh-CN"/>
              </w:rPr>
            </w:pPr>
            <w:r>
              <w:rPr>
                <w:rFonts w:hint="eastAsia"/>
                <w:color w:val="auto"/>
                <w:lang w:val="en-US" w:eastAsia="zh-CN"/>
              </w:rPr>
              <w:t>加大废气收集效率，减少无组织排放</w:t>
            </w:r>
          </w:p>
        </w:tc>
        <w:tc>
          <w:tcPr>
            <w:tcW w:w="2075" w:type="dxa"/>
            <w:noWrap w:val="0"/>
            <w:vAlign w:val="center"/>
          </w:tcPr>
          <w:p w14:paraId="34713D57">
            <w:pPr>
              <w:pStyle w:val="22"/>
              <w:bidi w:val="0"/>
              <w:rPr>
                <w:color w:val="auto"/>
              </w:rPr>
            </w:pPr>
            <w:r>
              <w:rPr>
                <w:rFonts w:hint="eastAsia"/>
                <w:color w:val="auto"/>
              </w:rPr>
              <w:t>DB34/4812.6-2024</w:t>
            </w:r>
          </w:p>
        </w:tc>
        <w:tc>
          <w:tcPr>
            <w:tcW w:w="2030" w:type="dxa"/>
            <w:noWrap w:val="0"/>
            <w:vAlign w:val="center"/>
          </w:tcPr>
          <w:p w14:paraId="61ED4B07">
            <w:pPr>
              <w:pStyle w:val="22"/>
              <w:bidi w:val="0"/>
              <w:rPr>
                <w:rFonts w:hint="eastAsia"/>
                <w:color w:val="auto"/>
                <w:lang w:eastAsia="zh-CN"/>
              </w:rPr>
            </w:pPr>
            <w:r>
              <w:rPr>
                <w:rFonts w:hint="eastAsia"/>
                <w:color w:val="auto"/>
                <w:lang w:eastAsia="zh-CN"/>
              </w:rPr>
              <w:t>20（任意一次）</w:t>
            </w:r>
          </w:p>
        </w:tc>
      </w:tr>
    </w:tbl>
    <w:p w14:paraId="5D817695">
      <w:pPr>
        <w:pStyle w:val="21"/>
        <w:bidi w:val="0"/>
        <w:rPr>
          <w:color w:val="auto"/>
        </w:rPr>
      </w:pPr>
      <w:r>
        <w:rPr>
          <w:rFonts w:hint="eastAsia"/>
          <w:color w:val="auto"/>
        </w:rPr>
        <w:t>表</w:t>
      </w:r>
      <w:r>
        <w:rPr>
          <w:color w:val="auto"/>
        </w:rPr>
        <w:t>4-</w:t>
      </w:r>
      <w:r>
        <w:rPr>
          <w:rFonts w:hint="eastAsia"/>
          <w:color w:val="auto"/>
          <w:lang w:val="en-US" w:eastAsia="zh-CN"/>
        </w:rPr>
        <w:t>3</w:t>
      </w:r>
      <w:r>
        <w:rPr>
          <w:color w:val="auto"/>
        </w:rPr>
        <w:t xml:space="preserve"> </w:t>
      </w:r>
      <w:r>
        <w:rPr>
          <w:rFonts w:hint="eastAsia"/>
          <w:color w:val="auto"/>
          <w:lang w:val="en-US" w:eastAsia="zh-CN"/>
        </w:rPr>
        <w:t xml:space="preserve"> </w:t>
      </w:r>
      <w:r>
        <w:rPr>
          <w:rFonts w:hint="eastAsia"/>
          <w:color w:val="auto"/>
        </w:rPr>
        <w:t>大气污染源监测计划</w:t>
      </w:r>
    </w:p>
    <w:tbl>
      <w:tblPr>
        <w:tblStyle w:val="12"/>
        <w:tblW w:w="51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46"/>
        <w:gridCol w:w="1205"/>
        <w:gridCol w:w="1759"/>
        <w:gridCol w:w="3120"/>
        <w:gridCol w:w="1339"/>
        <w:gridCol w:w="1361"/>
        <w:gridCol w:w="2711"/>
        <w:gridCol w:w="1495"/>
      </w:tblGrid>
      <w:tr w14:paraId="1C90A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46" w:type="dxa"/>
            <w:noWrap w:val="0"/>
            <w:vAlign w:val="center"/>
          </w:tcPr>
          <w:p w14:paraId="44055BF1">
            <w:pPr>
              <w:pStyle w:val="22"/>
              <w:bidi w:val="0"/>
              <w:rPr>
                <w:b/>
                <w:bCs/>
                <w:color w:val="auto"/>
              </w:rPr>
            </w:pPr>
            <w:r>
              <w:rPr>
                <w:b/>
                <w:bCs/>
                <w:color w:val="auto"/>
              </w:rPr>
              <w:t>序号</w:t>
            </w:r>
          </w:p>
        </w:tc>
        <w:tc>
          <w:tcPr>
            <w:tcW w:w="1205" w:type="dxa"/>
            <w:noWrap w:val="0"/>
            <w:vAlign w:val="center"/>
          </w:tcPr>
          <w:p w14:paraId="175EC417">
            <w:pPr>
              <w:pStyle w:val="22"/>
              <w:bidi w:val="0"/>
              <w:rPr>
                <w:b/>
                <w:bCs/>
                <w:color w:val="auto"/>
              </w:rPr>
            </w:pPr>
            <w:r>
              <w:rPr>
                <w:b/>
                <w:bCs/>
                <w:color w:val="auto"/>
              </w:rPr>
              <w:t>排放口编号/监测点位</w:t>
            </w:r>
          </w:p>
        </w:tc>
        <w:tc>
          <w:tcPr>
            <w:tcW w:w="1759" w:type="dxa"/>
            <w:noWrap w:val="0"/>
            <w:vAlign w:val="center"/>
          </w:tcPr>
          <w:p w14:paraId="18BBECE7">
            <w:pPr>
              <w:pStyle w:val="22"/>
              <w:bidi w:val="0"/>
              <w:rPr>
                <w:b/>
                <w:bCs/>
                <w:color w:val="auto"/>
              </w:rPr>
            </w:pPr>
            <w:r>
              <w:rPr>
                <w:b/>
                <w:bCs/>
                <w:color w:val="auto"/>
              </w:rPr>
              <w:t>排放口名称/监测点位名称</w:t>
            </w:r>
          </w:p>
        </w:tc>
        <w:tc>
          <w:tcPr>
            <w:tcW w:w="3120" w:type="dxa"/>
            <w:noWrap w:val="0"/>
            <w:vAlign w:val="center"/>
          </w:tcPr>
          <w:p w14:paraId="51217FBA">
            <w:pPr>
              <w:pStyle w:val="22"/>
              <w:bidi w:val="0"/>
              <w:rPr>
                <w:b/>
                <w:bCs/>
                <w:color w:val="auto"/>
              </w:rPr>
            </w:pPr>
            <w:r>
              <w:rPr>
                <w:b/>
                <w:bCs/>
                <w:color w:val="auto"/>
              </w:rPr>
              <w:t>监测内容</w:t>
            </w:r>
          </w:p>
        </w:tc>
        <w:tc>
          <w:tcPr>
            <w:tcW w:w="1339" w:type="dxa"/>
            <w:noWrap w:val="0"/>
            <w:vAlign w:val="center"/>
          </w:tcPr>
          <w:p w14:paraId="7961D435">
            <w:pPr>
              <w:pStyle w:val="22"/>
              <w:bidi w:val="0"/>
              <w:rPr>
                <w:b/>
                <w:bCs/>
                <w:color w:val="auto"/>
              </w:rPr>
            </w:pPr>
            <w:r>
              <w:rPr>
                <w:b/>
                <w:bCs/>
                <w:color w:val="auto"/>
              </w:rPr>
              <w:t>污染物名称</w:t>
            </w:r>
          </w:p>
        </w:tc>
        <w:tc>
          <w:tcPr>
            <w:tcW w:w="1361" w:type="dxa"/>
            <w:noWrap w:val="0"/>
            <w:vAlign w:val="center"/>
          </w:tcPr>
          <w:p w14:paraId="3AA1CF89">
            <w:pPr>
              <w:pStyle w:val="22"/>
              <w:bidi w:val="0"/>
              <w:rPr>
                <w:b/>
                <w:bCs/>
                <w:color w:val="auto"/>
              </w:rPr>
            </w:pPr>
            <w:r>
              <w:rPr>
                <w:b/>
                <w:bCs/>
                <w:color w:val="auto"/>
              </w:rPr>
              <w:t>监测频次</w:t>
            </w:r>
          </w:p>
        </w:tc>
        <w:tc>
          <w:tcPr>
            <w:tcW w:w="2711" w:type="dxa"/>
            <w:noWrap w:val="0"/>
            <w:vAlign w:val="center"/>
          </w:tcPr>
          <w:p w14:paraId="58956955">
            <w:pPr>
              <w:pStyle w:val="22"/>
              <w:bidi w:val="0"/>
              <w:rPr>
                <w:b/>
                <w:bCs/>
                <w:color w:val="auto"/>
              </w:rPr>
            </w:pPr>
            <w:r>
              <w:rPr>
                <w:b/>
                <w:bCs/>
                <w:color w:val="auto"/>
              </w:rPr>
              <w:t>执行标准</w:t>
            </w:r>
          </w:p>
        </w:tc>
        <w:tc>
          <w:tcPr>
            <w:tcW w:w="1495" w:type="dxa"/>
            <w:noWrap w:val="0"/>
            <w:vAlign w:val="top"/>
          </w:tcPr>
          <w:p w14:paraId="58BF9121">
            <w:pPr>
              <w:pStyle w:val="22"/>
              <w:bidi w:val="0"/>
              <w:rPr>
                <w:b/>
                <w:bCs/>
                <w:color w:val="auto"/>
              </w:rPr>
            </w:pPr>
            <w:r>
              <w:rPr>
                <w:b/>
                <w:bCs/>
                <w:color w:val="auto"/>
              </w:rPr>
              <w:t>限值</w:t>
            </w:r>
          </w:p>
          <w:p w14:paraId="6B738353">
            <w:pPr>
              <w:pStyle w:val="22"/>
              <w:bidi w:val="0"/>
              <w:rPr>
                <w:b/>
                <w:bCs/>
                <w:color w:val="auto"/>
              </w:rPr>
            </w:pPr>
            <w:r>
              <w:rPr>
                <w:b/>
                <w:bCs/>
                <w:color w:val="auto"/>
              </w:rPr>
              <w:t>（mg/</w:t>
            </w:r>
            <w:r>
              <w:rPr>
                <w:rFonts w:hint="eastAsia"/>
                <w:b/>
                <w:bCs/>
                <w:color w:val="auto"/>
                <w:lang w:val="en-US" w:eastAsia="zh-CN"/>
              </w:rPr>
              <w:t>m</w:t>
            </w:r>
            <w:r>
              <w:rPr>
                <w:rFonts w:hint="eastAsia"/>
                <w:b/>
                <w:bCs/>
                <w:color w:val="auto"/>
                <w:vertAlign w:val="superscript"/>
                <w:lang w:val="en-US" w:eastAsia="zh-CN"/>
              </w:rPr>
              <w:t>3</w:t>
            </w:r>
            <w:r>
              <w:rPr>
                <w:b/>
                <w:bCs/>
                <w:color w:val="auto"/>
              </w:rPr>
              <w:t>）</w:t>
            </w:r>
          </w:p>
        </w:tc>
      </w:tr>
      <w:tr w14:paraId="70E05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46" w:type="dxa"/>
            <w:noWrap w:val="0"/>
            <w:vAlign w:val="center"/>
          </w:tcPr>
          <w:p w14:paraId="5DEF7E4F">
            <w:pPr>
              <w:pStyle w:val="22"/>
              <w:bidi w:val="0"/>
              <w:rPr>
                <w:rFonts w:hint="eastAsia"/>
                <w:color w:val="auto"/>
                <w:lang w:val="en-US" w:eastAsia="zh-CN"/>
              </w:rPr>
            </w:pPr>
            <w:r>
              <w:rPr>
                <w:rFonts w:hint="eastAsia"/>
                <w:color w:val="auto"/>
                <w:lang w:val="en-US" w:eastAsia="zh-CN"/>
              </w:rPr>
              <w:t>1</w:t>
            </w:r>
          </w:p>
        </w:tc>
        <w:tc>
          <w:tcPr>
            <w:tcW w:w="1205" w:type="dxa"/>
            <w:noWrap w:val="0"/>
            <w:vAlign w:val="center"/>
          </w:tcPr>
          <w:p w14:paraId="1B8E8380">
            <w:pPr>
              <w:pStyle w:val="22"/>
              <w:bidi w:val="0"/>
              <w:rPr>
                <w:rFonts w:hint="default"/>
                <w:color w:val="auto"/>
                <w:lang w:val="en-US" w:eastAsia="zh-CN"/>
              </w:rPr>
            </w:pPr>
            <w:r>
              <w:rPr>
                <w:rFonts w:hint="eastAsia"/>
                <w:color w:val="auto"/>
                <w:lang w:val="en-US" w:eastAsia="zh-CN"/>
              </w:rPr>
              <w:t>DA002</w:t>
            </w:r>
          </w:p>
        </w:tc>
        <w:tc>
          <w:tcPr>
            <w:tcW w:w="1759" w:type="dxa"/>
            <w:noWrap w:val="0"/>
            <w:vAlign w:val="center"/>
          </w:tcPr>
          <w:p w14:paraId="760AE4A6">
            <w:pPr>
              <w:pStyle w:val="22"/>
              <w:bidi w:val="0"/>
              <w:rPr>
                <w:rFonts w:hint="default"/>
                <w:color w:val="auto"/>
                <w:lang w:val="en-US" w:eastAsia="zh-CN"/>
              </w:rPr>
            </w:pPr>
            <w:r>
              <w:rPr>
                <w:rFonts w:hint="eastAsia"/>
                <w:color w:val="auto"/>
                <w:lang w:val="en-US" w:eastAsia="zh-CN"/>
              </w:rPr>
              <w:t>有机废气排放口</w:t>
            </w:r>
          </w:p>
        </w:tc>
        <w:tc>
          <w:tcPr>
            <w:tcW w:w="3120" w:type="dxa"/>
            <w:noWrap w:val="0"/>
            <w:vAlign w:val="center"/>
          </w:tcPr>
          <w:p w14:paraId="359E12F5">
            <w:pPr>
              <w:pStyle w:val="22"/>
              <w:bidi w:val="0"/>
              <w:rPr>
                <w:rFonts w:hint="default"/>
                <w:color w:val="auto"/>
                <w:lang w:val="en-US"/>
              </w:rPr>
            </w:pPr>
            <w:r>
              <w:rPr>
                <w:color w:val="auto"/>
                <w:lang w:val="en-US" w:eastAsia="zh-CN"/>
              </w:rPr>
              <w:t>烟气流速</w:t>
            </w:r>
            <w:r>
              <w:rPr>
                <w:rFonts w:hint="eastAsia"/>
                <w:color w:val="auto"/>
                <w:lang w:val="en-US" w:eastAsia="zh-CN"/>
              </w:rPr>
              <w:t>，</w:t>
            </w:r>
            <w:r>
              <w:rPr>
                <w:color w:val="auto"/>
                <w:lang w:val="en-US" w:eastAsia="zh-CN"/>
              </w:rPr>
              <w:t>烟气温度</w:t>
            </w:r>
            <w:r>
              <w:rPr>
                <w:rFonts w:hint="eastAsia"/>
                <w:color w:val="auto"/>
                <w:lang w:val="en-US" w:eastAsia="zh-CN"/>
              </w:rPr>
              <w:t>，</w:t>
            </w:r>
            <w:r>
              <w:rPr>
                <w:color w:val="auto"/>
                <w:lang w:val="en-US" w:eastAsia="zh-CN"/>
              </w:rPr>
              <w:t>烟道截面积</w:t>
            </w:r>
            <w:r>
              <w:rPr>
                <w:rFonts w:hint="eastAsia"/>
                <w:color w:val="auto"/>
                <w:lang w:val="en-US" w:eastAsia="zh-CN"/>
              </w:rPr>
              <w:t>，</w:t>
            </w:r>
            <w:r>
              <w:rPr>
                <w:color w:val="auto"/>
                <w:lang w:val="en-US" w:eastAsia="zh-CN"/>
              </w:rPr>
              <w:t>烟气量</w:t>
            </w:r>
            <w:r>
              <w:rPr>
                <w:rFonts w:hint="eastAsia"/>
                <w:color w:val="auto"/>
                <w:lang w:val="en-US" w:eastAsia="zh-CN"/>
              </w:rPr>
              <w:t>，气压</w:t>
            </w:r>
          </w:p>
        </w:tc>
        <w:tc>
          <w:tcPr>
            <w:tcW w:w="1339" w:type="dxa"/>
            <w:noWrap w:val="0"/>
            <w:vAlign w:val="center"/>
          </w:tcPr>
          <w:p w14:paraId="336DDFDB">
            <w:pPr>
              <w:pStyle w:val="22"/>
              <w:bidi w:val="0"/>
              <w:rPr>
                <w:rFonts w:hint="default"/>
                <w:color w:val="auto"/>
                <w:lang w:val="en-US" w:eastAsia="zh-CN"/>
              </w:rPr>
            </w:pPr>
            <w:r>
              <w:rPr>
                <w:color w:val="auto"/>
              </w:rPr>
              <w:t>颗粒物</w:t>
            </w:r>
          </w:p>
        </w:tc>
        <w:tc>
          <w:tcPr>
            <w:tcW w:w="1361" w:type="dxa"/>
            <w:noWrap w:val="0"/>
            <w:vAlign w:val="center"/>
          </w:tcPr>
          <w:p w14:paraId="4E7076C9">
            <w:pPr>
              <w:pStyle w:val="22"/>
              <w:bidi w:val="0"/>
              <w:rPr>
                <w:color w:val="auto"/>
              </w:rPr>
            </w:pPr>
            <w:r>
              <w:rPr>
                <w:color w:val="auto"/>
              </w:rPr>
              <w:t>1次/年</w:t>
            </w:r>
          </w:p>
        </w:tc>
        <w:tc>
          <w:tcPr>
            <w:tcW w:w="2711" w:type="dxa"/>
            <w:noWrap w:val="0"/>
            <w:vAlign w:val="center"/>
          </w:tcPr>
          <w:p w14:paraId="185F16C1">
            <w:pPr>
              <w:pStyle w:val="22"/>
              <w:bidi w:val="0"/>
              <w:rPr>
                <w:rFonts w:hint="eastAsia"/>
                <w:color w:val="auto"/>
                <w:lang w:eastAsia="zh-CN"/>
              </w:rPr>
            </w:pPr>
            <w:r>
              <w:rPr>
                <w:rFonts w:hint="eastAsia"/>
                <w:color w:val="auto"/>
                <w:lang w:eastAsia="zh-CN"/>
              </w:rPr>
              <w:t>GB31572-2015，</w:t>
            </w:r>
            <w:r>
              <w:rPr>
                <w:rFonts w:hint="eastAsia"/>
                <w:color w:val="auto"/>
                <w:lang w:val="en-US" w:eastAsia="zh-CN"/>
              </w:rPr>
              <w:t>含2024年修改单</w:t>
            </w:r>
          </w:p>
        </w:tc>
        <w:tc>
          <w:tcPr>
            <w:tcW w:w="1495" w:type="dxa"/>
            <w:noWrap w:val="0"/>
            <w:vAlign w:val="center"/>
          </w:tcPr>
          <w:p w14:paraId="78FCDBB0">
            <w:pPr>
              <w:pStyle w:val="22"/>
              <w:bidi w:val="0"/>
              <w:rPr>
                <w:rFonts w:hint="default"/>
                <w:color w:val="auto"/>
                <w:lang w:val="en-US" w:eastAsia="zh-CN"/>
              </w:rPr>
            </w:pPr>
            <w:r>
              <w:rPr>
                <w:rFonts w:hint="eastAsia"/>
                <w:color w:val="auto"/>
                <w:lang w:val="en-US" w:eastAsia="zh-CN"/>
              </w:rPr>
              <w:t>20</w:t>
            </w:r>
          </w:p>
        </w:tc>
      </w:tr>
      <w:tr w14:paraId="3C20F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7" w:hRule="atLeast"/>
          <w:jc w:val="center"/>
        </w:trPr>
        <w:tc>
          <w:tcPr>
            <w:tcW w:w="646" w:type="dxa"/>
            <w:noWrap w:val="0"/>
            <w:vAlign w:val="center"/>
          </w:tcPr>
          <w:p w14:paraId="4D1500E9">
            <w:pPr>
              <w:pStyle w:val="22"/>
              <w:bidi w:val="0"/>
              <w:rPr>
                <w:rFonts w:hint="default"/>
                <w:color w:val="auto"/>
                <w:lang w:val="en-US" w:eastAsia="zh-CN"/>
              </w:rPr>
            </w:pPr>
            <w:r>
              <w:rPr>
                <w:rFonts w:hint="eastAsia"/>
                <w:color w:val="auto"/>
                <w:lang w:val="en-US" w:eastAsia="zh-CN"/>
              </w:rPr>
              <w:t>2</w:t>
            </w:r>
          </w:p>
        </w:tc>
        <w:tc>
          <w:tcPr>
            <w:tcW w:w="1205" w:type="dxa"/>
            <w:noWrap w:val="0"/>
            <w:vAlign w:val="center"/>
          </w:tcPr>
          <w:p w14:paraId="22614D48">
            <w:pPr>
              <w:pStyle w:val="22"/>
              <w:bidi w:val="0"/>
              <w:rPr>
                <w:rFonts w:hint="eastAsia"/>
                <w:color w:val="auto"/>
                <w:lang w:val="en-US" w:eastAsia="zh-CN"/>
              </w:rPr>
            </w:pPr>
            <w:r>
              <w:rPr>
                <w:rFonts w:hint="eastAsia"/>
                <w:color w:val="auto"/>
                <w:lang w:val="en-US" w:eastAsia="zh-CN"/>
              </w:rPr>
              <w:t>DA001</w:t>
            </w:r>
          </w:p>
        </w:tc>
        <w:tc>
          <w:tcPr>
            <w:tcW w:w="1759" w:type="dxa"/>
            <w:noWrap w:val="0"/>
            <w:vAlign w:val="center"/>
          </w:tcPr>
          <w:p w14:paraId="2A3A1FB7">
            <w:pPr>
              <w:pStyle w:val="22"/>
              <w:bidi w:val="0"/>
              <w:rPr>
                <w:rFonts w:hint="default"/>
                <w:color w:val="auto"/>
                <w:lang w:val="en-US" w:eastAsia="zh-CN"/>
              </w:rPr>
            </w:pPr>
            <w:r>
              <w:rPr>
                <w:rFonts w:hint="eastAsia"/>
                <w:color w:val="auto"/>
                <w:lang w:val="en-US" w:eastAsia="zh-CN"/>
              </w:rPr>
              <w:t>颗粒物废气排放口</w:t>
            </w:r>
          </w:p>
        </w:tc>
        <w:tc>
          <w:tcPr>
            <w:tcW w:w="3120" w:type="dxa"/>
            <w:noWrap w:val="0"/>
            <w:vAlign w:val="center"/>
          </w:tcPr>
          <w:p w14:paraId="481DE2EC">
            <w:pPr>
              <w:pStyle w:val="22"/>
              <w:bidi w:val="0"/>
              <w:rPr>
                <w:color w:val="auto"/>
                <w:lang w:val="en-US" w:eastAsia="zh-CN"/>
              </w:rPr>
            </w:pPr>
            <w:r>
              <w:rPr>
                <w:color w:val="auto"/>
                <w:lang w:val="en-US" w:eastAsia="zh-CN"/>
              </w:rPr>
              <w:t>烟气流速</w:t>
            </w:r>
            <w:r>
              <w:rPr>
                <w:rFonts w:hint="eastAsia"/>
                <w:color w:val="auto"/>
                <w:lang w:val="en-US" w:eastAsia="zh-CN"/>
              </w:rPr>
              <w:t>，</w:t>
            </w:r>
            <w:r>
              <w:rPr>
                <w:color w:val="auto"/>
                <w:lang w:val="en-US" w:eastAsia="zh-CN"/>
              </w:rPr>
              <w:t>烟气温度</w:t>
            </w:r>
            <w:r>
              <w:rPr>
                <w:rFonts w:hint="eastAsia"/>
                <w:color w:val="auto"/>
                <w:lang w:val="en-US" w:eastAsia="zh-CN"/>
              </w:rPr>
              <w:t>，</w:t>
            </w:r>
            <w:r>
              <w:rPr>
                <w:color w:val="auto"/>
                <w:lang w:val="en-US" w:eastAsia="zh-CN"/>
              </w:rPr>
              <w:t>烟道截面积</w:t>
            </w:r>
            <w:r>
              <w:rPr>
                <w:rFonts w:hint="eastAsia"/>
                <w:color w:val="auto"/>
                <w:lang w:val="en-US" w:eastAsia="zh-CN"/>
              </w:rPr>
              <w:t>，</w:t>
            </w:r>
            <w:r>
              <w:rPr>
                <w:color w:val="auto"/>
                <w:lang w:val="en-US" w:eastAsia="zh-CN"/>
              </w:rPr>
              <w:t>烟气量</w:t>
            </w:r>
            <w:r>
              <w:rPr>
                <w:rFonts w:hint="eastAsia"/>
                <w:color w:val="auto"/>
                <w:lang w:val="en-US" w:eastAsia="zh-CN"/>
              </w:rPr>
              <w:t>，气压</w:t>
            </w:r>
          </w:p>
        </w:tc>
        <w:tc>
          <w:tcPr>
            <w:tcW w:w="1339" w:type="dxa"/>
            <w:noWrap w:val="0"/>
            <w:vAlign w:val="center"/>
          </w:tcPr>
          <w:p w14:paraId="243A545C">
            <w:pPr>
              <w:pStyle w:val="22"/>
              <w:bidi w:val="0"/>
              <w:rPr>
                <w:rFonts w:hint="eastAsia"/>
                <w:color w:val="auto"/>
                <w:lang w:val="en-US" w:eastAsia="zh-CN"/>
              </w:rPr>
            </w:pPr>
            <w:r>
              <w:rPr>
                <w:rFonts w:hint="eastAsia"/>
                <w:color w:val="auto"/>
                <w:lang w:val="en-US" w:eastAsia="zh-CN"/>
              </w:rPr>
              <w:t>非甲烷总烃</w:t>
            </w:r>
          </w:p>
        </w:tc>
        <w:tc>
          <w:tcPr>
            <w:tcW w:w="1361" w:type="dxa"/>
            <w:noWrap w:val="0"/>
            <w:vAlign w:val="center"/>
          </w:tcPr>
          <w:p w14:paraId="0572E671">
            <w:pPr>
              <w:pStyle w:val="22"/>
              <w:bidi w:val="0"/>
              <w:rPr>
                <w:color w:val="auto"/>
              </w:rPr>
            </w:pPr>
            <w:r>
              <w:rPr>
                <w:color w:val="auto"/>
              </w:rPr>
              <w:t>1次/年</w:t>
            </w:r>
          </w:p>
        </w:tc>
        <w:tc>
          <w:tcPr>
            <w:tcW w:w="2711" w:type="dxa"/>
            <w:noWrap w:val="0"/>
            <w:vAlign w:val="center"/>
          </w:tcPr>
          <w:p w14:paraId="5047D1BA">
            <w:pPr>
              <w:pStyle w:val="22"/>
              <w:bidi w:val="0"/>
              <w:rPr>
                <w:rFonts w:hint="eastAsia"/>
                <w:color w:val="auto"/>
                <w:lang w:val="en-US" w:eastAsia="zh-CN"/>
              </w:rPr>
            </w:pPr>
            <w:r>
              <w:rPr>
                <w:rFonts w:hint="eastAsia"/>
                <w:color w:val="auto"/>
                <w:lang w:val="en-US" w:eastAsia="zh-CN"/>
              </w:rPr>
              <w:t>DB34/4812.6-2024</w:t>
            </w:r>
          </w:p>
        </w:tc>
        <w:tc>
          <w:tcPr>
            <w:tcW w:w="1495" w:type="dxa"/>
            <w:noWrap w:val="0"/>
            <w:vAlign w:val="center"/>
          </w:tcPr>
          <w:p w14:paraId="15392D09">
            <w:pPr>
              <w:pStyle w:val="22"/>
              <w:bidi w:val="0"/>
              <w:rPr>
                <w:rFonts w:hint="default"/>
                <w:color w:val="auto"/>
                <w:lang w:val="en-US" w:eastAsia="zh-CN"/>
              </w:rPr>
            </w:pPr>
            <w:r>
              <w:rPr>
                <w:rFonts w:hint="eastAsia"/>
                <w:color w:val="auto"/>
                <w:lang w:val="en-US" w:eastAsia="zh-CN"/>
              </w:rPr>
              <w:t>40</w:t>
            </w:r>
          </w:p>
        </w:tc>
      </w:tr>
      <w:tr w14:paraId="5B5F9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46" w:type="dxa"/>
            <w:noWrap w:val="0"/>
            <w:vAlign w:val="center"/>
          </w:tcPr>
          <w:p w14:paraId="39622084">
            <w:pPr>
              <w:pStyle w:val="22"/>
              <w:bidi w:val="0"/>
              <w:rPr>
                <w:rFonts w:hint="eastAsia"/>
                <w:color w:val="auto"/>
                <w:lang w:eastAsia="zh-CN"/>
              </w:rPr>
            </w:pPr>
            <w:r>
              <w:rPr>
                <w:rFonts w:hint="eastAsia"/>
                <w:color w:val="auto"/>
                <w:lang w:val="en-US" w:eastAsia="zh-CN"/>
              </w:rPr>
              <w:t>3</w:t>
            </w:r>
          </w:p>
        </w:tc>
        <w:tc>
          <w:tcPr>
            <w:tcW w:w="1205" w:type="dxa"/>
            <w:noWrap w:val="0"/>
            <w:vAlign w:val="center"/>
          </w:tcPr>
          <w:p w14:paraId="75FB1453">
            <w:pPr>
              <w:pStyle w:val="22"/>
              <w:bidi w:val="0"/>
              <w:rPr>
                <w:color w:val="auto"/>
              </w:rPr>
            </w:pPr>
            <w:r>
              <w:rPr>
                <w:color w:val="auto"/>
              </w:rPr>
              <w:t>厂界</w:t>
            </w:r>
          </w:p>
        </w:tc>
        <w:tc>
          <w:tcPr>
            <w:tcW w:w="1759" w:type="dxa"/>
            <w:noWrap w:val="0"/>
            <w:vAlign w:val="center"/>
          </w:tcPr>
          <w:p w14:paraId="20E8B0E1">
            <w:pPr>
              <w:pStyle w:val="22"/>
              <w:bidi w:val="0"/>
              <w:rPr>
                <w:color w:val="auto"/>
              </w:rPr>
            </w:pPr>
            <w:r>
              <w:rPr>
                <w:color w:val="auto"/>
              </w:rPr>
              <w:t>/</w:t>
            </w:r>
          </w:p>
        </w:tc>
        <w:tc>
          <w:tcPr>
            <w:tcW w:w="3120" w:type="dxa"/>
            <w:noWrap w:val="0"/>
            <w:vAlign w:val="center"/>
          </w:tcPr>
          <w:p w14:paraId="19CEE3A7">
            <w:pPr>
              <w:pStyle w:val="22"/>
              <w:bidi w:val="0"/>
              <w:rPr>
                <w:color w:val="auto"/>
              </w:rPr>
            </w:pPr>
            <w:r>
              <w:rPr>
                <w:color w:val="auto"/>
              </w:rPr>
              <w:t>温度</w:t>
            </w:r>
            <w:r>
              <w:rPr>
                <w:rFonts w:hint="eastAsia"/>
                <w:color w:val="auto"/>
                <w:lang w:eastAsia="zh-CN"/>
              </w:rPr>
              <w:t>，</w:t>
            </w:r>
            <w:r>
              <w:rPr>
                <w:color w:val="auto"/>
              </w:rPr>
              <w:t>湿度</w:t>
            </w:r>
            <w:r>
              <w:rPr>
                <w:rFonts w:hint="eastAsia"/>
                <w:color w:val="auto"/>
                <w:lang w:eastAsia="zh-CN"/>
              </w:rPr>
              <w:t>，</w:t>
            </w:r>
            <w:r>
              <w:rPr>
                <w:color w:val="auto"/>
              </w:rPr>
              <w:t>气压</w:t>
            </w:r>
            <w:r>
              <w:rPr>
                <w:rFonts w:hint="eastAsia"/>
                <w:color w:val="auto"/>
                <w:lang w:eastAsia="zh-CN"/>
              </w:rPr>
              <w:t>，</w:t>
            </w:r>
            <w:r>
              <w:rPr>
                <w:color w:val="auto"/>
              </w:rPr>
              <w:t>风速</w:t>
            </w:r>
            <w:r>
              <w:rPr>
                <w:rFonts w:hint="eastAsia"/>
                <w:color w:val="auto"/>
                <w:lang w:eastAsia="zh-CN"/>
              </w:rPr>
              <w:t>，</w:t>
            </w:r>
            <w:r>
              <w:rPr>
                <w:color w:val="auto"/>
              </w:rPr>
              <w:t>风向</w:t>
            </w:r>
          </w:p>
        </w:tc>
        <w:tc>
          <w:tcPr>
            <w:tcW w:w="1339" w:type="dxa"/>
            <w:noWrap w:val="0"/>
            <w:vAlign w:val="center"/>
          </w:tcPr>
          <w:p w14:paraId="46CDC13B">
            <w:pPr>
              <w:pStyle w:val="22"/>
              <w:bidi w:val="0"/>
              <w:rPr>
                <w:color w:val="auto"/>
              </w:rPr>
            </w:pPr>
            <w:r>
              <w:rPr>
                <w:color w:val="auto"/>
              </w:rPr>
              <w:t>颗粒物</w:t>
            </w:r>
          </w:p>
        </w:tc>
        <w:tc>
          <w:tcPr>
            <w:tcW w:w="1361" w:type="dxa"/>
            <w:noWrap w:val="0"/>
            <w:vAlign w:val="center"/>
          </w:tcPr>
          <w:p w14:paraId="7D32516B">
            <w:pPr>
              <w:pStyle w:val="22"/>
              <w:bidi w:val="0"/>
              <w:rPr>
                <w:color w:val="auto"/>
              </w:rPr>
            </w:pPr>
            <w:r>
              <w:rPr>
                <w:color w:val="auto"/>
              </w:rPr>
              <w:t>1次/年</w:t>
            </w:r>
          </w:p>
        </w:tc>
        <w:tc>
          <w:tcPr>
            <w:tcW w:w="2711" w:type="dxa"/>
            <w:noWrap w:val="0"/>
            <w:vAlign w:val="center"/>
          </w:tcPr>
          <w:p w14:paraId="3BEED945">
            <w:pPr>
              <w:pStyle w:val="22"/>
              <w:bidi w:val="0"/>
              <w:rPr>
                <w:color w:val="auto"/>
              </w:rPr>
            </w:pPr>
            <w:r>
              <w:rPr>
                <w:rFonts w:hint="eastAsia"/>
                <w:color w:val="auto"/>
                <w:lang w:eastAsia="zh-CN"/>
              </w:rPr>
              <w:t>GB31572-2015，</w:t>
            </w:r>
            <w:r>
              <w:rPr>
                <w:rFonts w:hint="eastAsia"/>
                <w:color w:val="auto"/>
                <w:lang w:val="en-US" w:eastAsia="zh-CN"/>
              </w:rPr>
              <w:t>含2024年修改单</w:t>
            </w:r>
          </w:p>
        </w:tc>
        <w:tc>
          <w:tcPr>
            <w:tcW w:w="1495" w:type="dxa"/>
            <w:noWrap w:val="0"/>
            <w:vAlign w:val="center"/>
          </w:tcPr>
          <w:p w14:paraId="3D5E130D">
            <w:pPr>
              <w:pStyle w:val="22"/>
              <w:bidi w:val="0"/>
              <w:rPr>
                <w:color w:val="auto"/>
              </w:rPr>
            </w:pPr>
            <w:r>
              <w:rPr>
                <w:color w:val="auto"/>
              </w:rPr>
              <w:t>1.0</w:t>
            </w:r>
          </w:p>
        </w:tc>
      </w:tr>
      <w:tr w14:paraId="096E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46" w:type="dxa"/>
            <w:noWrap w:val="0"/>
            <w:vAlign w:val="center"/>
          </w:tcPr>
          <w:p w14:paraId="3B5CDB27">
            <w:pPr>
              <w:pStyle w:val="22"/>
              <w:bidi w:val="0"/>
              <w:rPr>
                <w:rFonts w:hint="eastAsia"/>
                <w:color w:val="auto"/>
                <w:lang w:val="en-US" w:eastAsia="zh-CN"/>
              </w:rPr>
            </w:pPr>
            <w:r>
              <w:rPr>
                <w:rFonts w:hint="eastAsia"/>
                <w:color w:val="auto"/>
                <w:lang w:val="en-US" w:eastAsia="zh-CN"/>
              </w:rPr>
              <w:t>4</w:t>
            </w:r>
          </w:p>
        </w:tc>
        <w:tc>
          <w:tcPr>
            <w:tcW w:w="1205" w:type="dxa"/>
            <w:noWrap w:val="0"/>
            <w:vAlign w:val="center"/>
          </w:tcPr>
          <w:p w14:paraId="36713C67">
            <w:pPr>
              <w:pStyle w:val="22"/>
              <w:bidi w:val="0"/>
              <w:rPr>
                <w:color w:val="auto"/>
              </w:rPr>
            </w:pPr>
            <w:r>
              <w:rPr>
                <w:color w:val="auto"/>
              </w:rPr>
              <w:t>厂界</w:t>
            </w:r>
          </w:p>
        </w:tc>
        <w:tc>
          <w:tcPr>
            <w:tcW w:w="1759" w:type="dxa"/>
            <w:noWrap w:val="0"/>
            <w:vAlign w:val="center"/>
          </w:tcPr>
          <w:p w14:paraId="2CF3457B">
            <w:pPr>
              <w:pStyle w:val="22"/>
              <w:bidi w:val="0"/>
              <w:rPr>
                <w:rFonts w:hint="default"/>
                <w:color w:val="auto"/>
                <w:lang w:val="en-US" w:eastAsia="zh-CN"/>
              </w:rPr>
            </w:pPr>
            <w:r>
              <w:rPr>
                <w:rFonts w:hint="eastAsia"/>
                <w:color w:val="auto"/>
                <w:lang w:val="en-US" w:eastAsia="zh-CN"/>
              </w:rPr>
              <w:t>/</w:t>
            </w:r>
          </w:p>
        </w:tc>
        <w:tc>
          <w:tcPr>
            <w:tcW w:w="3120" w:type="dxa"/>
            <w:noWrap w:val="0"/>
            <w:vAlign w:val="center"/>
          </w:tcPr>
          <w:p w14:paraId="0731D114">
            <w:pPr>
              <w:pStyle w:val="22"/>
              <w:bidi w:val="0"/>
              <w:rPr>
                <w:color w:val="auto"/>
              </w:rPr>
            </w:pPr>
            <w:r>
              <w:rPr>
                <w:color w:val="auto"/>
              </w:rPr>
              <w:t>温度</w:t>
            </w:r>
            <w:r>
              <w:rPr>
                <w:rFonts w:hint="eastAsia"/>
                <w:color w:val="auto"/>
                <w:lang w:eastAsia="zh-CN"/>
              </w:rPr>
              <w:t>，</w:t>
            </w:r>
            <w:r>
              <w:rPr>
                <w:color w:val="auto"/>
              </w:rPr>
              <w:t>湿度</w:t>
            </w:r>
            <w:r>
              <w:rPr>
                <w:rFonts w:hint="eastAsia"/>
                <w:color w:val="auto"/>
                <w:lang w:eastAsia="zh-CN"/>
              </w:rPr>
              <w:t>，</w:t>
            </w:r>
            <w:r>
              <w:rPr>
                <w:color w:val="auto"/>
              </w:rPr>
              <w:t>气压</w:t>
            </w:r>
            <w:r>
              <w:rPr>
                <w:rFonts w:hint="eastAsia"/>
                <w:color w:val="auto"/>
                <w:lang w:eastAsia="zh-CN"/>
              </w:rPr>
              <w:t>，</w:t>
            </w:r>
            <w:r>
              <w:rPr>
                <w:color w:val="auto"/>
              </w:rPr>
              <w:t>风速</w:t>
            </w:r>
            <w:r>
              <w:rPr>
                <w:rFonts w:hint="eastAsia"/>
                <w:color w:val="auto"/>
                <w:lang w:eastAsia="zh-CN"/>
              </w:rPr>
              <w:t>，</w:t>
            </w:r>
            <w:r>
              <w:rPr>
                <w:color w:val="auto"/>
              </w:rPr>
              <w:t>风向</w:t>
            </w:r>
          </w:p>
        </w:tc>
        <w:tc>
          <w:tcPr>
            <w:tcW w:w="1339" w:type="dxa"/>
            <w:noWrap w:val="0"/>
            <w:vAlign w:val="center"/>
          </w:tcPr>
          <w:p w14:paraId="766606EA">
            <w:pPr>
              <w:pStyle w:val="22"/>
              <w:bidi w:val="0"/>
              <w:rPr>
                <w:rFonts w:hint="eastAsia"/>
                <w:color w:val="auto"/>
              </w:rPr>
            </w:pPr>
            <w:r>
              <w:rPr>
                <w:rFonts w:hint="eastAsia"/>
                <w:color w:val="auto"/>
              </w:rPr>
              <w:t>非甲烷总烃</w:t>
            </w:r>
          </w:p>
        </w:tc>
        <w:tc>
          <w:tcPr>
            <w:tcW w:w="1361" w:type="dxa"/>
            <w:noWrap w:val="0"/>
            <w:vAlign w:val="center"/>
          </w:tcPr>
          <w:p w14:paraId="440F1441">
            <w:pPr>
              <w:pStyle w:val="22"/>
              <w:bidi w:val="0"/>
              <w:rPr>
                <w:color w:val="auto"/>
              </w:rPr>
            </w:pPr>
            <w:r>
              <w:rPr>
                <w:color w:val="auto"/>
              </w:rPr>
              <w:t>1次/年</w:t>
            </w:r>
          </w:p>
        </w:tc>
        <w:tc>
          <w:tcPr>
            <w:tcW w:w="2711" w:type="dxa"/>
            <w:noWrap w:val="0"/>
            <w:vAlign w:val="center"/>
          </w:tcPr>
          <w:p w14:paraId="787A5DFA">
            <w:pPr>
              <w:pStyle w:val="22"/>
              <w:bidi w:val="0"/>
              <w:rPr>
                <w:color w:val="auto"/>
                <w:lang w:eastAsia="zh-CN"/>
              </w:rPr>
            </w:pPr>
            <w:r>
              <w:rPr>
                <w:rFonts w:hint="eastAsia"/>
                <w:color w:val="auto"/>
                <w:lang w:eastAsia="zh-CN"/>
              </w:rPr>
              <w:t>GB31572-2015，</w:t>
            </w:r>
            <w:r>
              <w:rPr>
                <w:rFonts w:hint="eastAsia"/>
                <w:color w:val="auto"/>
                <w:lang w:val="en-US" w:eastAsia="zh-CN"/>
              </w:rPr>
              <w:t>含2024年修改单</w:t>
            </w:r>
          </w:p>
        </w:tc>
        <w:tc>
          <w:tcPr>
            <w:tcW w:w="1495" w:type="dxa"/>
            <w:noWrap w:val="0"/>
            <w:vAlign w:val="center"/>
          </w:tcPr>
          <w:p w14:paraId="1FA3BE7B">
            <w:pPr>
              <w:pStyle w:val="22"/>
              <w:bidi w:val="0"/>
              <w:rPr>
                <w:rFonts w:hint="eastAsia"/>
                <w:color w:val="auto"/>
                <w:lang w:eastAsia="zh-CN"/>
              </w:rPr>
            </w:pPr>
            <w:r>
              <w:rPr>
                <w:rFonts w:hint="eastAsia"/>
                <w:color w:val="auto"/>
                <w:lang w:eastAsia="zh-CN"/>
              </w:rPr>
              <w:t>4.0</w:t>
            </w:r>
          </w:p>
        </w:tc>
      </w:tr>
      <w:tr w14:paraId="352CB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46" w:type="dxa"/>
            <w:noWrap w:val="0"/>
            <w:vAlign w:val="center"/>
          </w:tcPr>
          <w:p w14:paraId="20BF0D12">
            <w:pPr>
              <w:pStyle w:val="22"/>
              <w:bidi w:val="0"/>
              <w:rPr>
                <w:rFonts w:hint="eastAsia"/>
                <w:color w:val="auto"/>
                <w:lang w:eastAsia="zh-CN"/>
              </w:rPr>
            </w:pPr>
            <w:r>
              <w:rPr>
                <w:rFonts w:hint="eastAsia"/>
                <w:color w:val="auto"/>
                <w:lang w:val="en-US" w:eastAsia="zh-CN"/>
              </w:rPr>
              <w:t>5</w:t>
            </w:r>
          </w:p>
        </w:tc>
        <w:tc>
          <w:tcPr>
            <w:tcW w:w="1205" w:type="dxa"/>
            <w:noWrap w:val="0"/>
            <w:vAlign w:val="center"/>
          </w:tcPr>
          <w:p w14:paraId="34D1954F">
            <w:pPr>
              <w:pStyle w:val="22"/>
              <w:bidi w:val="0"/>
              <w:rPr>
                <w:rFonts w:hint="eastAsia"/>
                <w:color w:val="auto"/>
                <w:lang w:eastAsia="zh-CN"/>
              </w:rPr>
            </w:pPr>
            <w:r>
              <w:rPr>
                <w:rFonts w:hint="eastAsia"/>
                <w:color w:val="auto"/>
                <w:lang w:eastAsia="zh-CN"/>
              </w:rPr>
              <w:t>厂区内</w:t>
            </w:r>
          </w:p>
        </w:tc>
        <w:tc>
          <w:tcPr>
            <w:tcW w:w="1759" w:type="dxa"/>
            <w:noWrap w:val="0"/>
            <w:vAlign w:val="center"/>
          </w:tcPr>
          <w:p w14:paraId="176A52C2">
            <w:pPr>
              <w:pStyle w:val="22"/>
              <w:bidi w:val="0"/>
              <w:rPr>
                <w:rFonts w:hint="eastAsia"/>
                <w:color w:val="auto"/>
                <w:lang w:eastAsia="zh-CN"/>
              </w:rPr>
            </w:pPr>
            <w:r>
              <w:rPr>
                <w:rFonts w:hint="eastAsia"/>
                <w:color w:val="auto"/>
                <w:lang w:eastAsia="zh-CN"/>
              </w:rPr>
              <w:t>/</w:t>
            </w:r>
          </w:p>
        </w:tc>
        <w:tc>
          <w:tcPr>
            <w:tcW w:w="3120" w:type="dxa"/>
            <w:noWrap w:val="0"/>
            <w:vAlign w:val="center"/>
          </w:tcPr>
          <w:p w14:paraId="27806FED">
            <w:pPr>
              <w:pStyle w:val="22"/>
              <w:bidi w:val="0"/>
              <w:rPr>
                <w:color w:val="auto"/>
              </w:rPr>
            </w:pPr>
            <w:r>
              <w:rPr>
                <w:color w:val="auto"/>
              </w:rPr>
              <w:t>温度</w:t>
            </w:r>
            <w:r>
              <w:rPr>
                <w:rFonts w:hint="eastAsia"/>
                <w:color w:val="auto"/>
                <w:lang w:eastAsia="zh-CN"/>
              </w:rPr>
              <w:t>，</w:t>
            </w:r>
            <w:r>
              <w:rPr>
                <w:color w:val="auto"/>
              </w:rPr>
              <w:t>湿度</w:t>
            </w:r>
            <w:r>
              <w:rPr>
                <w:rFonts w:hint="eastAsia"/>
                <w:color w:val="auto"/>
                <w:lang w:eastAsia="zh-CN"/>
              </w:rPr>
              <w:t>，</w:t>
            </w:r>
            <w:r>
              <w:rPr>
                <w:color w:val="auto"/>
              </w:rPr>
              <w:t>气压</w:t>
            </w:r>
            <w:r>
              <w:rPr>
                <w:rFonts w:hint="eastAsia"/>
                <w:color w:val="auto"/>
                <w:lang w:eastAsia="zh-CN"/>
              </w:rPr>
              <w:t>，</w:t>
            </w:r>
            <w:r>
              <w:rPr>
                <w:color w:val="auto"/>
              </w:rPr>
              <w:t>风速</w:t>
            </w:r>
            <w:r>
              <w:rPr>
                <w:rFonts w:hint="eastAsia"/>
                <w:color w:val="auto"/>
                <w:lang w:eastAsia="zh-CN"/>
              </w:rPr>
              <w:t>，</w:t>
            </w:r>
            <w:r>
              <w:rPr>
                <w:color w:val="auto"/>
              </w:rPr>
              <w:t>风向</w:t>
            </w:r>
          </w:p>
        </w:tc>
        <w:tc>
          <w:tcPr>
            <w:tcW w:w="1339" w:type="dxa"/>
            <w:noWrap w:val="0"/>
            <w:vAlign w:val="center"/>
          </w:tcPr>
          <w:p w14:paraId="452A343C">
            <w:pPr>
              <w:pStyle w:val="22"/>
              <w:bidi w:val="0"/>
              <w:rPr>
                <w:rFonts w:hint="eastAsia"/>
                <w:color w:val="auto"/>
              </w:rPr>
            </w:pPr>
            <w:r>
              <w:rPr>
                <w:rFonts w:hint="eastAsia"/>
                <w:color w:val="auto"/>
              </w:rPr>
              <w:t>非甲烷总烃</w:t>
            </w:r>
          </w:p>
        </w:tc>
        <w:tc>
          <w:tcPr>
            <w:tcW w:w="1361" w:type="dxa"/>
            <w:noWrap w:val="0"/>
            <w:vAlign w:val="center"/>
          </w:tcPr>
          <w:p w14:paraId="177BD503">
            <w:pPr>
              <w:pStyle w:val="22"/>
              <w:bidi w:val="0"/>
              <w:rPr>
                <w:color w:val="auto"/>
              </w:rPr>
            </w:pPr>
            <w:r>
              <w:rPr>
                <w:color w:val="auto"/>
              </w:rPr>
              <w:t>1次/年</w:t>
            </w:r>
          </w:p>
        </w:tc>
        <w:tc>
          <w:tcPr>
            <w:tcW w:w="2711" w:type="dxa"/>
            <w:noWrap w:val="0"/>
            <w:vAlign w:val="center"/>
          </w:tcPr>
          <w:p w14:paraId="6972A6CA">
            <w:pPr>
              <w:pStyle w:val="22"/>
              <w:bidi w:val="0"/>
              <w:rPr>
                <w:color w:val="auto"/>
                <w:lang w:eastAsia="zh-CN"/>
              </w:rPr>
            </w:pPr>
            <w:r>
              <w:rPr>
                <w:rFonts w:hint="eastAsia"/>
                <w:color w:val="auto"/>
              </w:rPr>
              <w:t>DB34/4812.6-2024</w:t>
            </w:r>
          </w:p>
        </w:tc>
        <w:tc>
          <w:tcPr>
            <w:tcW w:w="1495" w:type="dxa"/>
            <w:noWrap w:val="0"/>
            <w:vAlign w:val="center"/>
          </w:tcPr>
          <w:p w14:paraId="036D5F39">
            <w:pPr>
              <w:pStyle w:val="22"/>
              <w:bidi w:val="0"/>
              <w:rPr>
                <w:color w:val="auto"/>
                <w:lang w:eastAsia="zh-CN"/>
              </w:rPr>
            </w:pPr>
            <w:r>
              <w:rPr>
                <w:color w:val="auto"/>
                <w:lang w:eastAsia="zh-CN"/>
              </w:rPr>
              <w:t>6（1h平均）</w:t>
            </w:r>
            <w:r>
              <w:rPr>
                <w:rFonts w:hint="eastAsia"/>
                <w:color w:val="auto"/>
                <w:lang w:eastAsia="zh-CN"/>
              </w:rPr>
              <w:t>；</w:t>
            </w:r>
          </w:p>
          <w:p w14:paraId="6E336B7C">
            <w:pPr>
              <w:pStyle w:val="22"/>
              <w:bidi w:val="0"/>
              <w:rPr>
                <w:color w:val="auto"/>
                <w:lang w:eastAsia="zh-CN"/>
              </w:rPr>
            </w:pPr>
            <w:r>
              <w:rPr>
                <w:color w:val="auto"/>
                <w:lang w:eastAsia="zh-CN"/>
              </w:rPr>
              <w:t>20（任意一次）</w:t>
            </w:r>
          </w:p>
        </w:tc>
      </w:tr>
    </w:tbl>
    <w:p w14:paraId="2BA71C6F">
      <w:pPr>
        <w:pStyle w:val="26"/>
        <w:bidi w:val="0"/>
        <w:rPr>
          <w:rFonts w:hint="eastAsia"/>
          <w:color w:val="auto"/>
        </w:rPr>
      </w:pPr>
      <w:r>
        <w:rPr>
          <w:rFonts w:hint="eastAsia"/>
          <w:color w:val="auto"/>
        </w:rPr>
        <w:t>*根据《固定污染源排污许可分类管理名录（2</w:t>
      </w:r>
      <w:r>
        <w:rPr>
          <w:color w:val="auto"/>
        </w:rPr>
        <w:t>019</w:t>
      </w:r>
      <w:r>
        <w:rPr>
          <w:rFonts w:hint="eastAsia"/>
          <w:color w:val="auto"/>
        </w:rPr>
        <w:t>版）》，本项目</w:t>
      </w:r>
      <w:r>
        <w:rPr>
          <w:rFonts w:hint="eastAsia"/>
          <w:color w:val="auto"/>
          <w:lang w:val="en-US" w:eastAsia="zh-CN"/>
        </w:rPr>
        <w:t>不涉及通用工序，</w:t>
      </w:r>
      <w:r>
        <w:rPr>
          <w:rFonts w:hint="eastAsia"/>
          <w:color w:val="auto"/>
        </w:rPr>
        <w:t>为登记管理。</w:t>
      </w:r>
    </w:p>
    <w:p w14:paraId="2C56DEF9">
      <w:pPr>
        <w:rPr>
          <w:color w:val="0000FF"/>
        </w:rPr>
        <w:sectPr>
          <w:pgSz w:w="16840" w:h="11907" w:orient="landscape"/>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tbl>
      <w:tblPr>
        <w:tblStyle w:val="12"/>
        <w:tblW w:w="540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9"/>
        <w:gridCol w:w="8511"/>
      </w:tblGrid>
      <w:tr w14:paraId="2B3C79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8" w:type="pct"/>
            <w:noWrap w:val="0"/>
            <w:tcMar>
              <w:left w:w="28" w:type="dxa"/>
              <w:right w:w="28" w:type="dxa"/>
            </w:tcMar>
            <w:vAlign w:val="center"/>
          </w:tcPr>
          <w:p w14:paraId="597FE7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color w:val="0000FF"/>
                <w:szCs w:val="21"/>
              </w:rPr>
            </w:pPr>
            <w:r>
              <w:rPr>
                <w:color w:val="auto"/>
              </w:rPr>
              <w:t>运营期环境影响和保护措施</w:t>
            </w:r>
          </w:p>
        </w:tc>
        <w:tc>
          <w:tcPr>
            <w:tcW w:w="4661" w:type="pct"/>
            <w:noWrap w:val="0"/>
            <w:vAlign w:val="center"/>
          </w:tcPr>
          <w:p w14:paraId="58B4CDAF">
            <w:pPr>
              <w:bidi w:val="0"/>
              <w:rPr>
                <w:color w:val="auto"/>
                <w:lang w:val="en-US" w:eastAsia="zh-CN"/>
              </w:rPr>
            </w:pPr>
            <w:r>
              <w:rPr>
                <w:rFonts w:hint="eastAsia"/>
                <w:color w:val="auto"/>
                <w:lang w:val="en-US" w:eastAsia="zh-CN"/>
              </w:rPr>
              <w:t>本项目废气主要有上料环节产生的上料废气G</w:t>
            </w:r>
            <w:r>
              <w:rPr>
                <w:rFonts w:hint="eastAsia"/>
                <w:color w:val="auto"/>
                <w:vertAlign w:val="subscript"/>
                <w:lang w:val="en-US" w:eastAsia="zh-CN"/>
              </w:rPr>
              <w:t>1</w:t>
            </w:r>
            <w:r>
              <w:rPr>
                <w:rFonts w:hint="eastAsia"/>
                <w:color w:val="auto"/>
                <w:lang w:val="en-US" w:eastAsia="zh-CN"/>
              </w:rPr>
              <w:t>、烘干废气G</w:t>
            </w:r>
            <w:r>
              <w:rPr>
                <w:rFonts w:hint="eastAsia"/>
                <w:color w:val="auto"/>
                <w:vertAlign w:val="subscript"/>
                <w:lang w:val="en-US" w:eastAsia="zh-CN"/>
              </w:rPr>
              <w:t>2</w:t>
            </w:r>
            <w:r>
              <w:rPr>
                <w:rFonts w:hint="eastAsia"/>
                <w:color w:val="auto"/>
                <w:lang w:val="en-US" w:eastAsia="zh-CN"/>
              </w:rPr>
              <w:t>、熔融挤出有机废气G</w:t>
            </w:r>
            <w:r>
              <w:rPr>
                <w:rFonts w:hint="eastAsia"/>
                <w:color w:val="auto"/>
                <w:vertAlign w:val="subscript"/>
                <w:lang w:val="en-US" w:eastAsia="zh-CN"/>
              </w:rPr>
              <w:t>3</w:t>
            </w:r>
            <w:r>
              <w:rPr>
                <w:rFonts w:hint="eastAsia"/>
                <w:color w:val="auto"/>
                <w:vertAlign w:val="baseline"/>
                <w:lang w:val="en-US" w:eastAsia="zh-CN"/>
              </w:rPr>
              <w:t>及边角料不合格品破碎粉尘</w:t>
            </w:r>
            <w:r>
              <w:rPr>
                <w:rFonts w:hint="eastAsia"/>
                <w:color w:val="auto"/>
                <w:lang w:val="en-US" w:eastAsia="zh-CN"/>
              </w:rPr>
              <w:t>，污染物源强核算过程如下：</w:t>
            </w:r>
          </w:p>
          <w:p w14:paraId="180651F9">
            <w:pPr>
              <w:bidi w:val="0"/>
              <w:rPr>
                <w:b/>
                <w:bCs/>
                <w:color w:val="auto"/>
                <w:vertAlign w:val="subscript"/>
              </w:rPr>
            </w:pPr>
            <w:r>
              <w:rPr>
                <w:rFonts w:hint="eastAsia"/>
                <w:b/>
                <w:bCs/>
                <w:color w:val="auto"/>
              </w:rPr>
              <w:t>（1）</w:t>
            </w:r>
            <w:r>
              <w:rPr>
                <w:rFonts w:hint="eastAsia"/>
                <w:b/>
                <w:bCs/>
                <w:color w:val="auto"/>
                <w:lang w:val="en-US" w:eastAsia="zh-CN"/>
              </w:rPr>
              <w:t>上料过程产生粉尘G</w:t>
            </w:r>
            <w:r>
              <w:rPr>
                <w:rFonts w:hint="eastAsia"/>
                <w:b/>
                <w:bCs/>
                <w:color w:val="auto"/>
                <w:vertAlign w:val="subscript"/>
                <w:lang w:val="en-US" w:eastAsia="zh-CN"/>
              </w:rPr>
              <w:t>1</w:t>
            </w:r>
          </w:p>
          <w:p w14:paraId="629D639F">
            <w:pPr>
              <w:widowControl/>
              <w:spacing w:line="360" w:lineRule="auto"/>
              <w:ind w:firstLine="480" w:firstLineChars="200"/>
              <w:jc w:val="left"/>
              <w:rPr>
                <w:rFonts w:hint="eastAsia"/>
                <w:kern w:val="0"/>
                <w:szCs w:val="21"/>
                <w:shd w:val="clear" w:color="auto" w:fill="FFFFFF"/>
              </w:rPr>
            </w:pPr>
            <w:r>
              <w:rPr>
                <w:kern w:val="0"/>
                <w:szCs w:val="21"/>
                <w:shd w:val="clear" w:color="auto" w:fill="FFFFFF"/>
              </w:rPr>
              <w:t>本项目每次上料位于密闭操作间内，</w:t>
            </w:r>
            <w:r>
              <w:rPr>
                <w:rFonts w:hint="eastAsia"/>
                <w:kern w:val="0"/>
                <w:szCs w:val="21"/>
                <w:shd w:val="clear" w:color="auto" w:fill="FFFFFF"/>
              </w:rPr>
              <w:t>计量好后采用人工破袋的方式在</w:t>
            </w:r>
            <w:r>
              <w:rPr>
                <w:rFonts w:hint="eastAsia"/>
                <w:kern w:val="0"/>
                <w:szCs w:val="21"/>
                <w:shd w:val="clear" w:color="auto" w:fill="FFFFFF"/>
                <w:lang w:val="en-US" w:eastAsia="zh-CN"/>
              </w:rPr>
              <w:t>集中供料系统人工投料至料斗内</w:t>
            </w:r>
            <w:r>
              <w:rPr>
                <w:rFonts w:hint="eastAsia"/>
                <w:kern w:val="0"/>
                <w:szCs w:val="21"/>
                <w:shd w:val="clear" w:color="auto" w:fill="FFFFFF"/>
              </w:rPr>
              <w:t>，物料倒入上料机料槽内，料槽三面包围，上方安装集气罩+皮帘收集投料粉尘，混合造粒废气统一处理后经15m排气筒排放（DA00</w:t>
            </w:r>
            <w:r>
              <w:rPr>
                <w:rFonts w:hint="eastAsia"/>
                <w:kern w:val="0"/>
                <w:szCs w:val="21"/>
                <w:shd w:val="clear" w:color="auto" w:fill="FFFFFF"/>
                <w:lang w:val="en-US" w:eastAsia="zh-CN"/>
              </w:rPr>
              <w:t>2</w:t>
            </w:r>
            <w:r>
              <w:rPr>
                <w:rFonts w:hint="eastAsia"/>
                <w:kern w:val="0"/>
                <w:szCs w:val="21"/>
                <w:shd w:val="clear" w:color="auto" w:fill="FFFFFF"/>
              </w:rPr>
              <w:t>）。</w:t>
            </w:r>
            <w:r>
              <w:rPr>
                <w:rFonts w:hint="eastAsia"/>
                <w:szCs w:val="21"/>
              </w:rPr>
              <w:t>配好粉料经密闭管道进入混料机内，密闭混料机将各种原料混合均匀后经密闭输送管道进入挤出机，混料过程密闭。</w:t>
            </w:r>
            <w:r>
              <w:rPr>
                <w:rFonts w:hint="eastAsia"/>
                <w:kern w:val="0"/>
                <w:szCs w:val="21"/>
                <w:shd w:val="clear" w:color="auto" w:fill="FFFFFF"/>
                <w:lang w:val="en-US" w:eastAsia="zh-CN"/>
              </w:rPr>
              <w:t>料斗内物料根据计量配比密闭输送至混料机内密闭混料。</w:t>
            </w:r>
            <w:r>
              <w:rPr>
                <w:rFonts w:hint="eastAsia"/>
                <w:szCs w:val="21"/>
              </w:rPr>
              <w:t>混料过程密闭。上料</w:t>
            </w:r>
            <w:r>
              <w:rPr>
                <w:rFonts w:hint="eastAsia"/>
                <w:szCs w:val="21"/>
                <w:lang w:eastAsia="zh-CN"/>
              </w:rPr>
              <w:t>粉尘</w:t>
            </w:r>
            <w:r>
              <w:rPr>
                <w:kern w:val="0"/>
                <w:szCs w:val="21"/>
                <w:shd w:val="clear" w:color="auto" w:fill="FFFFFF"/>
              </w:rPr>
              <w:t>产生量</w:t>
            </w:r>
            <w:r>
              <w:rPr>
                <w:rFonts w:hint="eastAsia"/>
                <w:kern w:val="0"/>
                <w:szCs w:val="21"/>
                <w:shd w:val="clear" w:color="auto" w:fill="FFFFFF"/>
                <w:lang w:val="en-US" w:eastAsia="zh-CN"/>
              </w:rPr>
              <w:t>根据</w:t>
            </w:r>
            <w:r>
              <w:rPr>
                <w:kern w:val="0"/>
                <w:szCs w:val="21"/>
                <w:shd w:val="clear" w:color="auto" w:fill="FFFFFF"/>
              </w:rPr>
              <w:t>《</w:t>
            </w:r>
            <w:r>
              <w:rPr>
                <w:rFonts w:hint="eastAsia"/>
                <w:kern w:val="0"/>
                <w:szCs w:val="21"/>
                <w:shd w:val="clear" w:color="auto" w:fill="FFFFFF"/>
              </w:rPr>
              <w:t>2922塑料板、管、型材制造行业系数表</w:t>
            </w:r>
            <w:r>
              <w:rPr>
                <w:kern w:val="0"/>
                <w:szCs w:val="21"/>
                <w:shd w:val="clear" w:color="auto" w:fill="FFFFFF"/>
              </w:rPr>
              <w:t>》中</w:t>
            </w:r>
            <w:r>
              <w:rPr>
                <w:rFonts w:hint="eastAsia"/>
                <w:kern w:val="0"/>
                <w:szCs w:val="21"/>
                <w:shd w:val="clear" w:color="auto" w:fill="FFFFFF"/>
              </w:rPr>
              <w:t>“混料-颗粒物6千克/吨-产品”</w:t>
            </w:r>
            <w:r>
              <w:rPr>
                <w:kern w:val="0"/>
                <w:szCs w:val="21"/>
                <w:shd w:val="clear" w:color="auto" w:fill="FFFFFF"/>
              </w:rPr>
              <w:t>，粉尘产生量约为原料总量的</w:t>
            </w:r>
            <w:r>
              <w:rPr>
                <w:rFonts w:hint="eastAsia"/>
                <w:kern w:val="0"/>
                <w:szCs w:val="21"/>
                <w:shd w:val="clear" w:color="auto" w:fill="FFFFFF"/>
              </w:rPr>
              <w:t>0.6%，本项目产品总量为</w:t>
            </w:r>
            <w:r>
              <w:rPr>
                <w:rFonts w:hint="eastAsia"/>
                <w:kern w:val="0"/>
                <w:szCs w:val="21"/>
                <w:shd w:val="clear" w:color="auto" w:fill="FFFFFF"/>
                <w:lang w:val="en-US" w:eastAsia="zh-CN"/>
              </w:rPr>
              <w:t>2000</w:t>
            </w:r>
            <w:r>
              <w:rPr>
                <w:rFonts w:hint="eastAsia"/>
                <w:kern w:val="0"/>
                <w:szCs w:val="21"/>
                <w:shd w:val="clear" w:color="auto" w:fill="FFFFFF"/>
              </w:rPr>
              <w:t>t/a，粉尘产生量约为</w:t>
            </w:r>
            <w:r>
              <w:rPr>
                <w:rFonts w:hint="eastAsia"/>
                <w:kern w:val="0"/>
                <w:szCs w:val="21"/>
                <w:shd w:val="clear" w:color="auto" w:fill="FFFFFF"/>
                <w:lang w:val="en-US" w:eastAsia="zh-CN"/>
              </w:rPr>
              <w:t>12</w:t>
            </w:r>
            <w:r>
              <w:rPr>
                <w:rFonts w:hint="eastAsia"/>
                <w:kern w:val="0"/>
                <w:szCs w:val="21"/>
                <w:shd w:val="clear" w:color="auto" w:fill="FFFFFF"/>
              </w:rPr>
              <w:t>t/a，配料间密闭独立设置，料槽三面包围，上方设置集气罩加皮帘，收集效率为9</w:t>
            </w:r>
            <w:r>
              <w:rPr>
                <w:rFonts w:hint="eastAsia"/>
                <w:kern w:val="0"/>
                <w:szCs w:val="21"/>
                <w:shd w:val="clear" w:color="auto" w:fill="FFFFFF"/>
                <w:lang w:val="en-US" w:eastAsia="zh-CN"/>
              </w:rPr>
              <w:t>0</w:t>
            </w:r>
            <w:r>
              <w:rPr>
                <w:rFonts w:hint="eastAsia"/>
                <w:kern w:val="0"/>
                <w:szCs w:val="21"/>
                <w:shd w:val="clear" w:color="auto" w:fill="FFFFFF"/>
              </w:rPr>
              <w:t>%，布袋除尘器处理效率按照99%计，风机总风量为6000m</w:t>
            </w:r>
            <w:r>
              <w:rPr>
                <w:rFonts w:hint="eastAsia"/>
                <w:kern w:val="0"/>
                <w:szCs w:val="21"/>
                <w:shd w:val="clear" w:color="auto" w:fill="FFFFFF"/>
                <w:vertAlign w:val="superscript"/>
              </w:rPr>
              <w:t>3</w:t>
            </w:r>
            <w:r>
              <w:rPr>
                <w:rFonts w:hint="eastAsia"/>
                <w:kern w:val="0"/>
                <w:szCs w:val="21"/>
                <w:shd w:val="clear" w:color="auto" w:fill="FFFFFF"/>
              </w:rPr>
              <w:t>/h。</w:t>
            </w:r>
            <w:r>
              <w:rPr>
                <w:kern w:val="0"/>
                <w:szCs w:val="21"/>
                <w:shd w:val="clear" w:color="auto" w:fill="FFFFFF"/>
              </w:rPr>
              <w:t>车间密闭，地面定期采取干法清洁。经计算，有组织颗粒物排放量为</w:t>
            </w:r>
            <w:r>
              <w:rPr>
                <w:rFonts w:hint="eastAsia"/>
                <w:kern w:val="0"/>
                <w:szCs w:val="21"/>
                <w:shd w:val="clear" w:color="auto" w:fill="FFFFFF"/>
              </w:rPr>
              <w:t>0.</w:t>
            </w:r>
            <w:r>
              <w:rPr>
                <w:rFonts w:hint="eastAsia"/>
                <w:kern w:val="0"/>
                <w:szCs w:val="21"/>
                <w:shd w:val="clear" w:color="auto" w:fill="FFFFFF"/>
                <w:lang w:val="en-US" w:eastAsia="zh-CN"/>
              </w:rPr>
              <w:t>108</w:t>
            </w:r>
            <w:r>
              <w:rPr>
                <w:rFonts w:hint="eastAsia"/>
                <w:kern w:val="0"/>
                <w:szCs w:val="21"/>
                <w:shd w:val="clear" w:color="auto" w:fill="FFFFFF"/>
              </w:rPr>
              <w:t>t/a、0.</w:t>
            </w:r>
            <w:r>
              <w:rPr>
                <w:rFonts w:hint="eastAsia"/>
                <w:kern w:val="0"/>
                <w:szCs w:val="21"/>
                <w:shd w:val="clear" w:color="auto" w:fill="FFFFFF"/>
                <w:lang w:val="en-US" w:eastAsia="zh-CN"/>
              </w:rPr>
              <w:t>045</w:t>
            </w:r>
            <w:r>
              <w:rPr>
                <w:rFonts w:hint="eastAsia"/>
                <w:kern w:val="0"/>
                <w:szCs w:val="21"/>
                <w:shd w:val="clear" w:color="auto" w:fill="FFFFFF"/>
              </w:rPr>
              <w:t>kg/h，无组织排放量为</w:t>
            </w:r>
            <w:r>
              <w:rPr>
                <w:rFonts w:hint="eastAsia"/>
                <w:kern w:val="0"/>
                <w:szCs w:val="21"/>
                <w:shd w:val="clear" w:color="auto" w:fill="FFFFFF"/>
                <w:lang w:val="en-US" w:eastAsia="zh-CN"/>
              </w:rPr>
              <w:t>1.2</w:t>
            </w:r>
            <w:r>
              <w:rPr>
                <w:rFonts w:hint="eastAsia"/>
                <w:kern w:val="0"/>
                <w:szCs w:val="21"/>
                <w:shd w:val="clear" w:color="auto" w:fill="FFFFFF"/>
              </w:rPr>
              <w:t>t/a、0.</w:t>
            </w:r>
            <w:r>
              <w:rPr>
                <w:rFonts w:hint="eastAsia"/>
                <w:kern w:val="0"/>
                <w:szCs w:val="21"/>
                <w:shd w:val="clear" w:color="auto" w:fill="FFFFFF"/>
                <w:lang w:val="en-US" w:eastAsia="zh-CN"/>
              </w:rPr>
              <w:t>5</w:t>
            </w:r>
            <w:r>
              <w:rPr>
                <w:rFonts w:hint="eastAsia"/>
                <w:kern w:val="0"/>
                <w:szCs w:val="21"/>
                <w:shd w:val="clear" w:color="auto" w:fill="FFFFFF"/>
              </w:rPr>
              <w:t>kg/h。</w:t>
            </w:r>
          </w:p>
          <w:p w14:paraId="4C6CB7B1">
            <w:pPr>
              <w:pStyle w:val="21"/>
              <w:bidi w:val="0"/>
              <w:rPr>
                <w:rFonts w:hint="default"/>
                <w:color w:val="auto"/>
              </w:rPr>
            </w:pPr>
            <w:r>
              <w:rPr>
                <w:rFonts w:hint="default"/>
                <w:color w:val="auto"/>
              </w:rPr>
              <w:t>表</w:t>
            </w:r>
            <w:r>
              <w:rPr>
                <w:rFonts w:hint="default"/>
                <w:color w:val="auto"/>
                <w:lang w:val="en-US" w:eastAsia="zh-CN"/>
              </w:rPr>
              <w:t>4-</w:t>
            </w:r>
            <w:r>
              <w:rPr>
                <w:rFonts w:hint="eastAsia"/>
                <w:color w:val="auto"/>
                <w:lang w:val="en-US" w:eastAsia="zh-CN"/>
              </w:rPr>
              <w:t>4</w:t>
            </w:r>
            <w:r>
              <w:rPr>
                <w:rFonts w:hint="default"/>
                <w:color w:val="auto"/>
              </w:rPr>
              <w:t xml:space="preserve"> </w:t>
            </w:r>
            <w:r>
              <w:rPr>
                <w:rFonts w:hint="eastAsia"/>
                <w:color w:val="auto"/>
                <w:lang w:val="en-US" w:eastAsia="zh-CN"/>
              </w:rPr>
              <w:t xml:space="preserve"> 2922塑料板、管、型材制造行业系数表</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5"/>
              <w:gridCol w:w="846"/>
              <w:gridCol w:w="878"/>
              <w:gridCol w:w="1478"/>
              <w:gridCol w:w="943"/>
              <w:gridCol w:w="859"/>
              <w:gridCol w:w="620"/>
              <w:gridCol w:w="1122"/>
              <w:gridCol w:w="724"/>
            </w:tblGrid>
            <w:tr w14:paraId="28EBB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815" w:type="dxa"/>
                  <w:tcBorders>
                    <w:tl2br w:val="nil"/>
                    <w:tr2bl w:val="nil"/>
                  </w:tcBorders>
                  <w:noWrap w:val="0"/>
                  <w:vAlign w:val="center"/>
                </w:tcPr>
                <w:p w14:paraId="2223D1F9">
                  <w:pPr>
                    <w:pStyle w:val="22"/>
                    <w:bidi w:val="0"/>
                    <w:rPr>
                      <w:rFonts w:hint="default"/>
                      <w:b/>
                      <w:bCs/>
                      <w:color w:val="auto"/>
                      <w:lang w:val="en-US" w:eastAsia="zh-CN"/>
                    </w:rPr>
                  </w:pPr>
                  <w:r>
                    <w:rPr>
                      <w:rFonts w:hint="eastAsia"/>
                      <w:b/>
                      <w:bCs/>
                      <w:color w:val="auto"/>
                      <w:lang w:val="en-US" w:eastAsia="zh-CN"/>
                    </w:rPr>
                    <w:t>工段名称</w:t>
                  </w:r>
                </w:p>
              </w:tc>
              <w:tc>
                <w:tcPr>
                  <w:tcW w:w="846" w:type="dxa"/>
                  <w:tcBorders>
                    <w:tl2br w:val="nil"/>
                    <w:tr2bl w:val="nil"/>
                  </w:tcBorders>
                  <w:noWrap w:val="0"/>
                  <w:vAlign w:val="center"/>
                </w:tcPr>
                <w:p w14:paraId="1F5B7093">
                  <w:pPr>
                    <w:pStyle w:val="22"/>
                    <w:bidi w:val="0"/>
                    <w:rPr>
                      <w:rFonts w:hint="default"/>
                      <w:b/>
                      <w:bCs/>
                      <w:color w:val="auto"/>
                      <w:lang w:val="en-US" w:eastAsia="zh-CN"/>
                    </w:rPr>
                  </w:pPr>
                  <w:r>
                    <w:rPr>
                      <w:rFonts w:hint="eastAsia"/>
                      <w:b/>
                      <w:bCs/>
                      <w:color w:val="auto"/>
                      <w:lang w:val="en-US" w:eastAsia="zh-CN"/>
                    </w:rPr>
                    <w:t>产品名称</w:t>
                  </w:r>
                </w:p>
              </w:tc>
              <w:tc>
                <w:tcPr>
                  <w:tcW w:w="878" w:type="dxa"/>
                  <w:tcBorders>
                    <w:tl2br w:val="nil"/>
                    <w:tr2bl w:val="nil"/>
                  </w:tcBorders>
                  <w:noWrap w:val="0"/>
                  <w:vAlign w:val="center"/>
                </w:tcPr>
                <w:p w14:paraId="7B3C6E9B">
                  <w:pPr>
                    <w:pStyle w:val="22"/>
                    <w:bidi w:val="0"/>
                    <w:rPr>
                      <w:rFonts w:hint="default"/>
                      <w:b/>
                      <w:bCs/>
                      <w:color w:val="auto"/>
                      <w:lang w:val="en-US" w:eastAsia="zh-CN"/>
                    </w:rPr>
                  </w:pPr>
                  <w:r>
                    <w:rPr>
                      <w:rFonts w:hint="eastAsia"/>
                      <w:b/>
                      <w:bCs/>
                      <w:color w:val="auto"/>
                      <w:lang w:val="en-US" w:eastAsia="zh-CN"/>
                    </w:rPr>
                    <w:t>原料名称</w:t>
                  </w:r>
                </w:p>
              </w:tc>
              <w:tc>
                <w:tcPr>
                  <w:tcW w:w="1478" w:type="dxa"/>
                  <w:tcBorders>
                    <w:tl2br w:val="nil"/>
                    <w:tr2bl w:val="nil"/>
                  </w:tcBorders>
                  <w:noWrap w:val="0"/>
                  <w:vAlign w:val="center"/>
                </w:tcPr>
                <w:p w14:paraId="04B2A1E9">
                  <w:pPr>
                    <w:pStyle w:val="22"/>
                    <w:bidi w:val="0"/>
                    <w:rPr>
                      <w:rFonts w:hint="default"/>
                      <w:b/>
                      <w:bCs/>
                      <w:color w:val="auto"/>
                      <w:lang w:val="en-US" w:eastAsia="zh-CN"/>
                    </w:rPr>
                  </w:pPr>
                  <w:r>
                    <w:rPr>
                      <w:rFonts w:hint="eastAsia"/>
                      <w:b/>
                      <w:bCs/>
                      <w:color w:val="auto"/>
                      <w:lang w:val="en-US" w:eastAsia="zh-CN"/>
                    </w:rPr>
                    <w:t>工艺名称</w:t>
                  </w:r>
                </w:p>
              </w:tc>
              <w:tc>
                <w:tcPr>
                  <w:tcW w:w="943" w:type="dxa"/>
                  <w:tcBorders>
                    <w:tl2br w:val="nil"/>
                    <w:tr2bl w:val="nil"/>
                  </w:tcBorders>
                  <w:noWrap w:val="0"/>
                  <w:vAlign w:val="center"/>
                </w:tcPr>
                <w:p w14:paraId="03F0E948">
                  <w:pPr>
                    <w:pStyle w:val="22"/>
                    <w:bidi w:val="0"/>
                    <w:rPr>
                      <w:rFonts w:hint="default"/>
                      <w:b/>
                      <w:bCs/>
                      <w:color w:val="auto"/>
                      <w:lang w:val="en-US" w:eastAsia="zh-CN"/>
                    </w:rPr>
                  </w:pPr>
                  <w:r>
                    <w:rPr>
                      <w:rFonts w:hint="eastAsia"/>
                      <w:b/>
                      <w:bCs/>
                      <w:color w:val="auto"/>
                      <w:lang w:val="en-US" w:eastAsia="zh-CN"/>
                    </w:rPr>
                    <w:t>规模等级</w:t>
                  </w:r>
                </w:p>
              </w:tc>
              <w:tc>
                <w:tcPr>
                  <w:tcW w:w="1479" w:type="dxa"/>
                  <w:gridSpan w:val="2"/>
                  <w:tcBorders>
                    <w:tl2br w:val="nil"/>
                    <w:tr2bl w:val="nil"/>
                  </w:tcBorders>
                  <w:noWrap w:val="0"/>
                  <w:vAlign w:val="center"/>
                </w:tcPr>
                <w:p w14:paraId="453ECD07">
                  <w:pPr>
                    <w:pStyle w:val="22"/>
                    <w:bidi w:val="0"/>
                    <w:rPr>
                      <w:rFonts w:hint="default"/>
                      <w:b/>
                      <w:bCs/>
                      <w:color w:val="auto"/>
                    </w:rPr>
                  </w:pPr>
                  <w:r>
                    <w:rPr>
                      <w:rFonts w:hint="eastAsia"/>
                      <w:b/>
                      <w:bCs/>
                      <w:color w:val="auto"/>
                      <w:lang w:val="en-US" w:eastAsia="zh-CN"/>
                    </w:rPr>
                    <w:t>污染物指标</w:t>
                  </w:r>
                </w:p>
              </w:tc>
              <w:tc>
                <w:tcPr>
                  <w:tcW w:w="1122" w:type="dxa"/>
                  <w:tcBorders>
                    <w:tl2br w:val="nil"/>
                    <w:tr2bl w:val="nil"/>
                  </w:tcBorders>
                  <w:noWrap w:val="0"/>
                  <w:vAlign w:val="center"/>
                </w:tcPr>
                <w:p w14:paraId="7FF64391">
                  <w:pPr>
                    <w:pStyle w:val="22"/>
                    <w:bidi w:val="0"/>
                    <w:rPr>
                      <w:rFonts w:hint="eastAsia"/>
                      <w:b/>
                      <w:bCs/>
                      <w:color w:val="auto"/>
                      <w:lang w:val="en-US" w:eastAsia="zh-CN"/>
                    </w:rPr>
                  </w:pPr>
                  <w:r>
                    <w:rPr>
                      <w:rFonts w:hint="eastAsia"/>
                      <w:b/>
                      <w:bCs/>
                      <w:color w:val="auto"/>
                      <w:lang w:val="en-US" w:eastAsia="zh-CN"/>
                    </w:rPr>
                    <w:t>单位</w:t>
                  </w:r>
                </w:p>
              </w:tc>
              <w:tc>
                <w:tcPr>
                  <w:tcW w:w="724" w:type="dxa"/>
                  <w:tcBorders>
                    <w:tl2br w:val="nil"/>
                    <w:tr2bl w:val="nil"/>
                  </w:tcBorders>
                  <w:noWrap w:val="0"/>
                  <w:vAlign w:val="center"/>
                </w:tcPr>
                <w:p w14:paraId="22EB8593">
                  <w:pPr>
                    <w:pStyle w:val="22"/>
                    <w:bidi w:val="0"/>
                    <w:rPr>
                      <w:rFonts w:hint="default"/>
                      <w:b/>
                      <w:bCs/>
                      <w:color w:val="auto"/>
                      <w:lang w:val="en-US" w:eastAsia="zh-CN"/>
                    </w:rPr>
                  </w:pPr>
                  <w:r>
                    <w:rPr>
                      <w:rFonts w:hint="eastAsia"/>
                      <w:b/>
                      <w:bCs/>
                      <w:color w:val="auto"/>
                      <w:lang w:val="en-US" w:eastAsia="zh-CN"/>
                    </w:rPr>
                    <w:t>产污系数</w:t>
                  </w:r>
                </w:p>
              </w:tc>
            </w:tr>
            <w:tr w14:paraId="2F7B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815" w:type="dxa"/>
                  <w:tcBorders>
                    <w:tl2br w:val="nil"/>
                    <w:tr2bl w:val="nil"/>
                  </w:tcBorders>
                  <w:noWrap w:val="0"/>
                  <w:vAlign w:val="center"/>
                </w:tcPr>
                <w:p w14:paraId="53629415">
                  <w:pPr>
                    <w:pStyle w:val="22"/>
                    <w:bidi w:val="0"/>
                    <w:rPr>
                      <w:rFonts w:hint="default"/>
                      <w:color w:val="auto"/>
                      <w:lang w:val="en-US" w:eastAsia="zh-CN"/>
                    </w:rPr>
                  </w:pPr>
                  <w:r>
                    <w:rPr>
                      <w:rFonts w:hint="eastAsia"/>
                      <w:color w:val="auto"/>
                      <w:lang w:val="en-US" w:eastAsia="zh-CN"/>
                    </w:rPr>
                    <w:t>/</w:t>
                  </w:r>
                </w:p>
              </w:tc>
              <w:tc>
                <w:tcPr>
                  <w:tcW w:w="846" w:type="dxa"/>
                  <w:vMerge w:val="restart"/>
                  <w:tcBorders>
                    <w:tl2br w:val="nil"/>
                    <w:tr2bl w:val="nil"/>
                  </w:tcBorders>
                  <w:noWrap w:val="0"/>
                  <w:vAlign w:val="center"/>
                </w:tcPr>
                <w:p w14:paraId="63C552A3">
                  <w:pPr>
                    <w:pStyle w:val="22"/>
                    <w:bidi w:val="0"/>
                    <w:rPr>
                      <w:rFonts w:hint="default"/>
                      <w:color w:val="auto"/>
                      <w:lang w:val="en-US" w:eastAsia="zh-CN"/>
                    </w:rPr>
                  </w:pPr>
                  <w:r>
                    <w:rPr>
                      <w:rFonts w:ascii="宋体" w:hAnsi="宋体" w:eastAsia="宋体" w:cs="宋体"/>
                      <w:color w:val="auto"/>
                      <w:sz w:val="24"/>
                      <w:szCs w:val="24"/>
                    </w:rPr>
                    <w:t>塑料板、管、 型材</w:t>
                  </w:r>
                </w:p>
              </w:tc>
              <w:tc>
                <w:tcPr>
                  <w:tcW w:w="878" w:type="dxa"/>
                  <w:vMerge w:val="restart"/>
                  <w:tcBorders>
                    <w:tl2br w:val="nil"/>
                    <w:tr2bl w:val="nil"/>
                  </w:tcBorders>
                  <w:noWrap w:val="0"/>
                  <w:vAlign w:val="center"/>
                </w:tcPr>
                <w:p w14:paraId="0CE9A7C0">
                  <w:pPr>
                    <w:pStyle w:val="22"/>
                    <w:bidi w:val="0"/>
                    <w:rPr>
                      <w:rFonts w:hint="default"/>
                      <w:color w:val="auto"/>
                      <w:lang w:val="en-US" w:eastAsia="zh-CN"/>
                    </w:rPr>
                  </w:pPr>
                  <w:r>
                    <w:rPr>
                      <w:rFonts w:ascii="宋体" w:hAnsi="宋体" w:eastAsia="宋体" w:cs="宋体"/>
                      <w:color w:val="auto"/>
                      <w:sz w:val="24"/>
                      <w:szCs w:val="24"/>
                    </w:rPr>
                    <w:t>树脂、助剂</w:t>
                  </w:r>
                </w:p>
              </w:tc>
              <w:tc>
                <w:tcPr>
                  <w:tcW w:w="1478" w:type="dxa"/>
                  <w:vMerge w:val="restart"/>
                  <w:tcBorders>
                    <w:tl2br w:val="nil"/>
                    <w:tr2bl w:val="nil"/>
                  </w:tcBorders>
                  <w:noWrap w:val="0"/>
                  <w:vAlign w:val="center"/>
                </w:tcPr>
                <w:p w14:paraId="139865B6">
                  <w:pPr>
                    <w:pStyle w:val="22"/>
                    <w:bidi w:val="0"/>
                    <w:rPr>
                      <w:rFonts w:hint="default"/>
                      <w:color w:val="auto"/>
                      <w:lang w:val="en-US" w:eastAsia="zh-CN"/>
                    </w:rPr>
                  </w:pPr>
                  <w:r>
                    <w:rPr>
                      <w:rFonts w:ascii="宋体" w:hAnsi="宋体" w:eastAsia="宋体" w:cs="宋体"/>
                      <w:color w:val="auto"/>
                      <w:sz w:val="24"/>
                      <w:szCs w:val="24"/>
                    </w:rPr>
                    <w:t>配料</w:t>
                  </w:r>
                  <w:r>
                    <w:rPr>
                      <w:rFonts w:hint="eastAsia" w:ascii="宋体" w:hAnsi="宋体" w:eastAsia="宋体" w:cs="宋体"/>
                      <w:color w:val="auto"/>
                      <w:sz w:val="24"/>
                      <w:szCs w:val="24"/>
                      <w:lang w:eastAsia="zh-CN"/>
                    </w:rPr>
                    <w:t>、</w:t>
                  </w:r>
                  <w:r>
                    <w:rPr>
                      <w:rFonts w:ascii="宋体" w:hAnsi="宋体" w:eastAsia="宋体" w:cs="宋体"/>
                      <w:color w:val="auto"/>
                      <w:sz w:val="24"/>
                      <w:szCs w:val="24"/>
                    </w:rPr>
                    <w:t>混合</w:t>
                  </w:r>
                  <w:r>
                    <w:rPr>
                      <w:rFonts w:hint="eastAsia" w:ascii="宋体" w:hAnsi="宋体" w:eastAsia="宋体" w:cs="宋体"/>
                      <w:color w:val="auto"/>
                      <w:sz w:val="24"/>
                      <w:szCs w:val="24"/>
                      <w:lang w:eastAsia="zh-CN"/>
                    </w:rPr>
                    <w:t>、</w:t>
                  </w:r>
                  <w:r>
                    <w:rPr>
                      <w:rFonts w:ascii="宋体" w:hAnsi="宋体" w:eastAsia="宋体" w:cs="宋体"/>
                      <w:color w:val="auto"/>
                      <w:sz w:val="24"/>
                      <w:szCs w:val="24"/>
                    </w:rPr>
                    <w:t>挤出</w:t>
                  </w:r>
                </w:p>
              </w:tc>
              <w:tc>
                <w:tcPr>
                  <w:tcW w:w="943" w:type="dxa"/>
                  <w:vMerge w:val="restart"/>
                  <w:tcBorders>
                    <w:tl2br w:val="nil"/>
                    <w:tr2bl w:val="nil"/>
                  </w:tcBorders>
                  <w:noWrap w:val="0"/>
                  <w:vAlign w:val="center"/>
                </w:tcPr>
                <w:p w14:paraId="43788DBD">
                  <w:pPr>
                    <w:pStyle w:val="22"/>
                    <w:bidi w:val="0"/>
                    <w:rPr>
                      <w:rFonts w:hint="eastAsia"/>
                      <w:color w:val="auto"/>
                      <w:lang w:val="en-US" w:eastAsia="zh-CN"/>
                    </w:rPr>
                  </w:pPr>
                  <w:r>
                    <w:rPr>
                      <w:rFonts w:hint="eastAsia"/>
                      <w:color w:val="auto"/>
                      <w:lang w:val="en-US" w:eastAsia="zh-CN"/>
                    </w:rPr>
                    <w:t>所有</w:t>
                  </w:r>
                </w:p>
                <w:p w14:paraId="4A17F167">
                  <w:pPr>
                    <w:pStyle w:val="22"/>
                    <w:bidi w:val="0"/>
                    <w:rPr>
                      <w:rFonts w:hint="default"/>
                      <w:color w:val="auto"/>
                      <w:lang w:val="en-US" w:eastAsia="zh-CN"/>
                    </w:rPr>
                  </w:pPr>
                  <w:r>
                    <w:rPr>
                      <w:rFonts w:hint="eastAsia"/>
                      <w:color w:val="auto"/>
                      <w:lang w:val="en-US" w:eastAsia="zh-CN"/>
                    </w:rPr>
                    <w:t>规模</w:t>
                  </w:r>
                </w:p>
              </w:tc>
              <w:tc>
                <w:tcPr>
                  <w:tcW w:w="859" w:type="dxa"/>
                  <w:vMerge w:val="restart"/>
                  <w:tcBorders>
                    <w:tl2br w:val="nil"/>
                    <w:tr2bl w:val="nil"/>
                  </w:tcBorders>
                  <w:noWrap w:val="0"/>
                  <w:vAlign w:val="center"/>
                </w:tcPr>
                <w:p w14:paraId="6E683575">
                  <w:pPr>
                    <w:pStyle w:val="22"/>
                    <w:bidi w:val="0"/>
                    <w:rPr>
                      <w:rFonts w:hint="default"/>
                      <w:color w:val="auto"/>
                      <w:lang w:val="en-US" w:eastAsia="zh-CN"/>
                    </w:rPr>
                  </w:pPr>
                  <w:r>
                    <w:rPr>
                      <w:rFonts w:hint="eastAsia"/>
                      <w:color w:val="auto"/>
                      <w:lang w:val="en-US" w:eastAsia="zh-CN"/>
                    </w:rPr>
                    <w:t>废气</w:t>
                  </w:r>
                </w:p>
              </w:tc>
              <w:tc>
                <w:tcPr>
                  <w:tcW w:w="620" w:type="dxa"/>
                  <w:tcBorders>
                    <w:tl2br w:val="nil"/>
                    <w:tr2bl w:val="nil"/>
                  </w:tcBorders>
                  <w:noWrap w:val="0"/>
                  <w:vAlign w:val="center"/>
                </w:tcPr>
                <w:p w14:paraId="7CCD11D8">
                  <w:pPr>
                    <w:pStyle w:val="22"/>
                    <w:bidi w:val="0"/>
                    <w:rPr>
                      <w:rFonts w:hint="default"/>
                      <w:color w:val="auto"/>
                      <w:lang w:val="en-US" w:eastAsia="zh-CN"/>
                    </w:rPr>
                  </w:pPr>
                  <w:r>
                    <w:rPr>
                      <w:rFonts w:hint="eastAsia"/>
                      <w:color w:val="auto"/>
                      <w:lang w:val="en-US" w:eastAsia="zh-CN"/>
                    </w:rPr>
                    <w:t>颗粒物</w:t>
                  </w:r>
                </w:p>
              </w:tc>
              <w:tc>
                <w:tcPr>
                  <w:tcW w:w="1122" w:type="dxa"/>
                  <w:tcBorders>
                    <w:tl2br w:val="nil"/>
                    <w:tr2bl w:val="nil"/>
                  </w:tcBorders>
                  <w:noWrap w:val="0"/>
                  <w:vAlign w:val="center"/>
                </w:tcPr>
                <w:p w14:paraId="73FD0C57">
                  <w:pPr>
                    <w:pStyle w:val="22"/>
                    <w:bidi w:val="0"/>
                    <w:rPr>
                      <w:rFonts w:hint="default"/>
                      <w:color w:val="auto"/>
                      <w:lang w:val="en-US" w:eastAsia="zh-CN"/>
                    </w:rPr>
                  </w:pPr>
                  <w:r>
                    <w:rPr>
                      <w:rFonts w:hint="eastAsia"/>
                      <w:color w:val="auto"/>
                      <w:lang w:val="en-US" w:eastAsia="zh-CN"/>
                    </w:rPr>
                    <w:t>千克/吨-原料</w:t>
                  </w:r>
                </w:p>
              </w:tc>
              <w:tc>
                <w:tcPr>
                  <w:tcW w:w="724" w:type="dxa"/>
                  <w:tcBorders>
                    <w:tl2br w:val="nil"/>
                    <w:tr2bl w:val="nil"/>
                  </w:tcBorders>
                  <w:noWrap w:val="0"/>
                  <w:vAlign w:val="center"/>
                </w:tcPr>
                <w:p w14:paraId="056939C1">
                  <w:pPr>
                    <w:pStyle w:val="22"/>
                    <w:bidi w:val="0"/>
                    <w:rPr>
                      <w:rFonts w:hint="default"/>
                      <w:color w:val="auto"/>
                      <w:lang w:val="en-US" w:eastAsia="zh-CN"/>
                    </w:rPr>
                  </w:pPr>
                  <w:r>
                    <w:rPr>
                      <w:rFonts w:hint="eastAsia"/>
                      <w:color w:val="auto"/>
                      <w:lang w:val="en-US" w:eastAsia="zh-CN"/>
                    </w:rPr>
                    <w:t>6</w:t>
                  </w:r>
                </w:p>
              </w:tc>
            </w:tr>
            <w:tr w14:paraId="34C27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815" w:type="dxa"/>
                  <w:tcBorders>
                    <w:tl2br w:val="nil"/>
                    <w:tr2bl w:val="nil"/>
                  </w:tcBorders>
                  <w:noWrap w:val="0"/>
                  <w:vAlign w:val="center"/>
                </w:tcPr>
                <w:p w14:paraId="45FB8F52">
                  <w:pPr>
                    <w:pStyle w:val="22"/>
                    <w:bidi w:val="0"/>
                    <w:rPr>
                      <w:rFonts w:hint="default"/>
                      <w:color w:val="0000FF"/>
                      <w:lang w:val="en-US" w:eastAsia="zh-CN"/>
                    </w:rPr>
                  </w:pPr>
                  <w:r>
                    <w:rPr>
                      <w:rFonts w:hint="eastAsia"/>
                      <w:color w:val="0000FF"/>
                      <w:lang w:val="en-US" w:eastAsia="zh-CN"/>
                    </w:rPr>
                    <w:t>/</w:t>
                  </w:r>
                </w:p>
              </w:tc>
              <w:tc>
                <w:tcPr>
                  <w:tcW w:w="846" w:type="dxa"/>
                  <w:vMerge w:val="continue"/>
                  <w:tcBorders>
                    <w:tl2br w:val="nil"/>
                    <w:tr2bl w:val="nil"/>
                  </w:tcBorders>
                  <w:noWrap w:val="0"/>
                  <w:vAlign w:val="center"/>
                </w:tcPr>
                <w:p w14:paraId="0B3F2388">
                  <w:pPr>
                    <w:pStyle w:val="22"/>
                    <w:bidi w:val="0"/>
                    <w:rPr>
                      <w:rFonts w:ascii="宋体" w:hAnsi="宋体" w:eastAsia="宋体" w:cs="宋体"/>
                      <w:sz w:val="24"/>
                      <w:szCs w:val="24"/>
                    </w:rPr>
                  </w:pPr>
                </w:p>
              </w:tc>
              <w:tc>
                <w:tcPr>
                  <w:tcW w:w="878" w:type="dxa"/>
                  <w:vMerge w:val="continue"/>
                  <w:tcBorders>
                    <w:tl2br w:val="nil"/>
                    <w:tr2bl w:val="nil"/>
                  </w:tcBorders>
                  <w:noWrap w:val="0"/>
                  <w:vAlign w:val="center"/>
                </w:tcPr>
                <w:p w14:paraId="03197400">
                  <w:pPr>
                    <w:pStyle w:val="22"/>
                    <w:bidi w:val="0"/>
                    <w:rPr>
                      <w:rFonts w:ascii="宋体" w:hAnsi="宋体" w:eastAsia="宋体" w:cs="宋体"/>
                      <w:sz w:val="24"/>
                      <w:szCs w:val="24"/>
                    </w:rPr>
                  </w:pPr>
                </w:p>
              </w:tc>
              <w:tc>
                <w:tcPr>
                  <w:tcW w:w="1478" w:type="dxa"/>
                  <w:vMerge w:val="continue"/>
                  <w:tcBorders>
                    <w:tl2br w:val="nil"/>
                    <w:tr2bl w:val="nil"/>
                  </w:tcBorders>
                  <w:noWrap w:val="0"/>
                  <w:vAlign w:val="center"/>
                </w:tcPr>
                <w:p w14:paraId="72CB12B9">
                  <w:pPr>
                    <w:pStyle w:val="22"/>
                    <w:bidi w:val="0"/>
                    <w:rPr>
                      <w:rFonts w:ascii="宋体" w:hAnsi="宋体" w:eastAsia="宋体" w:cs="宋体"/>
                      <w:sz w:val="24"/>
                      <w:szCs w:val="24"/>
                    </w:rPr>
                  </w:pPr>
                </w:p>
              </w:tc>
              <w:tc>
                <w:tcPr>
                  <w:tcW w:w="943" w:type="dxa"/>
                  <w:vMerge w:val="continue"/>
                  <w:tcBorders>
                    <w:tl2br w:val="nil"/>
                    <w:tr2bl w:val="nil"/>
                  </w:tcBorders>
                  <w:noWrap w:val="0"/>
                  <w:vAlign w:val="center"/>
                </w:tcPr>
                <w:p w14:paraId="1DD29517">
                  <w:pPr>
                    <w:pStyle w:val="22"/>
                    <w:bidi w:val="0"/>
                    <w:rPr>
                      <w:rFonts w:hint="eastAsia"/>
                      <w:color w:val="0000FF"/>
                      <w:lang w:val="en-US" w:eastAsia="zh-CN"/>
                    </w:rPr>
                  </w:pPr>
                </w:p>
              </w:tc>
              <w:tc>
                <w:tcPr>
                  <w:tcW w:w="859" w:type="dxa"/>
                  <w:vMerge w:val="continue"/>
                  <w:tcBorders>
                    <w:tl2br w:val="nil"/>
                    <w:tr2bl w:val="nil"/>
                  </w:tcBorders>
                  <w:noWrap w:val="0"/>
                  <w:vAlign w:val="center"/>
                </w:tcPr>
                <w:p w14:paraId="5771A8EC">
                  <w:pPr>
                    <w:pStyle w:val="22"/>
                    <w:bidi w:val="0"/>
                    <w:rPr>
                      <w:rFonts w:hint="eastAsia"/>
                      <w:color w:val="0000FF"/>
                      <w:lang w:val="en-US" w:eastAsia="zh-CN"/>
                    </w:rPr>
                  </w:pPr>
                </w:p>
              </w:tc>
              <w:tc>
                <w:tcPr>
                  <w:tcW w:w="620" w:type="dxa"/>
                  <w:tcBorders>
                    <w:tl2br w:val="nil"/>
                    <w:tr2bl w:val="nil"/>
                  </w:tcBorders>
                  <w:noWrap w:val="0"/>
                  <w:vAlign w:val="center"/>
                </w:tcPr>
                <w:p w14:paraId="33594D05">
                  <w:pPr>
                    <w:pStyle w:val="22"/>
                    <w:bidi w:val="0"/>
                    <w:rPr>
                      <w:rFonts w:hint="default"/>
                      <w:color w:val="auto"/>
                      <w:lang w:val="en-US" w:eastAsia="zh-CN"/>
                    </w:rPr>
                  </w:pPr>
                  <w:r>
                    <w:rPr>
                      <w:rFonts w:hint="eastAsia"/>
                      <w:color w:val="auto"/>
                      <w:lang w:val="en-US" w:eastAsia="zh-CN"/>
                    </w:rPr>
                    <w:t>有机废气</w:t>
                  </w:r>
                </w:p>
              </w:tc>
              <w:tc>
                <w:tcPr>
                  <w:tcW w:w="1122" w:type="dxa"/>
                  <w:tcBorders>
                    <w:tl2br w:val="nil"/>
                    <w:tr2bl w:val="nil"/>
                  </w:tcBorders>
                  <w:noWrap w:val="0"/>
                  <w:vAlign w:val="center"/>
                </w:tcPr>
                <w:p w14:paraId="5D472A92">
                  <w:pPr>
                    <w:pStyle w:val="22"/>
                    <w:bidi w:val="0"/>
                    <w:rPr>
                      <w:rFonts w:hint="eastAsia"/>
                      <w:color w:val="auto"/>
                      <w:lang w:val="en-US" w:eastAsia="zh-CN"/>
                    </w:rPr>
                  </w:pPr>
                  <w:r>
                    <w:rPr>
                      <w:rFonts w:hint="eastAsia"/>
                      <w:color w:val="auto"/>
                      <w:lang w:val="en-US" w:eastAsia="zh-CN"/>
                    </w:rPr>
                    <w:t>千克/吨-原料</w:t>
                  </w:r>
                </w:p>
              </w:tc>
              <w:tc>
                <w:tcPr>
                  <w:tcW w:w="724" w:type="dxa"/>
                  <w:tcBorders>
                    <w:tl2br w:val="nil"/>
                    <w:tr2bl w:val="nil"/>
                  </w:tcBorders>
                  <w:noWrap w:val="0"/>
                  <w:vAlign w:val="center"/>
                </w:tcPr>
                <w:p w14:paraId="48BFD05C">
                  <w:pPr>
                    <w:pStyle w:val="22"/>
                    <w:bidi w:val="0"/>
                    <w:rPr>
                      <w:rFonts w:hint="default"/>
                      <w:color w:val="auto"/>
                      <w:lang w:val="en-US" w:eastAsia="zh-CN"/>
                    </w:rPr>
                  </w:pPr>
                  <w:r>
                    <w:rPr>
                      <w:rFonts w:hint="eastAsia"/>
                      <w:color w:val="auto"/>
                      <w:lang w:val="en-US" w:eastAsia="zh-CN"/>
                    </w:rPr>
                    <w:t>1.5</w:t>
                  </w:r>
                </w:p>
              </w:tc>
            </w:tr>
          </w:tbl>
          <w:p w14:paraId="384A19A6">
            <w:pPr>
              <w:bidi w:val="0"/>
              <w:rPr>
                <w:rFonts w:hint="default"/>
                <w:b/>
                <w:bCs/>
                <w:color w:val="auto"/>
                <w:vertAlign w:val="subscript"/>
                <w:lang w:val="en-US"/>
              </w:rPr>
            </w:pPr>
            <w:r>
              <w:rPr>
                <w:rFonts w:hint="eastAsia"/>
                <w:b/>
                <w:bCs/>
                <w:color w:val="auto"/>
              </w:rPr>
              <w:t>（</w:t>
            </w:r>
            <w:r>
              <w:rPr>
                <w:rFonts w:hint="eastAsia"/>
                <w:b/>
                <w:bCs/>
                <w:color w:val="auto"/>
                <w:lang w:val="en-US" w:eastAsia="zh-CN"/>
              </w:rPr>
              <w:t>2</w:t>
            </w:r>
            <w:r>
              <w:rPr>
                <w:rFonts w:hint="eastAsia"/>
                <w:b/>
                <w:bCs/>
                <w:color w:val="auto"/>
              </w:rPr>
              <w:t>）</w:t>
            </w:r>
            <w:r>
              <w:rPr>
                <w:rFonts w:hint="eastAsia"/>
                <w:b/>
                <w:bCs/>
                <w:color w:val="auto"/>
                <w:lang w:val="en-US" w:eastAsia="zh-CN"/>
              </w:rPr>
              <w:t>烘干废气G</w:t>
            </w:r>
            <w:r>
              <w:rPr>
                <w:rFonts w:hint="eastAsia"/>
                <w:b/>
                <w:bCs/>
                <w:color w:val="auto"/>
                <w:vertAlign w:val="subscript"/>
                <w:lang w:val="en-US" w:eastAsia="zh-CN"/>
              </w:rPr>
              <w:t>2</w:t>
            </w:r>
          </w:p>
          <w:p w14:paraId="0CE0AB64">
            <w:pPr>
              <w:widowControl/>
              <w:spacing w:line="360" w:lineRule="auto"/>
              <w:ind w:firstLine="480" w:firstLineChars="200"/>
              <w:jc w:val="left"/>
              <w:rPr>
                <w:rFonts w:hint="default"/>
                <w:kern w:val="0"/>
                <w:szCs w:val="21"/>
                <w:shd w:val="clear" w:color="auto" w:fill="FFFFFF"/>
                <w:lang w:val="en-US"/>
              </w:rPr>
            </w:pPr>
            <w:r>
              <w:rPr>
                <w:kern w:val="0"/>
                <w:szCs w:val="21"/>
                <w:shd w:val="clear" w:color="auto" w:fill="FFFFFF"/>
              </w:rPr>
              <w:t>本项目</w:t>
            </w:r>
            <w:r>
              <w:rPr>
                <w:rFonts w:hint="eastAsia"/>
                <w:kern w:val="0"/>
                <w:szCs w:val="21"/>
                <w:shd w:val="clear" w:color="auto" w:fill="FFFFFF"/>
                <w:lang w:val="en-US" w:eastAsia="zh-CN"/>
              </w:rPr>
              <w:t>PE塑料粒子容易吸潮，在混料前需要进行物料烘干，</w:t>
            </w:r>
            <w:r>
              <w:rPr>
                <w:rFonts w:hint="default" w:ascii="Times New Roman" w:hAnsi="Times New Roman" w:cs="Times New Roman"/>
                <w:kern w:val="0"/>
                <w:szCs w:val="21"/>
                <w:shd w:val="clear" w:color="auto" w:fill="FFFFFF"/>
                <w:lang w:val="en-US" w:eastAsia="zh-CN"/>
              </w:rPr>
              <w:t>采用</w:t>
            </w:r>
            <w:r>
              <w:rPr>
                <w:rFonts w:hint="default"/>
                <w:color w:val="auto"/>
                <w:lang w:val="en-US" w:eastAsia="zh-CN"/>
              </w:rPr>
              <w:t>50~60℃</w:t>
            </w:r>
            <w:r>
              <w:rPr>
                <w:rFonts w:hint="default" w:ascii="Times New Roman" w:hAnsi="Times New Roman" w:cs="Times New Roman"/>
                <w:kern w:val="0"/>
                <w:szCs w:val="21"/>
                <w:shd w:val="clear" w:color="auto" w:fill="FFFFFF"/>
                <w:lang w:val="en-US" w:eastAsia="zh-CN"/>
              </w:rPr>
              <w:t>烘干一小时</w:t>
            </w:r>
            <w:r>
              <w:rPr>
                <w:rFonts w:hint="eastAsia" w:ascii="Times New Roman" w:hAnsi="Times New Roman" w:cs="Times New Roman"/>
                <w:kern w:val="0"/>
                <w:szCs w:val="21"/>
                <w:shd w:val="clear" w:color="auto" w:fill="FFFFFF"/>
                <w:lang w:val="en-US" w:eastAsia="zh-CN"/>
              </w:rPr>
              <w:t>，产生为水蒸气，于车间内无组织逸散。鉴于烘干温度较低，不会导致塑料粒子形态变化，有机废气暂存不考虑。</w:t>
            </w:r>
          </w:p>
          <w:p w14:paraId="4F1B2ADD">
            <w:pPr>
              <w:bidi w:val="0"/>
              <w:rPr>
                <w:rFonts w:hint="eastAsia"/>
                <w:b/>
                <w:bCs/>
                <w:color w:val="auto"/>
                <w:lang w:val="en-US" w:eastAsia="zh-CN"/>
              </w:rPr>
            </w:pPr>
            <w:r>
              <w:rPr>
                <w:rFonts w:hint="eastAsia"/>
                <w:b/>
                <w:bCs/>
                <w:color w:val="auto"/>
                <w:lang w:val="en-US" w:eastAsia="zh-CN"/>
              </w:rPr>
              <w:t>（3）熔融挤出有机废气G</w:t>
            </w:r>
            <w:r>
              <w:rPr>
                <w:rFonts w:hint="eastAsia"/>
                <w:b/>
                <w:bCs/>
                <w:color w:val="auto"/>
                <w:vertAlign w:val="subscript"/>
                <w:lang w:val="en-US" w:eastAsia="zh-CN"/>
              </w:rPr>
              <w:t>7</w:t>
            </w:r>
          </w:p>
          <w:p w14:paraId="559BE707">
            <w:pPr>
              <w:bidi w:val="0"/>
              <w:rPr>
                <w:rFonts w:hint="eastAsia"/>
                <w:color w:val="auto"/>
                <w:lang w:val="en-US" w:eastAsia="zh-CN"/>
              </w:rPr>
            </w:pPr>
            <w:r>
              <w:rPr>
                <w:rFonts w:hint="eastAsia"/>
                <w:color w:val="auto"/>
                <w:lang w:val="en-US" w:eastAsia="zh-CN"/>
              </w:rPr>
              <w:t>本项目采用塑料粒子PP/PE塑料粒子塑料管的生产材料，根据《工业源产排污核算方法和系数手册》（2021年版）-292塑料制品行业系数手册，非甲烷总烃产污系数取值为1.50千克/吨-产品，项目产品年产量为2000t/a，则非甲烷总烃的产生量为3t/a，机头出料口顶设集气罩，收集效率按照90%计，收集后经二级活性炭装置处理后经15m排气筒DA001排放。</w:t>
            </w:r>
          </w:p>
          <w:p w14:paraId="1AB5FB00">
            <w:pPr>
              <w:widowControl/>
              <w:spacing w:line="360" w:lineRule="auto"/>
              <w:ind w:firstLine="480" w:firstLineChars="200"/>
              <w:jc w:val="left"/>
              <w:rPr>
                <w:rFonts w:hint="default" w:ascii="Times New Roman" w:hAnsi="Times New Roman" w:cs="Times New Roman"/>
                <w:sz w:val="24"/>
                <w:szCs w:val="24"/>
              </w:rPr>
            </w:pPr>
            <w:r>
              <w:rPr>
                <w:rFonts w:hint="default" w:ascii="Times New Roman" w:hAnsi="Times New Roman" w:cs="Times New Roman"/>
                <w:sz w:val="24"/>
                <w:szCs w:val="24"/>
              </w:rPr>
              <w:t>生产单元</w:t>
            </w:r>
            <w:r>
              <w:rPr>
                <w:rFonts w:hint="default" w:ascii="Times New Roman" w:hAnsi="Times New Roman" w:cs="Times New Roman"/>
                <w:sz w:val="24"/>
                <w:szCs w:val="24"/>
                <w:lang w:val="en-US" w:eastAsia="zh-CN"/>
              </w:rPr>
              <w:t>独立封闭，物料出口顶设集气罩</w:t>
            </w:r>
            <w:r>
              <w:rPr>
                <w:rFonts w:hint="default" w:ascii="Times New Roman" w:hAnsi="Times New Roman" w:cs="Times New Roman"/>
                <w:sz w:val="24"/>
                <w:szCs w:val="24"/>
              </w:rPr>
              <w:t>，产生的废气收集后（集气率为90%）经二级活性炭吸附（处理效率为90%）处理后，引15m排气筒排放（DA00</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rPr>
              <w:t>），则熔融挤出工序有组织废气产生量为</w:t>
            </w:r>
            <w:r>
              <w:rPr>
                <w:rFonts w:hint="eastAsia" w:ascii="Times New Roman" w:hAnsi="Times New Roman" w:cs="Times New Roman"/>
                <w:sz w:val="24"/>
                <w:szCs w:val="24"/>
                <w:lang w:val="en-US" w:eastAsia="zh-CN"/>
              </w:rPr>
              <w:t>2.7</w:t>
            </w:r>
            <w:r>
              <w:rPr>
                <w:rFonts w:hint="default" w:ascii="Times New Roman" w:hAnsi="Times New Roman" w:cs="Times New Roman"/>
                <w:sz w:val="24"/>
                <w:szCs w:val="24"/>
              </w:rPr>
              <w:t>t/a，熔融挤出工序非甲烷总烃排放量为0.</w:t>
            </w:r>
            <w:r>
              <w:rPr>
                <w:rFonts w:hint="eastAsia" w:ascii="Times New Roman" w:hAnsi="Times New Roman" w:cs="Times New Roman"/>
                <w:sz w:val="24"/>
                <w:szCs w:val="24"/>
                <w:lang w:val="en-US" w:eastAsia="zh-CN"/>
              </w:rPr>
              <w:t>27</w:t>
            </w:r>
            <w:r>
              <w:rPr>
                <w:rFonts w:hint="default" w:ascii="Times New Roman" w:hAnsi="Times New Roman" w:cs="Times New Roman"/>
                <w:sz w:val="24"/>
                <w:szCs w:val="24"/>
              </w:rPr>
              <w:t>t/a、排放速率为0.</w:t>
            </w:r>
            <w:r>
              <w:rPr>
                <w:rFonts w:hint="eastAsia" w:ascii="Times New Roman" w:hAnsi="Times New Roman" w:cs="Times New Roman"/>
                <w:sz w:val="24"/>
                <w:szCs w:val="24"/>
                <w:lang w:val="en-US" w:eastAsia="zh-CN"/>
              </w:rPr>
              <w:t>113</w:t>
            </w:r>
            <w:r>
              <w:rPr>
                <w:rFonts w:hint="default" w:ascii="Times New Roman" w:hAnsi="Times New Roman" w:cs="Times New Roman"/>
                <w:kern w:val="0"/>
                <w:sz w:val="24"/>
                <w:szCs w:val="24"/>
                <w:shd w:val="clear" w:color="auto" w:fill="FFFFFF"/>
              </w:rPr>
              <w:t>kg/h</w:t>
            </w:r>
            <w:r>
              <w:rPr>
                <w:rFonts w:hint="default" w:ascii="Times New Roman" w:hAnsi="Times New Roman" w:cs="Times New Roman"/>
                <w:sz w:val="24"/>
                <w:szCs w:val="24"/>
              </w:rPr>
              <w:t>，无组织排放量为0.</w:t>
            </w: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t/a、排放速率为0.</w:t>
            </w:r>
            <w:r>
              <w:rPr>
                <w:rFonts w:hint="eastAsia" w:ascii="Times New Roman" w:hAnsi="Times New Roman" w:cs="Times New Roman"/>
                <w:sz w:val="24"/>
                <w:szCs w:val="24"/>
                <w:lang w:val="en-US" w:eastAsia="zh-CN"/>
              </w:rPr>
              <w:t>125</w:t>
            </w:r>
            <w:r>
              <w:rPr>
                <w:rFonts w:hint="default" w:ascii="Times New Roman" w:hAnsi="Times New Roman" w:cs="Times New Roman"/>
                <w:kern w:val="0"/>
                <w:sz w:val="24"/>
                <w:szCs w:val="24"/>
                <w:shd w:val="clear" w:color="auto" w:fill="FFFFFF"/>
              </w:rPr>
              <w:t>kg/h</w:t>
            </w:r>
            <w:r>
              <w:rPr>
                <w:rFonts w:hint="default" w:ascii="Times New Roman" w:hAnsi="Times New Roman" w:cs="Times New Roman"/>
                <w:sz w:val="24"/>
                <w:szCs w:val="24"/>
              </w:rPr>
              <w:t>。</w:t>
            </w:r>
          </w:p>
          <w:p w14:paraId="556E2EC6">
            <w:pPr>
              <w:bidi w:val="0"/>
              <w:rPr>
                <w:rFonts w:hint="default"/>
                <w:b/>
                <w:bCs/>
                <w:color w:val="auto"/>
                <w:lang w:val="en-US" w:eastAsia="zh-CN"/>
              </w:rPr>
            </w:pPr>
            <w:r>
              <w:rPr>
                <w:rFonts w:hint="eastAsia"/>
                <w:b/>
                <w:bCs/>
                <w:color w:val="auto"/>
                <w:lang w:eastAsia="zh-CN"/>
              </w:rPr>
              <w:t>（</w:t>
            </w:r>
            <w:r>
              <w:rPr>
                <w:rFonts w:hint="eastAsia"/>
                <w:b/>
                <w:bCs/>
                <w:color w:val="auto"/>
                <w:lang w:val="en-US" w:eastAsia="zh-CN"/>
              </w:rPr>
              <w:t>4</w:t>
            </w:r>
            <w:r>
              <w:rPr>
                <w:rFonts w:hint="eastAsia"/>
                <w:b/>
                <w:bCs/>
                <w:color w:val="auto"/>
                <w:lang w:eastAsia="zh-CN"/>
              </w:rPr>
              <w:t>）</w:t>
            </w:r>
            <w:r>
              <w:rPr>
                <w:rFonts w:hint="eastAsia"/>
                <w:b/>
                <w:bCs/>
                <w:color w:val="auto"/>
              </w:rPr>
              <w:t>危废库有机废气</w:t>
            </w:r>
          </w:p>
          <w:p w14:paraId="66383BC9">
            <w:pPr>
              <w:bidi w:val="0"/>
              <w:rPr>
                <w:rFonts w:hint="eastAsia"/>
                <w:color w:val="auto"/>
                <w:lang w:eastAsia="zh-CN"/>
              </w:rPr>
            </w:pPr>
            <w:r>
              <w:rPr>
                <w:rFonts w:hint="eastAsia"/>
                <w:color w:val="auto"/>
                <w:lang w:val="en-US" w:eastAsia="zh-CN"/>
              </w:rPr>
              <w:t>厂房内西南侧</w:t>
            </w:r>
            <w:r>
              <w:rPr>
                <w:rFonts w:hint="eastAsia"/>
                <w:color w:val="auto"/>
                <w:lang w:eastAsia="zh-CN"/>
              </w:rPr>
              <w:t>设置</w:t>
            </w:r>
            <w:r>
              <w:rPr>
                <w:rFonts w:hint="eastAsia"/>
                <w:color w:val="auto"/>
                <w:lang w:val="en-US" w:eastAsia="zh-CN"/>
              </w:rPr>
              <w:t>10</w:t>
            </w:r>
            <w:r>
              <w:rPr>
                <w:rFonts w:hint="default"/>
                <w:color w:val="auto"/>
                <w:lang w:val="en-US" w:eastAsia="zh-CN"/>
              </w:rPr>
              <w:t>m</w:t>
            </w:r>
            <w:r>
              <w:rPr>
                <w:rFonts w:hint="default"/>
                <w:color w:val="auto"/>
                <w:vertAlign w:val="superscript"/>
                <w:lang w:val="en-US" w:eastAsia="zh-CN"/>
              </w:rPr>
              <w:t>2</w:t>
            </w:r>
            <w:r>
              <w:rPr>
                <w:rFonts w:hint="eastAsia"/>
                <w:color w:val="auto"/>
                <w:lang w:eastAsia="zh-CN"/>
              </w:rPr>
              <w:t>危废库一间，危废库内存储涉VOC废物为</w:t>
            </w:r>
            <w:r>
              <w:rPr>
                <w:rFonts w:hint="eastAsia"/>
                <w:color w:val="auto"/>
                <w:lang w:val="en-US" w:eastAsia="zh-CN"/>
              </w:rPr>
              <w:t>废机油</w:t>
            </w:r>
            <w:r>
              <w:rPr>
                <w:rFonts w:hint="eastAsia"/>
                <w:color w:val="auto"/>
                <w:lang w:eastAsia="zh-CN"/>
              </w:rPr>
              <w:t>、废</w:t>
            </w:r>
            <w:r>
              <w:rPr>
                <w:rFonts w:hint="eastAsia"/>
                <w:color w:val="auto"/>
                <w:lang w:val="en-US" w:eastAsia="zh-CN"/>
              </w:rPr>
              <w:t>活性炭、废包装桶</w:t>
            </w:r>
            <w:r>
              <w:rPr>
                <w:rFonts w:hint="eastAsia"/>
                <w:color w:val="auto"/>
                <w:lang w:eastAsia="zh-CN"/>
              </w:rPr>
              <w:t>，废</w:t>
            </w:r>
            <w:r>
              <w:rPr>
                <w:rFonts w:hint="eastAsia"/>
                <w:color w:val="auto"/>
                <w:lang w:val="en-US" w:eastAsia="zh-CN"/>
              </w:rPr>
              <w:t>活性炭</w:t>
            </w:r>
            <w:r>
              <w:rPr>
                <w:rFonts w:hint="eastAsia"/>
                <w:color w:val="auto"/>
                <w:lang w:eastAsia="zh-CN"/>
              </w:rPr>
              <w:t>在产生环节由专业人员更换后采用密闭桶装方式进行贮存，废原料桶加盖密闭，危险废物均采用密闭方式存储，</w:t>
            </w:r>
            <w:r>
              <w:rPr>
                <w:rFonts w:hint="eastAsia"/>
                <w:color w:val="auto"/>
                <w:lang w:val="en-US" w:eastAsia="zh-CN"/>
              </w:rPr>
              <w:t>危废贮存周期较短，</w:t>
            </w:r>
            <w:r>
              <w:rPr>
                <w:rFonts w:hint="eastAsia"/>
                <w:color w:val="auto"/>
                <w:lang w:eastAsia="zh-CN"/>
              </w:rPr>
              <w:t>在加大周转周期的基础上，危废库</w:t>
            </w:r>
            <w:r>
              <w:rPr>
                <w:rFonts w:hint="eastAsia"/>
                <w:color w:val="auto"/>
                <w:lang w:val="en-US" w:eastAsia="zh-CN"/>
              </w:rPr>
              <w:t>内基本不产生</w:t>
            </w:r>
            <w:r>
              <w:rPr>
                <w:rFonts w:hint="eastAsia"/>
                <w:color w:val="auto"/>
                <w:lang w:eastAsia="zh-CN"/>
              </w:rPr>
              <w:t>有机废气，综上危废库在贮存过程均采取密闭措施，有机废气产生量</w:t>
            </w:r>
            <w:r>
              <w:rPr>
                <w:rFonts w:hint="eastAsia"/>
                <w:color w:val="auto"/>
                <w:lang w:val="en-US" w:eastAsia="zh-CN"/>
              </w:rPr>
              <w:t>忽略不计</w:t>
            </w:r>
            <w:r>
              <w:rPr>
                <w:rFonts w:hint="eastAsia"/>
                <w:color w:val="auto"/>
                <w:lang w:eastAsia="zh-CN"/>
              </w:rPr>
              <w:t>，本次环评不予定量分析。</w:t>
            </w:r>
          </w:p>
          <w:p w14:paraId="67A6B49D">
            <w:pPr>
              <w:bidi w:val="0"/>
              <w:rPr>
                <w:rFonts w:hint="eastAsia"/>
                <w:color w:val="auto"/>
                <w:lang w:val="en-US" w:eastAsia="zh-CN"/>
              </w:rPr>
            </w:pPr>
            <w:r>
              <w:rPr>
                <w:rFonts w:hint="eastAsia"/>
                <w:color w:val="auto"/>
                <w:lang w:val="en-US" w:eastAsia="zh-CN"/>
              </w:rPr>
              <w:t>由于危废库内产生废气种类主要为有机废气，根据《危险废物贮存污染控制标准》（GB18597-2023）“6.2.3贮存易产生粉尘、VOCs、酸雾、有毒有害大气污染物和刺激性气味气体的危险废物贮存库，应设置气体收集装置和气体净化设施；气体净化设施的排气筒高度应符合GB16297要求。”危废间面积为10</w:t>
            </w:r>
            <w:r>
              <w:rPr>
                <w:rFonts w:hint="default"/>
                <w:color w:val="auto"/>
                <w:lang w:val="en-US" w:eastAsia="zh-CN"/>
              </w:rPr>
              <w:t>m</w:t>
            </w:r>
            <w:r>
              <w:rPr>
                <w:rFonts w:hint="default"/>
                <w:color w:val="auto"/>
                <w:vertAlign w:val="superscript"/>
                <w:lang w:val="en-US" w:eastAsia="zh-CN"/>
              </w:rPr>
              <w:t>2</w:t>
            </w:r>
            <w:r>
              <w:rPr>
                <w:rFonts w:hint="eastAsia"/>
                <w:color w:val="auto"/>
                <w:lang w:val="en-US" w:eastAsia="zh-CN"/>
              </w:rPr>
              <w:t>，高度约为5m，换风次数按照每小时10次计，则总风量为500m</w:t>
            </w:r>
            <w:r>
              <w:rPr>
                <w:rFonts w:hint="eastAsia"/>
                <w:color w:val="auto"/>
                <w:vertAlign w:val="superscript"/>
                <w:lang w:val="en-US" w:eastAsia="zh-CN"/>
              </w:rPr>
              <w:t>3</w:t>
            </w:r>
            <w:r>
              <w:rPr>
                <w:rFonts w:hint="eastAsia"/>
                <w:color w:val="auto"/>
                <w:lang w:val="en-US" w:eastAsia="zh-CN"/>
              </w:rPr>
              <w:t>/h。本次环评要求危废间采取密闭抽风方式收集有机废气并入经二级活性炭吸附装置处理经15m排气筒DA001排放。</w:t>
            </w:r>
          </w:p>
          <w:p w14:paraId="60EB1B1E">
            <w:pPr>
              <w:bidi w:val="0"/>
              <w:rPr>
                <w:rFonts w:hint="default"/>
                <w:b/>
                <w:bCs/>
                <w:color w:val="auto"/>
                <w:lang w:val="en-US" w:eastAsia="zh-CN"/>
              </w:rPr>
            </w:pPr>
            <w:r>
              <w:rPr>
                <w:rFonts w:hint="eastAsia"/>
                <w:b/>
                <w:bCs/>
                <w:color w:val="auto"/>
                <w:lang w:eastAsia="zh-CN"/>
              </w:rPr>
              <w:t>（</w:t>
            </w:r>
            <w:r>
              <w:rPr>
                <w:rFonts w:hint="eastAsia"/>
                <w:b/>
                <w:bCs/>
                <w:color w:val="auto"/>
                <w:lang w:val="en-US" w:eastAsia="zh-CN"/>
              </w:rPr>
              <w:t>5</w:t>
            </w:r>
            <w:r>
              <w:rPr>
                <w:rFonts w:hint="eastAsia"/>
                <w:b/>
                <w:bCs/>
                <w:color w:val="auto"/>
                <w:lang w:eastAsia="zh-CN"/>
              </w:rPr>
              <w:t>）</w:t>
            </w:r>
            <w:r>
              <w:rPr>
                <w:rFonts w:hint="eastAsia"/>
                <w:b/>
                <w:bCs/>
                <w:color w:val="auto"/>
                <w:lang w:val="en-US" w:eastAsia="zh-CN"/>
              </w:rPr>
              <w:t>不合格产品、边角料破碎粉尘</w:t>
            </w:r>
          </w:p>
          <w:p w14:paraId="0F66AEFF">
            <w:pPr>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经核算一年不合格品、边角料产生量合计4t，经撕碎机撕成条状人工送入破碎机内进行破碎，破碎至5mm左右粒径回用于配料工序，根据产品中对破碎料质量掺比要求进行计量掺料。参照</w:t>
            </w:r>
            <w:r>
              <w:rPr>
                <w:rFonts w:hint="eastAsia"/>
                <w:color w:val="auto"/>
                <w:lang w:val="en-US" w:eastAsia="zh-CN"/>
              </w:rPr>
              <w:t>《工业源产排污核算方法和系数手册》（2021年版）-4220非金属废料和碎屑加工处理行业系数表-</w:t>
            </w:r>
            <w:r>
              <w:rPr>
                <w:rFonts w:hint="default" w:ascii="Times New Roman" w:hAnsi="Times New Roman" w:eastAsia="宋体" w:cs="Times New Roman"/>
                <w:sz w:val="24"/>
                <w:szCs w:val="24"/>
              </w:rPr>
              <w:t>废PE/PP</w:t>
            </w:r>
            <w:r>
              <w:rPr>
                <w:rFonts w:hint="eastAsia" w:ascii="Times New Roman" w:hAnsi="Times New Roman" w:eastAsia="宋体" w:cs="Times New Roman"/>
                <w:sz w:val="24"/>
                <w:szCs w:val="24"/>
                <w:lang w:val="en-US" w:eastAsia="zh-CN"/>
              </w:rPr>
              <w:t>干法破碎</w:t>
            </w:r>
            <w:r>
              <w:rPr>
                <w:rFonts w:hint="eastAsia"/>
                <w:color w:val="auto"/>
                <w:lang w:val="en-US" w:eastAsia="zh-CN"/>
              </w:rPr>
              <w:t>，颗粒物产污系数取值为375克/吨-原料，则破碎粉尘产生量为1.5kg，破碎环节密闭，料斗顶设吸风管收集粉尘并入布袋除尘器处理经15m排气筒DA002排放。破碎粉尘有组织排放量为0.015kg/a（年破碎时间100h）。</w:t>
            </w:r>
          </w:p>
          <w:p w14:paraId="36A707AF">
            <w:pPr>
              <w:bidi w:val="0"/>
              <w:rPr>
                <w:rFonts w:hint="eastAsia"/>
                <w:b/>
                <w:bCs/>
                <w:color w:val="auto"/>
              </w:rPr>
            </w:pPr>
            <w:r>
              <w:rPr>
                <w:rFonts w:hint="eastAsia"/>
                <w:b/>
                <w:bCs/>
                <w:color w:val="auto"/>
                <w:lang w:val="en-US" w:eastAsia="zh-CN"/>
              </w:rPr>
              <w:t>2</w:t>
            </w:r>
            <w:r>
              <w:rPr>
                <w:rFonts w:hint="eastAsia"/>
                <w:b/>
                <w:bCs/>
                <w:color w:val="auto"/>
              </w:rPr>
              <w:t>、</w:t>
            </w:r>
            <w:r>
              <w:rPr>
                <w:b/>
                <w:bCs/>
                <w:color w:val="auto"/>
              </w:rPr>
              <w:t>废气污染治理设施可行性分析</w:t>
            </w:r>
          </w:p>
          <w:p w14:paraId="1D97AED8">
            <w:pPr>
              <w:pStyle w:val="32"/>
              <w:numPr>
                <w:ilvl w:val="0"/>
                <w:numId w:val="0"/>
              </w:numPr>
              <w:spacing w:line="360" w:lineRule="auto"/>
              <w:ind w:firstLine="200"/>
              <w:jc w:val="left"/>
              <w:rPr>
                <w:rFonts w:hint="eastAsia"/>
                <w:color w:val="auto"/>
                <w:sz w:val="21"/>
                <w:szCs w:val="21"/>
              </w:rPr>
            </w:pPr>
            <w:r>
              <w:rPr>
                <w:rFonts w:hint="eastAsia"/>
                <w:color w:val="auto"/>
                <w:sz w:val="21"/>
                <w:szCs w:val="21"/>
              </w:rPr>
              <w:t>（1）集气设施</w:t>
            </w:r>
          </w:p>
          <w:p w14:paraId="6A12C71B">
            <w:pPr>
              <w:widowControl/>
              <w:spacing w:line="360" w:lineRule="auto"/>
              <w:ind w:firstLine="480" w:firstLineChars="200"/>
              <w:jc w:val="left"/>
              <w:rPr>
                <w:szCs w:val="21"/>
              </w:rPr>
            </w:pPr>
            <w:r>
              <w:rPr>
                <w:rFonts w:hint="eastAsia"/>
                <w:szCs w:val="21"/>
              </w:rPr>
              <w:t>本项目熔融挤出环节产生有机废气采用生产单元密闭负压收集，其中4台熔融挤出机上料料口安装集气罩+皮帘密闭（正方形），切粒机料筒安装集气罩（圆形）+皮帘。采用集气罩收集，集气罩投影面积大于废气逸散面积，集气罩和产生废气的部位之间距离可低于40cm。经计算，各集气罩收集风速满足《局部排风设施控制风速检测与评估技术规范》中“上吸式外部排风罩1.0m/s（有毒气体）”的控制风速限值要求。生产过程</w:t>
            </w:r>
            <w:r>
              <w:rPr>
                <w:rFonts w:hint="eastAsia"/>
                <w:kern w:val="0"/>
                <w:szCs w:val="21"/>
                <w:shd w:val="clear" w:color="auto" w:fill="FFFFFF"/>
              </w:rPr>
              <w:t>均位于密闭生产车间，</w:t>
            </w:r>
            <w:r>
              <w:rPr>
                <w:rFonts w:hint="eastAsia"/>
                <w:szCs w:val="21"/>
              </w:rPr>
              <w:t>同时，生产过程关闭门窗，减少未收集废气的逸散。本项目集气罩尺寸及运行参数见下表。</w:t>
            </w:r>
          </w:p>
          <w:p w14:paraId="220893E7">
            <w:pPr>
              <w:spacing w:line="360" w:lineRule="auto"/>
              <w:ind w:firstLine="482" w:firstLineChars="200"/>
              <w:jc w:val="center"/>
              <w:rPr>
                <w:b/>
                <w:bCs/>
                <w:szCs w:val="21"/>
              </w:rPr>
            </w:pPr>
            <w:r>
              <w:rPr>
                <w:rFonts w:hint="eastAsia"/>
                <w:b/>
                <w:bCs/>
                <w:szCs w:val="21"/>
              </w:rPr>
              <w:t>表4-</w:t>
            </w:r>
            <w:r>
              <w:rPr>
                <w:rFonts w:hint="eastAsia"/>
                <w:b/>
                <w:bCs/>
                <w:szCs w:val="21"/>
                <w:lang w:val="en-US" w:eastAsia="zh-CN"/>
              </w:rPr>
              <w:t>5</w:t>
            </w:r>
            <w:r>
              <w:rPr>
                <w:b/>
                <w:bCs/>
                <w:szCs w:val="21"/>
              </w:rPr>
              <w:t xml:space="preserve"> </w:t>
            </w:r>
            <w:r>
              <w:rPr>
                <w:rFonts w:hint="eastAsia"/>
                <w:b/>
                <w:bCs/>
                <w:szCs w:val="21"/>
              </w:rPr>
              <w:t xml:space="preserve"> 集气罩的尺寸及运行参数</w:t>
            </w:r>
          </w:p>
          <w:tbl>
            <w:tblPr>
              <w:tblStyle w:val="12"/>
              <w:tblW w:w="84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
              <w:gridCol w:w="983"/>
              <w:gridCol w:w="706"/>
              <w:gridCol w:w="1170"/>
              <w:gridCol w:w="1423"/>
              <w:gridCol w:w="1584"/>
              <w:gridCol w:w="1491"/>
            </w:tblGrid>
            <w:tr w14:paraId="7C385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1" w:type="dxa"/>
                  <w:noWrap w:val="0"/>
                  <w:vAlign w:val="center"/>
                </w:tcPr>
                <w:p w14:paraId="6F98ED0E">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b/>
                      <w:bCs/>
                      <w:szCs w:val="21"/>
                    </w:rPr>
                  </w:pPr>
                  <w:r>
                    <w:rPr>
                      <w:rFonts w:hint="eastAsia"/>
                      <w:b/>
                      <w:bCs/>
                      <w:szCs w:val="21"/>
                    </w:rPr>
                    <w:t>产污</w:t>
                  </w:r>
                </w:p>
                <w:p w14:paraId="6EF21262">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b/>
                      <w:bCs/>
                      <w:szCs w:val="21"/>
                    </w:rPr>
                  </w:pPr>
                  <w:r>
                    <w:rPr>
                      <w:rFonts w:hint="eastAsia"/>
                      <w:b/>
                      <w:bCs/>
                      <w:szCs w:val="21"/>
                    </w:rPr>
                    <w:t>工序</w:t>
                  </w:r>
                </w:p>
              </w:tc>
              <w:tc>
                <w:tcPr>
                  <w:tcW w:w="983" w:type="dxa"/>
                  <w:noWrap w:val="0"/>
                  <w:vAlign w:val="center"/>
                </w:tcPr>
                <w:p w14:paraId="15639ED4">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b/>
                      <w:bCs/>
                      <w:szCs w:val="21"/>
                    </w:rPr>
                  </w:pPr>
                  <w:r>
                    <w:rPr>
                      <w:rFonts w:hint="eastAsia"/>
                      <w:b/>
                      <w:bCs/>
                      <w:szCs w:val="21"/>
                    </w:rPr>
                    <w:t>名称</w:t>
                  </w:r>
                </w:p>
              </w:tc>
              <w:tc>
                <w:tcPr>
                  <w:tcW w:w="706" w:type="dxa"/>
                  <w:noWrap w:val="0"/>
                  <w:vAlign w:val="center"/>
                </w:tcPr>
                <w:p w14:paraId="32B718FD">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b/>
                      <w:bCs/>
                      <w:szCs w:val="21"/>
                    </w:rPr>
                  </w:pPr>
                  <w:r>
                    <w:rPr>
                      <w:rFonts w:hint="eastAsia"/>
                      <w:b/>
                      <w:bCs/>
                      <w:szCs w:val="21"/>
                    </w:rPr>
                    <w:t>个数</w:t>
                  </w:r>
                </w:p>
              </w:tc>
              <w:tc>
                <w:tcPr>
                  <w:tcW w:w="1170" w:type="dxa"/>
                  <w:noWrap w:val="0"/>
                  <w:vAlign w:val="center"/>
                </w:tcPr>
                <w:p w14:paraId="008BFAF8">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b/>
                      <w:bCs/>
                      <w:szCs w:val="21"/>
                    </w:rPr>
                  </w:pPr>
                  <w:r>
                    <w:rPr>
                      <w:rFonts w:hint="eastAsia"/>
                      <w:b/>
                      <w:bCs/>
                      <w:szCs w:val="21"/>
                    </w:rPr>
                    <w:t>单个尺寸(</w:t>
                  </w:r>
                  <w:r>
                    <w:rPr>
                      <w:b/>
                      <w:bCs/>
                      <w:szCs w:val="21"/>
                    </w:rPr>
                    <w:t>mm)</w:t>
                  </w:r>
                </w:p>
              </w:tc>
              <w:tc>
                <w:tcPr>
                  <w:tcW w:w="1423" w:type="dxa"/>
                  <w:noWrap w:val="0"/>
                  <w:vAlign w:val="center"/>
                </w:tcPr>
                <w:p w14:paraId="43FC70D9">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b/>
                      <w:bCs/>
                      <w:szCs w:val="21"/>
                    </w:rPr>
                  </w:pPr>
                  <w:r>
                    <w:rPr>
                      <w:rFonts w:hint="eastAsia"/>
                      <w:b/>
                      <w:bCs/>
                      <w:szCs w:val="21"/>
                    </w:rPr>
                    <w:t>单个投影面积(</w:t>
                  </w:r>
                  <w:r>
                    <w:rPr>
                      <w:b/>
                      <w:bCs/>
                      <w:szCs w:val="21"/>
                    </w:rPr>
                    <w:t>m</w:t>
                  </w:r>
                  <w:r>
                    <w:rPr>
                      <w:b/>
                      <w:bCs/>
                      <w:szCs w:val="21"/>
                      <w:vertAlign w:val="superscript"/>
                    </w:rPr>
                    <w:t>2</w:t>
                  </w:r>
                  <w:r>
                    <w:rPr>
                      <w:b/>
                      <w:bCs/>
                      <w:szCs w:val="21"/>
                    </w:rPr>
                    <w:t>)</w:t>
                  </w:r>
                </w:p>
              </w:tc>
              <w:tc>
                <w:tcPr>
                  <w:tcW w:w="1584" w:type="dxa"/>
                  <w:noWrap w:val="0"/>
                  <w:vAlign w:val="center"/>
                </w:tcPr>
                <w:p w14:paraId="418797DF">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b/>
                      <w:bCs/>
                      <w:szCs w:val="21"/>
                    </w:rPr>
                  </w:pPr>
                  <w:r>
                    <w:rPr>
                      <w:rFonts w:hint="eastAsia"/>
                      <w:b/>
                      <w:bCs/>
                      <w:szCs w:val="21"/>
                    </w:rPr>
                    <w:t>单个风量(</w:t>
                  </w:r>
                  <w:r>
                    <w:rPr>
                      <w:b/>
                      <w:bCs/>
                      <w:szCs w:val="21"/>
                    </w:rPr>
                    <w:t>m</w:t>
                  </w:r>
                  <w:r>
                    <w:rPr>
                      <w:b/>
                      <w:bCs/>
                      <w:szCs w:val="21"/>
                      <w:vertAlign w:val="superscript"/>
                    </w:rPr>
                    <w:t>3</w:t>
                  </w:r>
                  <w:r>
                    <w:rPr>
                      <w:b/>
                      <w:bCs/>
                      <w:szCs w:val="21"/>
                    </w:rPr>
                    <w:t>/h)</w:t>
                  </w:r>
                </w:p>
              </w:tc>
              <w:tc>
                <w:tcPr>
                  <w:tcW w:w="1491" w:type="dxa"/>
                  <w:noWrap w:val="0"/>
                  <w:vAlign w:val="center"/>
                </w:tcPr>
                <w:p w14:paraId="48AE9A53">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b/>
                      <w:bCs/>
                      <w:szCs w:val="21"/>
                    </w:rPr>
                  </w:pPr>
                  <w:r>
                    <w:rPr>
                      <w:rFonts w:hint="eastAsia"/>
                      <w:b/>
                      <w:bCs/>
                      <w:szCs w:val="21"/>
                    </w:rPr>
                    <w:t>收集风速(</w:t>
                  </w:r>
                  <w:r>
                    <w:rPr>
                      <w:b/>
                      <w:bCs/>
                      <w:szCs w:val="21"/>
                    </w:rPr>
                    <w:t>m/s)</w:t>
                  </w:r>
                </w:p>
              </w:tc>
            </w:tr>
            <w:tr w14:paraId="2208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1" w:type="dxa"/>
                  <w:noWrap w:val="0"/>
                  <w:vAlign w:val="center"/>
                </w:tcPr>
                <w:p w14:paraId="6F730F8D">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szCs w:val="21"/>
                    </w:rPr>
                  </w:pPr>
                  <w:r>
                    <w:rPr>
                      <w:rFonts w:hint="eastAsia"/>
                      <w:szCs w:val="21"/>
                    </w:rPr>
                    <w:t>上料机</w:t>
                  </w:r>
                </w:p>
              </w:tc>
              <w:tc>
                <w:tcPr>
                  <w:tcW w:w="983" w:type="dxa"/>
                  <w:noWrap w:val="0"/>
                  <w:vAlign w:val="center"/>
                </w:tcPr>
                <w:p w14:paraId="7905CEEC">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szCs w:val="21"/>
                    </w:rPr>
                  </w:pPr>
                  <w:r>
                    <w:rPr>
                      <w:rFonts w:hint="eastAsia"/>
                      <w:szCs w:val="21"/>
                    </w:rPr>
                    <w:t>集气罩</w:t>
                  </w:r>
                </w:p>
              </w:tc>
              <w:tc>
                <w:tcPr>
                  <w:tcW w:w="706" w:type="dxa"/>
                  <w:noWrap w:val="0"/>
                  <w:vAlign w:val="center"/>
                </w:tcPr>
                <w:p w14:paraId="7B104453">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szCs w:val="21"/>
                    </w:rPr>
                  </w:pPr>
                  <w:r>
                    <w:rPr>
                      <w:rFonts w:hint="eastAsia"/>
                      <w:szCs w:val="21"/>
                    </w:rPr>
                    <w:t>1</w:t>
                  </w:r>
                </w:p>
              </w:tc>
              <w:tc>
                <w:tcPr>
                  <w:tcW w:w="1170" w:type="dxa"/>
                  <w:noWrap w:val="0"/>
                  <w:vAlign w:val="center"/>
                </w:tcPr>
                <w:p w14:paraId="5CF5134E">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szCs w:val="21"/>
                    </w:rPr>
                  </w:pPr>
                  <w:r>
                    <w:rPr>
                      <w:rFonts w:hint="eastAsia"/>
                      <w:szCs w:val="21"/>
                    </w:rPr>
                    <w:t>1200*12</w:t>
                  </w:r>
                  <w:r>
                    <w:rPr>
                      <w:szCs w:val="21"/>
                    </w:rPr>
                    <w:t>00</w:t>
                  </w:r>
                </w:p>
              </w:tc>
              <w:tc>
                <w:tcPr>
                  <w:tcW w:w="1423" w:type="dxa"/>
                  <w:noWrap w:val="0"/>
                  <w:vAlign w:val="center"/>
                </w:tcPr>
                <w:p w14:paraId="20B66D1E">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szCs w:val="21"/>
                    </w:rPr>
                  </w:pPr>
                  <w:r>
                    <w:rPr>
                      <w:rFonts w:hint="eastAsia"/>
                      <w:szCs w:val="21"/>
                    </w:rPr>
                    <w:t>1.44</w:t>
                  </w:r>
                </w:p>
              </w:tc>
              <w:tc>
                <w:tcPr>
                  <w:tcW w:w="1584" w:type="dxa"/>
                  <w:noWrap w:val="0"/>
                  <w:vAlign w:val="center"/>
                </w:tcPr>
                <w:p w14:paraId="1ABB141D">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szCs w:val="21"/>
                    </w:rPr>
                  </w:pPr>
                  <w:r>
                    <w:rPr>
                      <w:rFonts w:hint="eastAsia"/>
                      <w:szCs w:val="21"/>
                    </w:rPr>
                    <w:t>6000</w:t>
                  </w:r>
                </w:p>
              </w:tc>
              <w:tc>
                <w:tcPr>
                  <w:tcW w:w="1491" w:type="dxa"/>
                  <w:noWrap w:val="0"/>
                  <w:vAlign w:val="center"/>
                </w:tcPr>
                <w:p w14:paraId="11B67BE7">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eastAsia="宋体"/>
                      <w:szCs w:val="21"/>
                      <w:lang w:val="en-US" w:eastAsia="zh-CN"/>
                    </w:rPr>
                  </w:pPr>
                  <w:r>
                    <w:rPr>
                      <w:rFonts w:hint="eastAsia"/>
                      <w:szCs w:val="21"/>
                    </w:rPr>
                    <w:t>1.1</w:t>
                  </w:r>
                  <w:r>
                    <w:rPr>
                      <w:rFonts w:hint="eastAsia"/>
                      <w:szCs w:val="21"/>
                      <w:lang w:val="en-US" w:eastAsia="zh-CN"/>
                    </w:rPr>
                    <w:t>57</w:t>
                  </w:r>
                </w:p>
              </w:tc>
            </w:tr>
            <w:tr w14:paraId="2EACE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1" w:type="dxa"/>
                  <w:noWrap w:val="0"/>
                  <w:vAlign w:val="center"/>
                </w:tcPr>
                <w:p w14:paraId="6A99430A">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eastAsia="宋体"/>
                      <w:szCs w:val="21"/>
                      <w:lang w:val="en-US" w:eastAsia="zh-CN"/>
                    </w:rPr>
                  </w:pPr>
                  <w:r>
                    <w:rPr>
                      <w:rFonts w:hint="eastAsia"/>
                      <w:szCs w:val="21"/>
                      <w:lang w:val="en-US" w:eastAsia="zh-CN"/>
                    </w:rPr>
                    <w:t>挤出机</w:t>
                  </w:r>
                </w:p>
              </w:tc>
              <w:tc>
                <w:tcPr>
                  <w:tcW w:w="983" w:type="dxa"/>
                  <w:noWrap w:val="0"/>
                  <w:vAlign w:val="center"/>
                </w:tcPr>
                <w:p w14:paraId="252E3021">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szCs w:val="21"/>
                    </w:rPr>
                  </w:pPr>
                  <w:r>
                    <w:rPr>
                      <w:rFonts w:hint="eastAsia"/>
                      <w:szCs w:val="21"/>
                    </w:rPr>
                    <w:t>集气罩</w:t>
                  </w:r>
                </w:p>
              </w:tc>
              <w:tc>
                <w:tcPr>
                  <w:tcW w:w="706" w:type="dxa"/>
                  <w:noWrap w:val="0"/>
                  <w:vAlign w:val="center"/>
                </w:tcPr>
                <w:p w14:paraId="42FA1D20">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eastAsia="宋体"/>
                      <w:szCs w:val="21"/>
                      <w:lang w:eastAsia="zh-CN"/>
                    </w:rPr>
                  </w:pPr>
                  <w:r>
                    <w:rPr>
                      <w:rFonts w:hint="eastAsia"/>
                      <w:szCs w:val="21"/>
                      <w:lang w:val="en-US" w:eastAsia="zh-CN"/>
                    </w:rPr>
                    <w:t>4</w:t>
                  </w:r>
                </w:p>
              </w:tc>
              <w:tc>
                <w:tcPr>
                  <w:tcW w:w="1170" w:type="dxa"/>
                  <w:noWrap w:val="0"/>
                  <w:vAlign w:val="center"/>
                </w:tcPr>
                <w:p w14:paraId="0E48236E">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szCs w:val="21"/>
                    </w:rPr>
                  </w:pPr>
                  <w:r>
                    <w:rPr>
                      <w:rFonts w:hint="eastAsia"/>
                      <w:szCs w:val="21"/>
                    </w:rPr>
                    <w:t>直径</w:t>
                  </w:r>
                  <w:r>
                    <w:rPr>
                      <w:rFonts w:hint="eastAsia"/>
                      <w:szCs w:val="21"/>
                      <w:lang w:val="en-US" w:eastAsia="zh-CN"/>
                    </w:rPr>
                    <w:t>6</w:t>
                  </w:r>
                  <w:r>
                    <w:rPr>
                      <w:szCs w:val="21"/>
                    </w:rPr>
                    <w:t>00</w:t>
                  </w:r>
                </w:p>
              </w:tc>
              <w:tc>
                <w:tcPr>
                  <w:tcW w:w="1423" w:type="dxa"/>
                  <w:noWrap w:val="0"/>
                  <w:vAlign w:val="center"/>
                </w:tcPr>
                <w:p w14:paraId="7144E02A">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eastAsia="宋体"/>
                      <w:szCs w:val="21"/>
                      <w:lang w:val="en-US" w:eastAsia="zh-CN"/>
                    </w:rPr>
                  </w:pPr>
                  <w:r>
                    <w:rPr>
                      <w:rFonts w:hint="eastAsia"/>
                      <w:szCs w:val="21"/>
                    </w:rPr>
                    <w:t>0.</w:t>
                  </w:r>
                  <w:r>
                    <w:rPr>
                      <w:rFonts w:hint="eastAsia"/>
                      <w:szCs w:val="21"/>
                      <w:lang w:val="en-US" w:eastAsia="zh-CN"/>
                    </w:rPr>
                    <w:t>2826</w:t>
                  </w:r>
                </w:p>
              </w:tc>
              <w:tc>
                <w:tcPr>
                  <w:tcW w:w="1584" w:type="dxa"/>
                  <w:noWrap w:val="0"/>
                  <w:vAlign w:val="center"/>
                </w:tcPr>
                <w:p w14:paraId="599CBC32">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szCs w:val="21"/>
                    </w:rPr>
                  </w:pPr>
                  <w:r>
                    <w:rPr>
                      <w:rFonts w:hint="eastAsia"/>
                      <w:szCs w:val="21"/>
                      <w:lang w:val="en-US" w:eastAsia="zh-CN"/>
                    </w:rPr>
                    <w:t>6</w:t>
                  </w:r>
                  <w:r>
                    <w:rPr>
                      <w:rFonts w:hint="eastAsia"/>
                      <w:szCs w:val="21"/>
                    </w:rPr>
                    <w:t>000</w:t>
                  </w:r>
                </w:p>
              </w:tc>
              <w:tc>
                <w:tcPr>
                  <w:tcW w:w="1491" w:type="dxa"/>
                  <w:noWrap w:val="0"/>
                  <w:vAlign w:val="center"/>
                </w:tcPr>
                <w:p w14:paraId="40E99BCC">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eastAsia="宋体"/>
                      <w:szCs w:val="21"/>
                      <w:lang w:val="en-US" w:eastAsia="zh-CN"/>
                    </w:rPr>
                  </w:pPr>
                  <w:r>
                    <w:rPr>
                      <w:rFonts w:hint="eastAsia"/>
                      <w:szCs w:val="21"/>
                    </w:rPr>
                    <w:t>1.</w:t>
                  </w:r>
                  <w:r>
                    <w:rPr>
                      <w:rFonts w:hint="eastAsia"/>
                      <w:szCs w:val="21"/>
                      <w:lang w:val="en-US" w:eastAsia="zh-CN"/>
                    </w:rPr>
                    <w:t>474</w:t>
                  </w:r>
                </w:p>
              </w:tc>
            </w:tr>
          </w:tbl>
          <w:p w14:paraId="79A7F72D">
            <w:pPr>
              <w:pStyle w:val="32"/>
              <w:numPr>
                <w:ilvl w:val="0"/>
                <w:numId w:val="0"/>
              </w:numPr>
              <w:spacing w:line="360" w:lineRule="auto"/>
              <w:ind w:firstLine="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(2)废气治理设施</w:t>
            </w:r>
          </w:p>
          <w:p w14:paraId="0919792C">
            <w:pPr>
              <w:adjustRightInd w:val="0"/>
              <w:snapToGrid w:val="0"/>
              <w:spacing w:line="360" w:lineRule="auto"/>
              <w:ind w:firstLine="480" w:firstLineChars="200"/>
              <w:jc w:val="left"/>
              <w:rPr>
                <w:rFonts w:hint="eastAsia"/>
                <w:color w:val="auto"/>
                <w:lang w:val="en-US" w:eastAsia="zh-CN"/>
              </w:rPr>
            </w:pPr>
            <w:r>
              <w:rPr>
                <w:szCs w:val="21"/>
              </w:rPr>
              <w:t>本项目产生的上料粉尘经过收集后，经配套的布袋除尘器处理后通过1根15米高排气筒（</w:t>
            </w:r>
            <w:r>
              <w:rPr>
                <w:rFonts w:hint="eastAsia"/>
                <w:szCs w:val="21"/>
              </w:rPr>
              <w:t>DA00</w:t>
            </w:r>
            <w:r>
              <w:rPr>
                <w:rFonts w:hint="eastAsia"/>
                <w:szCs w:val="21"/>
                <w:lang w:val="en-US" w:eastAsia="zh-CN"/>
              </w:rPr>
              <w:t>2</w:t>
            </w:r>
            <w:r>
              <w:rPr>
                <w:szCs w:val="21"/>
              </w:rPr>
              <w:t>）排放，排放浓度满足</w:t>
            </w:r>
            <w:r>
              <w:rPr>
                <w:bCs/>
                <w:szCs w:val="21"/>
                <w:lang w:bidi="ar"/>
              </w:rPr>
              <w:t>《合成树脂工业污染物排放标准》（GB31572-2015）表5</w:t>
            </w:r>
            <w:r>
              <w:rPr>
                <w:szCs w:val="21"/>
              </w:rPr>
              <w:t>要求。熔融挤出产生的有机废气经收集后采用二级活性炭吸附装置处理后经</w:t>
            </w:r>
            <w:r>
              <w:rPr>
                <w:rFonts w:hint="eastAsia"/>
                <w:szCs w:val="21"/>
              </w:rPr>
              <w:t>15m排气筒（DA00</w:t>
            </w:r>
            <w:r>
              <w:rPr>
                <w:rFonts w:hint="eastAsia"/>
                <w:szCs w:val="21"/>
                <w:lang w:val="en-US" w:eastAsia="zh-CN"/>
              </w:rPr>
              <w:t>1</w:t>
            </w:r>
            <w:r>
              <w:rPr>
                <w:rFonts w:hint="eastAsia"/>
                <w:szCs w:val="21"/>
              </w:rPr>
              <w:t>）排放，有机废气排放浓度</w:t>
            </w:r>
            <w:r>
              <w:rPr>
                <w:szCs w:val="21"/>
              </w:rPr>
              <w:t>满足</w:t>
            </w:r>
            <w:r>
              <w:rPr>
                <w:rFonts w:hint="eastAsia"/>
                <w:color w:val="auto"/>
                <w:lang w:val="en-US" w:eastAsia="zh-CN"/>
              </w:rPr>
              <w:t>《固定源挥发性有机物综合排放标准 第6部分：其他行业》（DB344812.6-2024）表1排放限值。</w:t>
            </w:r>
          </w:p>
          <w:p w14:paraId="27066665">
            <w:pPr>
              <w:adjustRightInd w:val="0"/>
              <w:snapToGrid w:val="0"/>
              <w:spacing w:line="360" w:lineRule="auto"/>
              <w:ind w:firstLine="480" w:firstLineChars="200"/>
              <w:jc w:val="left"/>
              <w:rPr>
                <w:szCs w:val="21"/>
              </w:rPr>
            </w:pPr>
            <w:r>
              <w:rPr>
                <w:rFonts w:hint="eastAsia"/>
                <w:szCs w:val="21"/>
              </w:rPr>
              <w:t>本项目采用塑料颗粒挤出生产颗粒，产品重量为</w:t>
            </w:r>
            <w:r>
              <w:rPr>
                <w:rFonts w:hint="eastAsia"/>
                <w:szCs w:val="21"/>
                <w:lang w:val="en-US" w:eastAsia="zh-CN"/>
              </w:rPr>
              <w:t>2</w:t>
            </w:r>
            <w:r>
              <w:rPr>
                <w:rFonts w:hint="eastAsia"/>
                <w:szCs w:val="21"/>
              </w:rPr>
              <w:t>000t/a，则单位产品非甲烷总烃排放量A=0.</w:t>
            </w:r>
            <w:r>
              <w:rPr>
                <w:rFonts w:hint="eastAsia"/>
                <w:szCs w:val="21"/>
                <w:lang w:val="en-US" w:eastAsia="zh-CN"/>
              </w:rPr>
              <w:t>57</w:t>
            </w:r>
            <w:r>
              <w:rPr>
                <w:rFonts w:hint="eastAsia"/>
                <w:szCs w:val="21"/>
              </w:rPr>
              <w:t>×1000÷</w:t>
            </w:r>
            <w:r>
              <w:rPr>
                <w:rFonts w:hint="eastAsia"/>
                <w:szCs w:val="21"/>
                <w:lang w:val="en-US" w:eastAsia="zh-CN"/>
              </w:rPr>
              <w:t>2</w:t>
            </w:r>
            <w:r>
              <w:rPr>
                <w:rFonts w:hint="eastAsia"/>
                <w:szCs w:val="21"/>
              </w:rPr>
              <w:t>000=0.</w:t>
            </w:r>
            <w:r>
              <w:rPr>
                <w:rFonts w:hint="eastAsia"/>
                <w:szCs w:val="21"/>
                <w:lang w:val="en-US" w:eastAsia="zh-CN"/>
              </w:rPr>
              <w:t>285</w:t>
            </w:r>
            <w:r>
              <w:rPr>
                <w:rFonts w:hint="eastAsia"/>
                <w:szCs w:val="21"/>
              </w:rPr>
              <w:t>kg/t-产品＜0.3kg/t-产品标准要求，因此本项目单位产品非甲烷总烃排放量满足《合成树脂工业污染物排放标准》（GB31572-2015）表5排放限值要求。</w:t>
            </w:r>
          </w:p>
          <w:p w14:paraId="3FD58C70">
            <w:pPr>
              <w:adjustRightInd w:val="0"/>
              <w:snapToGrid w:val="0"/>
              <w:spacing w:line="360" w:lineRule="auto"/>
              <w:ind w:firstLine="480" w:firstLineChars="200"/>
              <w:jc w:val="left"/>
              <w:rPr>
                <w:szCs w:val="21"/>
              </w:rPr>
            </w:pPr>
            <w:r>
              <w:rPr>
                <w:rFonts w:hint="eastAsia"/>
                <w:szCs w:val="21"/>
              </w:rPr>
              <w:t>根据《排污许可证申请与核发技术规范 橡胶和塑料制品工业》（HJ1122-2020），颗粒物(粉尘)采用布袋除尘器处理，袋式除尘为颗粒物处理的可行性技术，有机废气采用二级活性炭吸附技术处理为可行技术。经核算颗粒物排放浓度</w:t>
            </w:r>
            <w:r>
              <w:rPr>
                <w:szCs w:val="21"/>
              </w:rPr>
              <w:t>满足</w:t>
            </w:r>
            <w:r>
              <w:rPr>
                <w:bCs/>
                <w:szCs w:val="21"/>
                <w:lang w:bidi="ar"/>
              </w:rPr>
              <w:t>《合成树脂工业污染物排放标准》（GB31572-2015）表5</w:t>
            </w:r>
            <w:r>
              <w:rPr>
                <w:rFonts w:hint="eastAsia"/>
                <w:szCs w:val="21"/>
              </w:rPr>
              <w:t>及</w:t>
            </w:r>
            <w:r>
              <w:rPr>
                <w:bCs/>
                <w:szCs w:val="21"/>
                <w:lang w:bidi="ar"/>
              </w:rPr>
              <w:t>《合成树脂工业污染物排放标准》（GB31572-2015）表</w:t>
            </w:r>
            <w:r>
              <w:rPr>
                <w:rFonts w:hint="eastAsia"/>
                <w:szCs w:val="21"/>
              </w:rPr>
              <w:t>9无组织排放限值无组织排放浓度限值标准</w:t>
            </w:r>
            <w:r>
              <w:rPr>
                <w:szCs w:val="21"/>
              </w:rPr>
              <w:t>（浓度</w:t>
            </w:r>
            <w:r>
              <w:rPr>
                <w:rFonts w:hint="eastAsia"/>
                <w:szCs w:val="21"/>
              </w:rPr>
              <w:t>1</w:t>
            </w:r>
            <w:r>
              <w:rPr>
                <w:szCs w:val="21"/>
              </w:rPr>
              <w:t>mg/m</w:t>
            </w:r>
            <w:r>
              <w:rPr>
                <w:szCs w:val="21"/>
                <w:vertAlign w:val="superscript"/>
              </w:rPr>
              <w:t>3</w:t>
            </w:r>
            <w:r>
              <w:rPr>
                <w:szCs w:val="21"/>
              </w:rPr>
              <w:t>）要求</w:t>
            </w:r>
            <w:r>
              <w:rPr>
                <w:rFonts w:hint="eastAsia"/>
                <w:szCs w:val="21"/>
              </w:rPr>
              <w:t>。</w:t>
            </w:r>
            <w:r>
              <w:rPr>
                <w:szCs w:val="21"/>
              </w:rPr>
              <w:t>本项目排放的废气在正常工况下，做好废气的污染治理措施，加强管理，定期维护废气处理装置，保证环保设施正常运行，则本项目产生的废气对环境的影响是可以接受的。</w:t>
            </w:r>
          </w:p>
          <w:p w14:paraId="3857C48C">
            <w:pPr>
              <w:bidi w:val="0"/>
              <w:rPr>
                <w:rFonts w:hint="eastAsia"/>
                <w:b/>
                <w:bCs/>
                <w:color w:val="auto"/>
              </w:rPr>
            </w:pPr>
            <w:r>
              <w:rPr>
                <w:rFonts w:hint="eastAsia"/>
                <w:b/>
                <w:bCs/>
                <w:color w:val="auto"/>
                <w:lang w:eastAsia="zh-CN"/>
              </w:rPr>
              <w:t>（</w:t>
            </w:r>
            <w:r>
              <w:rPr>
                <w:rFonts w:hint="eastAsia"/>
                <w:b/>
                <w:bCs/>
                <w:color w:val="auto"/>
                <w:lang w:val="en-US" w:eastAsia="zh-CN"/>
              </w:rPr>
              <w:t>3</w:t>
            </w:r>
            <w:r>
              <w:rPr>
                <w:rFonts w:hint="eastAsia"/>
                <w:b/>
                <w:bCs/>
                <w:color w:val="auto"/>
                <w:lang w:eastAsia="zh-CN"/>
              </w:rPr>
              <w:t>）</w:t>
            </w:r>
            <w:r>
              <w:rPr>
                <w:rFonts w:hint="eastAsia"/>
                <w:b/>
                <w:bCs/>
                <w:color w:val="auto"/>
              </w:rPr>
              <w:t>针对VOCs提出管控要求：</w:t>
            </w:r>
          </w:p>
          <w:p w14:paraId="620D6C26">
            <w:pPr>
              <w:bidi w:val="0"/>
              <w:rPr>
                <w:rFonts w:hint="eastAsia"/>
                <w:color w:val="auto"/>
              </w:rPr>
            </w:pPr>
            <w:r>
              <w:rPr>
                <w:rFonts w:hint="eastAsia"/>
                <w:color w:val="auto"/>
              </w:rPr>
              <w:t>本项目无组织挥发性有机废气须符合《挥发性有机物无组织排放控制标准》（GB37822—2019）中管控要求，企业应建立台账，记录含VOCs原辅材料和含VOCs产品的名称、使用量、回收量、废弃量、去向以及VOCs含量等信息。台账保存期限不少于5年。企业后续不可随意更换涉VOCs原料，应按照环评要求，不涉及喷涂、喷墨等表面处理工序，不使用胶黏剂。本项目通风设备、生产设备、操作工位、车间厂房等应在符合安全生产、职业卫生相关规定的前提下，根据行业作业规程与标准、工业建筑及洁净厂房通风设计规范等的要求，采用合理的通风量。</w:t>
            </w:r>
          </w:p>
          <w:p w14:paraId="426FE452">
            <w:pPr>
              <w:bidi w:val="0"/>
              <w:rPr>
                <w:rFonts w:hint="eastAsia"/>
                <w:b/>
                <w:bCs/>
                <w:color w:val="auto"/>
              </w:rPr>
            </w:pPr>
            <w:r>
              <w:rPr>
                <w:rFonts w:hint="eastAsia"/>
                <w:b/>
                <w:bCs/>
                <w:color w:val="auto"/>
                <w:lang w:val="en-US" w:eastAsia="zh-CN"/>
              </w:rPr>
              <w:t>3、</w:t>
            </w:r>
            <w:r>
              <w:rPr>
                <w:rFonts w:hint="eastAsia"/>
                <w:b/>
                <w:bCs/>
                <w:color w:val="auto"/>
              </w:rPr>
              <w:t>非正常工况</w:t>
            </w:r>
          </w:p>
          <w:p w14:paraId="33A261C3">
            <w:pPr>
              <w:bidi w:val="0"/>
              <w:rPr>
                <w:rFonts w:hint="eastAsia"/>
                <w:color w:val="auto"/>
              </w:rPr>
            </w:pPr>
            <w:r>
              <w:rPr>
                <w:rFonts w:hint="eastAsia"/>
                <w:color w:val="auto"/>
              </w:rPr>
              <w:t>本项目非正常工况废气排放分析及防范措施具体如下：</w:t>
            </w:r>
          </w:p>
          <w:p w14:paraId="06A7A742">
            <w:pPr>
              <w:bidi w:val="0"/>
              <w:rPr>
                <w:rFonts w:hint="eastAsia"/>
                <w:b/>
                <w:bCs/>
                <w:color w:val="auto"/>
              </w:rPr>
            </w:pPr>
            <w:r>
              <w:rPr>
                <w:rFonts w:hint="eastAsia"/>
                <w:b/>
                <w:bCs/>
                <w:color w:val="auto"/>
                <w:lang w:eastAsia="zh-CN"/>
              </w:rPr>
              <w:t>（</w:t>
            </w:r>
            <w:r>
              <w:rPr>
                <w:rFonts w:hint="eastAsia"/>
                <w:b/>
                <w:bCs/>
                <w:color w:val="auto"/>
                <w:lang w:val="en-US" w:eastAsia="zh-CN"/>
              </w:rPr>
              <w:t>1</w:t>
            </w:r>
            <w:r>
              <w:rPr>
                <w:rFonts w:hint="eastAsia"/>
                <w:b/>
                <w:bCs/>
                <w:color w:val="auto"/>
                <w:lang w:eastAsia="zh-CN"/>
              </w:rPr>
              <w:t>）</w:t>
            </w:r>
            <w:r>
              <w:rPr>
                <w:rFonts w:hint="eastAsia"/>
                <w:b/>
                <w:bCs/>
                <w:color w:val="auto"/>
              </w:rPr>
              <w:t>非正常工况源强分析</w:t>
            </w:r>
          </w:p>
          <w:p w14:paraId="525336FF">
            <w:pPr>
              <w:bidi w:val="0"/>
              <w:rPr>
                <w:rFonts w:hint="eastAsia"/>
                <w:color w:val="auto"/>
              </w:rPr>
            </w:pPr>
            <w:r>
              <w:rPr>
                <w:rFonts w:hint="eastAsia"/>
                <w:color w:val="auto"/>
              </w:rPr>
              <w:t>非正常排放一般包括开停车、检修、环保设施不达标三种情况。</w:t>
            </w:r>
          </w:p>
          <w:p w14:paraId="09C32212">
            <w:pPr>
              <w:bidi w:val="0"/>
              <w:rPr>
                <w:rFonts w:hint="eastAsia"/>
                <w:color w:val="auto"/>
              </w:rPr>
            </w:pPr>
            <w:r>
              <w:rPr>
                <w:rFonts w:hint="eastAsia"/>
                <w:color w:val="auto"/>
              </w:rPr>
              <w:t>本项目在开车时，首先运行废气处理装置，然后进行生产作业，使生产中的废气都能得到及时处理。停车时，废气处理装置继续运转，待工艺中的废气完全排出后再关闭。设备检修以及突发性故障（如区域性停电时的停车），企业会事先安排好设备正常停车，停止生产。项目在开、停车时排出污染物均可得到有效处理，排出的污染物和正常生产时的情况基本一致。因此，非正常工况考虑废气环保设施运行不正常的情况，本报告按最不利的情况考虑，即废气处理装置完全失效，处理效率下降至0%。本项目非正常工况为废气处理装置发生故障。</w:t>
            </w:r>
          </w:p>
          <w:p w14:paraId="32C04D50">
            <w:pPr>
              <w:bidi w:val="0"/>
              <w:rPr>
                <w:rFonts w:hint="eastAsia"/>
                <w:color w:val="auto"/>
              </w:rPr>
            </w:pPr>
            <w:r>
              <w:rPr>
                <w:rFonts w:hint="eastAsia"/>
                <w:color w:val="auto"/>
              </w:rPr>
              <w:t>在非正常工况下，按照全厂建成后污染物排放最大情况给出，如下表所示。</w:t>
            </w:r>
          </w:p>
          <w:p w14:paraId="5A5C94AF">
            <w:pPr>
              <w:pStyle w:val="21"/>
              <w:bidi w:val="0"/>
              <w:rPr>
                <w:rFonts w:hint="default"/>
                <w:color w:val="auto"/>
                <w:sz w:val="24"/>
                <w:szCs w:val="24"/>
                <w:lang w:val="en-US" w:eastAsia="zh-CN"/>
              </w:rPr>
            </w:pPr>
            <w:r>
              <w:rPr>
                <w:rFonts w:hint="default"/>
                <w:color w:val="auto"/>
                <w:sz w:val="24"/>
                <w:szCs w:val="24"/>
                <w:lang w:val="en-US" w:eastAsia="zh-CN"/>
              </w:rPr>
              <w:t>表4-</w:t>
            </w:r>
            <w:r>
              <w:rPr>
                <w:rFonts w:hint="eastAsia"/>
                <w:color w:val="auto"/>
                <w:sz w:val="24"/>
                <w:szCs w:val="24"/>
                <w:lang w:val="en-US" w:eastAsia="zh-CN"/>
              </w:rPr>
              <w:t>6</w:t>
            </w:r>
            <w:r>
              <w:rPr>
                <w:rFonts w:hint="default"/>
                <w:color w:val="auto"/>
                <w:sz w:val="24"/>
                <w:szCs w:val="24"/>
                <w:lang w:val="en-US" w:eastAsia="zh-CN"/>
              </w:rPr>
              <w:t xml:space="preserve"> </w:t>
            </w:r>
            <w:r>
              <w:rPr>
                <w:rFonts w:hint="eastAsia"/>
                <w:color w:val="auto"/>
                <w:sz w:val="24"/>
                <w:szCs w:val="24"/>
                <w:lang w:val="en-US" w:eastAsia="zh-CN"/>
              </w:rPr>
              <w:t xml:space="preserve"> </w:t>
            </w:r>
            <w:r>
              <w:rPr>
                <w:rFonts w:hint="default"/>
                <w:color w:val="auto"/>
                <w:sz w:val="24"/>
                <w:szCs w:val="24"/>
                <w:lang w:val="en-US" w:eastAsia="zh-CN"/>
              </w:rPr>
              <w:t>非正常工况下本项目各废气产生及排放情况汇总</w:t>
            </w:r>
          </w:p>
          <w:tbl>
            <w:tblPr>
              <w:tblStyle w:val="12"/>
              <w:tblW w:w="8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36"/>
              <w:gridCol w:w="800"/>
              <w:gridCol w:w="980"/>
              <w:gridCol w:w="1050"/>
              <w:gridCol w:w="952"/>
              <w:gridCol w:w="954"/>
              <w:gridCol w:w="852"/>
              <w:gridCol w:w="1013"/>
              <w:gridCol w:w="862"/>
            </w:tblGrid>
            <w:tr w14:paraId="7544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3" w:type="pct"/>
                  <w:vMerge w:val="restart"/>
                  <w:noWrap w:val="0"/>
                  <w:vAlign w:val="center"/>
                </w:tcPr>
                <w:p w14:paraId="085175B4">
                  <w:pPr>
                    <w:pStyle w:val="22"/>
                    <w:bidi w:val="0"/>
                    <w:rPr>
                      <w:rFonts w:hint="eastAsia"/>
                      <w:b/>
                      <w:bCs/>
                      <w:color w:val="auto"/>
                    </w:rPr>
                  </w:pPr>
                  <w:r>
                    <w:rPr>
                      <w:rFonts w:hint="eastAsia"/>
                      <w:b/>
                      <w:bCs/>
                      <w:color w:val="auto"/>
                    </w:rPr>
                    <w:t>污染源</w:t>
                  </w:r>
                </w:p>
              </w:tc>
              <w:tc>
                <w:tcPr>
                  <w:tcW w:w="481" w:type="pct"/>
                  <w:vMerge w:val="restart"/>
                  <w:noWrap w:val="0"/>
                  <w:vAlign w:val="center"/>
                </w:tcPr>
                <w:p w14:paraId="135FBB6A">
                  <w:pPr>
                    <w:pStyle w:val="22"/>
                    <w:bidi w:val="0"/>
                    <w:rPr>
                      <w:rFonts w:hint="eastAsia"/>
                      <w:b/>
                      <w:bCs/>
                      <w:color w:val="auto"/>
                    </w:rPr>
                  </w:pPr>
                  <w:r>
                    <w:rPr>
                      <w:rFonts w:hint="eastAsia"/>
                      <w:b/>
                      <w:bCs/>
                      <w:color w:val="auto"/>
                    </w:rPr>
                    <w:t>污染物</w:t>
                  </w:r>
                </w:p>
              </w:tc>
              <w:tc>
                <w:tcPr>
                  <w:tcW w:w="2884" w:type="pct"/>
                  <w:gridSpan w:val="5"/>
                  <w:noWrap w:val="0"/>
                  <w:vAlign w:val="center"/>
                </w:tcPr>
                <w:p w14:paraId="2140EBD5">
                  <w:pPr>
                    <w:pStyle w:val="22"/>
                    <w:bidi w:val="0"/>
                    <w:rPr>
                      <w:rFonts w:hint="eastAsia"/>
                      <w:b/>
                      <w:bCs/>
                      <w:color w:val="auto"/>
                    </w:rPr>
                  </w:pPr>
                  <w:r>
                    <w:rPr>
                      <w:rFonts w:hint="eastAsia"/>
                      <w:b/>
                      <w:bCs/>
                      <w:color w:val="auto"/>
                    </w:rPr>
                    <w:t>排放情况</w:t>
                  </w:r>
                </w:p>
              </w:tc>
              <w:tc>
                <w:tcPr>
                  <w:tcW w:w="1129" w:type="pct"/>
                  <w:gridSpan w:val="2"/>
                  <w:noWrap w:val="0"/>
                  <w:vAlign w:val="center"/>
                </w:tcPr>
                <w:p w14:paraId="576AE3D9">
                  <w:pPr>
                    <w:pStyle w:val="22"/>
                    <w:bidi w:val="0"/>
                    <w:rPr>
                      <w:rFonts w:hint="eastAsia"/>
                      <w:b/>
                      <w:bCs/>
                      <w:color w:val="auto"/>
                    </w:rPr>
                  </w:pPr>
                  <w:r>
                    <w:rPr>
                      <w:rFonts w:hint="eastAsia"/>
                      <w:b/>
                      <w:bCs/>
                      <w:color w:val="auto"/>
                    </w:rPr>
                    <w:t>执行标准</w:t>
                  </w:r>
                </w:p>
              </w:tc>
            </w:tr>
            <w:tr w14:paraId="0C055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3" w:type="pct"/>
                  <w:vMerge w:val="continue"/>
                  <w:noWrap w:val="0"/>
                  <w:vAlign w:val="center"/>
                </w:tcPr>
                <w:p w14:paraId="4F65CAA9">
                  <w:pPr>
                    <w:pStyle w:val="22"/>
                    <w:bidi w:val="0"/>
                    <w:rPr>
                      <w:rFonts w:hint="eastAsia"/>
                      <w:b/>
                      <w:bCs/>
                      <w:color w:val="auto"/>
                    </w:rPr>
                  </w:pPr>
                </w:p>
              </w:tc>
              <w:tc>
                <w:tcPr>
                  <w:tcW w:w="481" w:type="pct"/>
                  <w:vMerge w:val="continue"/>
                  <w:noWrap w:val="0"/>
                  <w:vAlign w:val="center"/>
                </w:tcPr>
                <w:p w14:paraId="4F2DF03B">
                  <w:pPr>
                    <w:pStyle w:val="22"/>
                    <w:bidi w:val="0"/>
                    <w:rPr>
                      <w:rFonts w:hint="eastAsia"/>
                      <w:b/>
                      <w:bCs/>
                      <w:color w:val="auto"/>
                    </w:rPr>
                  </w:pPr>
                </w:p>
              </w:tc>
              <w:tc>
                <w:tcPr>
                  <w:tcW w:w="590" w:type="pct"/>
                  <w:noWrap w:val="0"/>
                  <w:vAlign w:val="center"/>
                </w:tcPr>
                <w:p w14:paraId="04E8506C">
                  <w:pPr>
                    <w:pStyle w:val="22"/>
                    <w:bidi w:val="0"/>
                    <w:rPr>
                      <w:rFonts w:hint="eastAsia"/>
                      <w:b/>
                      <w:bCs/>
                      <w:color w:val="auto"/>
                    </w:rPr>
                  </w:pPr>
                  <w:r>
                    <w:rPr>
                      <w:rFonts w:hint="eastAsia"/>
                      <w:b/>
                      <w:bCs/>
                      <w:color w:val="auto"/>
                    </w:rPr>
                    <w:t>排放速率</w:t>
                  </w:r>
                  <w:r>
                    <w:rPr>
                      <w:rFonts w:hint="eastAsia"/>
                      <w:b/>
                      <w:bCs/>
                      <w:color w:val="auto"/>
                      <w:lang w:eastAsia="zh-CN"/>
                    </w:rPr>
                    <w:t>（</w:t>
                  </w:r>
                  <w:r>
                    <w:rPr>
                      <w:rFonts w:hint="eastAsia"/>
                      <w:b/>
                      <w:bCs/>
                      <w:color w:val="auto"/>
                    </w:rPr>
                    <w:t>kg/h</w:t>
                  </w:r>
                  <w:r>
                    <w:rPr>
                      <w:rFonts w:hint="eastAsia"/>
                      <w:b/>
                      <w:bCs/>
                      <w:color w:val="auto"/>
                      <w:lang w:eastAsia="zh-CN"/>
                    </w:rPr>
                    <w:t>）</w:t>
                  </w:r>
                </w:p>
              </w:tc>
              <w:tc>
                <w:tcPr>
                  <w:tcW w:w="632" w:type="pct"/>
                  <w:noWrap w:val="0"/>
                  <w:vAlign w:val="center"/>
                </w:tcPr>
                <w:p w14:paraId="07442889">
                  <w:pPr>
                    <w:pStyle w:val="22"/>
                    <w:bidi w:val="0"/>
                    <w:rPr>
                      <w:rFonts w:hint="eastAsia"/>
                      <w:b/>
                      <w:bCs/>
                      <w:color w:val="auto"/>
                    </w:rPr>
                  </w:pPr>
                  <w:r>
                    <w:rPr>
                      <w:rFonts w:hint="eastAsia"/>
                      <w:b/>
                      <w:bCs/>
                      <w:color w:val="auto"/>
                    </w:rPr>
                    <w:t>排放浓度</w:t>
                  </w:r>
                  <w:r>
                    <w:rPr>
                      <w:rFonts w:hint="eastAsia"/>
                      <w:b/>
                      <w:bCs/>
                      <w:color w:val="auto"/>
                      <w:lang w:eastAsia="zh-CN"/>
                    </w:rPr>
                    <w:t>（</w:t>
                  </w:r>
                  <w:r>
                    <w:rPr>
                      <w:rFonts w:hint="eastAsia"/>
                      <w:b/>
                      <w:bCs/>
                      <w:color w:val="auto"/>
                    </w:rPr>
                    <w:t>mg/</w:t>
                  </w:r>
                  <w:r>
                    <w:rPr>
                      <w:rFonts w:hint="eastAsia"/>
                      <w:b/>
                      <w:bCs/>
                      <w:color w:val="auto"/>
                      <w:lang w:val="en-US" w:eastAsia="zh-CN"/>
                    </w:rPr>
                    <w:t>m</w:t>
                  </w:r>
                  <w:r>
                    <w:rPr>
                      <w:rFonts w:hint="eastAsia"/>
                      <w:b/>
                      <w:bCs/>
                      <w:color w:val="auto"/>
                      <w:vertAlign w:val="superscript"/>
                      <w:lang w:val="en-US" w:eastAsia="zh-CN"/>
                    </w:rPr>
                    <w:t>3</w:t>
                  </w:r>
                  <w:r>
                    <w:rPr>
                      <w:rFonts w:hint="eastAsia"/>
                      <w:b/>
                      <w:bCs/>
                      <w:color w:val="auto"/>
                      <w:lang w:eastAsia="zh-CN"/>
                    </w:rPr>
                    <w:t>）</w:t>
                  </w:r>
                </w:p>
              </w:tc>
              <w:tc>
                <w:tcPr>
                  <w:tcW w:w="573" w:type="pct"/>
                  <w:noWrap w:val="0"/>
                  <w:vAlign w:val="center"/>
                </w:tcPr>
                <w:p w14:paraId="2BFC4D1C">
                  <w:pPr>
                    <w:pStyle w:val="22"/>
                    <w:bidi w:val="0"/>
                    <w:rPr>
                      <w:rFonts w:hint="eastAsia"/>
                      <w:b/>
                      <w:bCs/>
                      <w:color w:val="auto"/>
                    </w:rPr>
                  </w:pPr>
                  <w:r>
                    <w:rPr>
                      <w:rFonts w:hint="eastAsia"/>
                      <w:b/>
                      <w:bCs/>
                      <w:color w:val="auto"/>
                    </w:rPr>
                    <w:t>持续时间</w:t>
                  </w:r>
                </w:p>
                <w:p w14:paraId="44CD40ED">
                  <w:pPr>
                    <w:pStyle w:val="22"/>
                    <w:bidi w:val="0"/>
                    <w:rPr>
                      <w:rFonts w:hint="eastAsia"/>
                      <w:b/>
                      <w:bCs/>
                      <w:color w:val="auto"/>
                    </w:rPr>
                  </w:pPr>
                  <w:r>
                    <w:rPr>
                      <w:rFonts w:hint="eastAsia"/>
                      <w:b/>
                      <w:bCs/>
                      <w:color w:val="auto"/>
                    </w:rPr>
                    <w:t>h/次</w:t>
                  </w:r>
                </w:p>
              </w:tc>
              <w:tc>
                <w:tcPr>
                  <w:tcW w:w="574" w:type="pct"/>
                  <w:noWrap w:val="0"/>
                  <w:vAlign w:val="center"/>
                </w:tcPr>
                <w:p w14:paraId="3179816C">
                  <w:pPr>
                    <w:pStyle w:val="22"/>
                    <w:bidi w:val="0"/>
                    <w:rPr>
                      <w:rFonts w:hint="eastAsia"/>
                      <w:b/>
                      <w:bCs/>
                      <w:color w:val="auto"/>
                    </w:rPr>
                  </w:pPr>
                  <w:r>
                    <w:rPr>
                      <w:rFonts w:hint="eastAsia"/>
                      <w:b/>
                      <w:bCs/>
                      <w:color w:val="auto"/>
                    </w:rPr>
                    <w:t>发生频次</w:t>
                  </w:r>
                </w:p>
                <w:p w14:paraId="71E14C2D">
                  <w:pPr>
                    <w:pStyle w:val="22"/>
                    <w:bidi w:val="0"/>
                    <w:rPr>
                      <w:rFonts w:hint="eastAsia"/>
                      <w:b/>
                      <w:bCs/>
                      <w:color w:val="auto"/>
                    </w:rPr>
                  </w:pPr>
                  <w:r>
                    <w:rPr>
                      <w:rFonts w:hint="eastAsia"/>
                      <w:b/>
                      <w:bCs/>
                      <w:color w:val="auto"/>
                    </w:rPr>
                    <w:t>次/a</w:t>
                  </w:r>
                </w:p>
              </w:tc>
              <w:tc>
                <w:tcPr>
                  <w:tcW w:w="513" w:type="pct"/>
                  <w:noWrap w:val="0"/>
                  <w:vAlign w:val="center"/>
                </w:tcPr>
                <w:p w14:paraId="2173AD67">
                  <w:pPr>
                    <w:pStyle w:val="22"/>
                    <w:bidi w:val="0"/>
                    <w:rPr>
                      <w:rFonts w:hint="eastAsia"/>
                      <w:b/>
                      <w:bCs/>
                      <w:color w:val="auto"/>
                    </w:rPr>
                  </w:pPr>
                  <w:r>
                    <w:rPr>
                      <w:rFonts w:hint="eastAsia"/>
                      <w:b/>
                      <w:bCs/>
                      <w:color w:val="auto"/>
                    </w:rPr>
                    <w:t>排放量</w:t>
                  </w:r>
                </w:p>
                <w:p w14:paraId="580C0F7F">
                  <w:pPr>
                    <w:pStyle w:val="22"/>
                    <w:bidi w:val="0"/>
                    <w:rPr>
                      <w:rFonts w:hint="eastAsia"/>
                      <w:b/>
                      <w:bCs/>
                      <w:color w:val="auto"/>
                    </w:rPr>
                  </w:pPr>
                  <w:r>
                    <w:rPr>
                      <w:rFonts w:hint="eastAsia"/>
                      <w:b/>
                      <w:bCs/>
                      <w:color w:val="auto"/>
                    </w:rPr>
                    <w:t>kg/a</w:t>
                  </w:r>
                </w:p>
              </w:tc>
              <w:tc>
                <w:tcPr>
                  <w:tcW w:w="610" w:type="pct"/>
                  <w:noWrap w:val="0"/>
                  <w:vAlign w:val="center"/>
                </w:tcPr>
                <w:p w14:paraId="12A0ABCA">
                  <w:pPr>
                    <w:pStyle w:val="22"/>
                    <w:bidi w:val="0"/>
                    <w:rPr>
                      <w:rFonts w:hint="eastAsia"/>
                      <w:b/>
                      <w:bCs/>
                      <w:color w:val="auto"/>
                    </w:rPr>
                  </w:pPr>
                  <w:r>
                    <w:rPr>
                      <w:rFonts w:hint="eastAsia"/>
                      <w:b/>
                      <w:bCs/>
                      <w:color w:val="auto"/>
                    </w:rPr>
                    <w:t>浓度</w:t>
                  </w:r>
                  <w:r>
                    <w:rPr>
                      <w:rFonts w:hint="eastAsia"/>
                      <w:b/>
                      <w:bCs/>
                      <w:color w:val="auto"/>
                      <w:lang w:eastAsia="zh-CN"/>
                    </w:rPr>
                    <w:t>（</w:t>
                  </w:r>
                  <w:r>
                    <w:rPr>
                      <w:rFonts w:hint="eastAsia"/>
                      <w:b/>
                      <w:bCs/>
                      <w:color w:val="auto"/>
                    </w:rPr>
                    <w:t>mg/</w:t>
                  </w:r>
                  <w:r>
                    <w:rPr>
                      <w:b/>
                      <w:bCs/>
                      <w:color w:val="auto"/>
                    </w:rPr>
                    <w:t>m</w:t>
                  </w:r>
                  <w:r>
                    <w:rPr>
                      <w:b/>
                      <w:bCs/>
                      <w:color w:val="auto"/>
                      <w:vertAlign w:val="superscript"/>
                    </w:rPr>
                    <w:t>3</w:t>
                  </w:r>
                  <w:r>
                    <w:rPr>
                      <w:rFonts w:hint="eastAsia"/>
                      <w:b/>
                      <w:bCs/>
                      <w:color w:val="auto"/>
                      <w:lang w:eastAsia="zh-CN"/>
                    </w:rPr>
                    <w:t>）</w:t>
                  </w:r>
                </w:p>
              </w:tc>
              <w:tc>
                <w:tcPr>
                  <w:tcW w:w="519" w:type="pct"/>
                  <w:noWrap w:val="0"/>
                  <w:vAlign w:val="center"/>
                </w:tcPr>
                <w:p w14:paraId="5C8B217A">
                  <w:pPr>
                    <w:pStyle w:val="22"/>
                    <w:bidi w:val="0"/>
                    <w:rPr>
                      <w:rFonts w:hint="eastAsia"/>
                      <w:b/>
                      <w:bCs/>
                      <w:color w:val="auto"/>
                    </w:rPr>
                  </w:pPr>
                  <w:r>
                    <w:rPr>
                      <w:rFonts w:hint="eastAsia"/>
                      <w:b/>
                      <w:bCs/>
                      <w:color w:val="auto"/>
                    </w:rPr>
                    <w:t>速率</w:t>
                  </w:r>
                  <w:r>
                    <w:rPr>
                      <w:rFonts w:hint="eastAsia"/>
                      <w:b/>
                      <w:bCs/>
                      <w:color w:val="auto"/>
                      <w:lang w:eastAsia="zh-CN"/>
                    </w:rPr>
                    <w:t>（</w:t>
                  </w:r>
                  <w:r>
                    <w:rPr>
                      <w:rFonts w:hint="eastAsia"/>
                      <w:b/>
                      <w:bCs/>
                      <w:color w:val="auto"/>
                    </w:rPr>
                    <w:t>kg/h</w:t>
                  </w:r>
                  <w:r>
                    <w:rPr>
                      <w:rFonts w:hint="eastAsia"/>
                      <w:b/>
                      <w:bCs/>
                      <w:color w:val="auto"/>
                      <w:lang w:eastAsia="zh-CN"/>
                    </w:rPr>
                    <w:t>）</w:t>
                  </w:r>
                </w:p>
              </w:tc>
            </w:tr>
            <w:tr w14:paraId="1A20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3" w:type="pct"/>
                  <w:noWrap w:val="0"/>
                  <w:vAlign w:val="center"/>
                </w:tcPr>
                <w:p w14:paraId="49664417">
                  <w:pPr>
                    <w:pStyle w:val="22"/>
                    <w:bidi w:val="0"/>
                    <w:rPr>
                      <w:rFonts w:hint="eastAsia"/>
                      <w:color w:val="auto"/>
                    </w:rPr>
                  </w:pPr>
                  <w:r>
                    <w:rPr>
                      <w:rFonts w:hint="eastAsia"/>
                      <w:color w:val="auto"/>
                    </w:rPr>
                    <w:t>DA001</w:t>
                  </w:r>
                </w:p>
              </w:tc>
              <w:tc>
                <w:tcPr>
                  <w:tcW w:w="481" w:type="pct"/>
                  <w:noWrap w:val="0"/>
                  <w:vAlign w:val="center"/>
                </w:tcPr>
                <w:p w14:paraId="4CD60272">
                  <w:pPr>
                    <w:pStyle w:val="22"/>
                    <w:bidi w:val="0"/>
                    <w:rPr>
                      <w:rFonts w:hint="default"/>
                      <w:color w:val="auto"/>
                      <w:lang w:val="en-US" w:eastAsia="zh-CN"/>
                    </w:rPr>
                  </w:pPr>
                  <w:r>
                    <w:rPr>
                      <w:rFonts w:hint="eastAsia"/>
                      <w:color w:val="auto"/>
                      <w:lang w:val="en-US" w:eastAsia="zh-CN"/>
                    </w:rPr>
                    <w:t>非甲烷总烃</w:t>
                  </w:r>
                </w:p>
              </w:tc>
              <w:tc>
                <w:tcPr>
                  <w:tcW w:w="590" w:type="pct"/>
                  <w:noWrap w:val="0"/>
                  <w:vAlign w:val="center"/>
                </w:tcPr>
                <w:p w14:paraId="5C3A93AF">
                  <w:pPr>
                    <w:pStyle w:val="22"/>
                    <w:bidi w:val="0"/>
                    <w:rPr>
                      <w:rFonts w:hint="default"/>
                      <w:color w:val="auto"/>
                      <w:lang w:val="en-US" w:eastAsia="zh-CN"/>
                    </w:rPr>
                  </w:pPr>
                  <w:r>
                    <w:rPr>
                      <w:rFonts w:hint="eastAsia"/>
                      <w:color w:val="auto"/>
                      <w:lang w:val="en-US" w:eastAsia="zh-CN"/>
                    </w:rPr>
                    <w:t>1.25</w:t>
                  </w:r>
                </w:p>
              </w:tc>
              <w:tc>
                <w:tcPr>
                  <w:tcW w:w="632" w:type="pct"/>
                  <w:noWrap w:val="0"/>
                  <w:vAlign w:val="center"/>
                </w:tcPr>
                <w:p w14:paraId="149EF3A2">
                  <w:pPr>
                    <w:pStyle w:val="22"/>
                    <w:bidi w:val="0"/>
                    <w:rPr>
                      <w:rFonts w:hint="default"/>
                      <w:color w:val="auto"/>
                      <w:lang w:val="en-US" w:eastAsia="zh-CN"/>
                    </w:rPr>
                  </w:pPr>
                  <w:r>
                    <w:rPr>
                      <w:rFonts w:hint="eastAsia"/>
                      <w:color w:val="auto"/>
                      <w:lang w:val="en-US" w:eastAsia="zh-CN"/>
                    </w:rPr>
                    <w:t>208</w:t>
                  </w:r>
                </w:p>
              </w:tc>
              <w:tc>
                <w:tcPr>
                  <w:tcW w:w="573" w:type="pct"/>
                  <w:noWrap w:val="0"/>
                  <w:vAlign w:val="center"/>
                </w:tcPr>
                <w:p w14:paraId="1535AC76">
                  <w:pPr>
                    <w:pStyle w:val="22"/>
                    <w:bidi w:val="0"/>
                    <w:rPr>
                      <w:rFonts w:hint="eastAsia"/>
                      <w:color w:val="auto"/>
                    </w:rPr>
                  </w:pPr>
                  <w:r>
                    <w:rPr>
                      <w:rFonts w:hint="eastAsia"/>
                      <w:color w:val="auto"/>
                    </w:rPr>
                    <w:t>0.5</w:t>
                  </w:r>
                </w:p>
              </w:tc>
              <w:tc>
                <w:tcPr>
                  <w:tcW w:w="574" w:type="pct"/>
                  <w:noWrap w:val="0"/>
                  <w:vAlign w:val="center"/>
                </w:tcPr>
                <w:p w14:paraId="60DEA346">
                  <w:pPr>
                    <w:pStyle w:val="22"/>
                    <w:bidi w:val="0"/>
                    <w:rPr>
                      <w:rFonts w:hint="eastAsia"/>
                      <w:color w:val="auto"/>
                    </w:rPr>
                  </w:pPr>
                  <w:r>
                    <w:rPr>
                      <w:rFonts w:hint="eastAsia"/>
                      <w:color w:val="auto"/>
                    </w:rPr>
                    <w:t>1</w:t>
                  </w:r>
                </w:p>
              </w:tc>
              <w:tc>
                <w:tcPr>
                  <w:tcW w:w="513" w:type="pct"/>
                  <w:noWrap w:val="0"/>
                  <w:vAlign w:val="center"/>
                </w:tcPr>
                <w:p w14:paraId="762E4446">
                  <w:pPr>
                    <w:pStyle w:val="22"/>
                    <w:bidi w:val="0"/>
                    <w:rPr>
                      <w:rFonts w:hint="default"/>
                      <w:color w:val="auto"/>
                      <w:lang w:val="en-US" w:eastAsia="zh-CN"/>
                    </w:rPr>
                  </w:pPr>
                  <w:r>
                    <w:rPr>
                      <w:rFonts w:hint="eastAsia"/>
                      <w:color w:val="auto"/>
                    </w:rPr>
                    <w:t>0.</w:t>
                  </w:r>
                  <w:r>
                    <w:rPr>
                      <w:rFonts w:hint="eastAsia"/>
                      <w:color w:val="auto"/>
                      <w:lang w:val="en-US" w:eastAsia="zh-CN"/>
                    </w:rPr>
                    <w:t>625</w:t>
                  </w:r>
                </w:p>
              </w:tc>
              <w:tc>
                <w:tcPr>
                  <w:tcW w:w="610" w:type="pct"/>
                  <w:noWrap w:val="0"/>
                  <w:vAlign w:val="center"/>
                </w:tcPr>
                <w:p w14:paraId="3CC1E3A8">
                  <w:pPr>
                    <w:pStyle w:val="22"/>
                    <w:bidi w:val="0"/>
                    <w:rPr>
                      <w:rFonts w:hint="default"/>
                      <w:color w:val="auto"/>
                      <w:lang w:val="en-US" w:eastAsia="zh-CN"/>
                    </w:rPr>
                  </w:pPr>
                  <w:r>
                    <w:rPr>
                      <w:rFonts w:hint="eastAsia"/>
                      <w:color w:val="auto"/>
                      <w:lang w:val="en-US" w:eastAsia="zh-CN"/>
                    </w:rPr>
                    <w:t>40</w:t>
                  </w:r>
                </w:p>
              </w:tc>
              <w:tc>
                <w:tcPr>
                  <w:tcW w:w="519" w:type="pct"/>
                  <w:noWrap w:val="0"/>
                  <w:vAlign w:val="center"/>
                </w:tcPr>
                <w:p w14:paraId="23439206">
                  <w:pPr>
                    <w:pStyle w:val="22"/>
                    <w:bidi w:val="0"/>
                    <w:rPr>
                      <w:rFonts w:hint="default"/>
                      <w:color w:val="auto"/>
                      <w:lang w:val="en-US" w:eastAsia="zh-CN"/>
                    </w:rPr>
                  </w:pPr>
                  <w:r>
                    <w:rPr>
                      <w:rFonts w:hint="eastAsia"/>
                      <w:color w:val="auto"/>
                      <w:lang w:val="en-US" w:eastAsia="zh-CN"/>
                    </w:rPr>
                    <w:t>1.6</w:t>
                  </w:r>
                </w:p>
              </w:tc>
            </w:tr>
            <w:tr w14:paraId="7350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3" w:type="pct"/>
                  <w:noWrap w:val="0"/>
                  <w:vAlign w:val="center"/>
                </w:tcPr>
                <w:p w14:paraId="09AD3775">
                  <w:pPr>
                    <w:pStyle w:val="22"/>
                    <w:bidi w:val="0"/>
                    <w:rPr>
                      <w:rFonts w:hint="eastAsia" w:eastAsia="宋体"/>
                      <w:color w:val="auto"/>
                      <w:lang w:eastAsia="zh-CN"/>
                    </w:rPr>
                  </w:pPr>
                  <w:r>
                    <w:rPr>
                      <w:rFonts w:hint="eastAsia"/>
                      <w:color w:val="auto"/>
                    </w:rPr>
                    <w:t>DA00</w:t>
                  </w:r>
                  <w:r>
                    <w:rPr>
                      <w:rFonts w:hint="eastAsia"/>
                      <w:color w:val="auto"/>
                      <w:lang w:val="en-US" w:eastAsia="zh-CN"/>
                    </w:rPr>
                    <w:t>2</w:t>
                  </w:r>
                </w:p>
              </w:tc>
              <w:tc>
                <w:tcPr>
                  <w:tcW w:w="481" w:type="pct"/>
                  <w:noWrap w:val="0"/>
                  <w:vAlign w:val="center"/>
                </w:tcPr>
                <w:p w14:paraId="23FA57CA">
                  <w:pPr>
                    <w:pStyle w:val="22"/>
                    <w:bidi w:val="0"/>
                    <w:rPr>
                      <w:rFonts w:hint="default"/>
                      <w:color w:val="auto"/>
                      <w:lang w:val="en-US" w:eastAsia="zh-CN"/>
                    </w:rPr>
                  </w:pPr>
                  <w:r>
                    <w:rPr>
                      <w:rFonts w:hint="eastAsia"/>
                      <w:color w:val="auto"/>
                      <w:lang w:val="en-US" w:eastAsia="zh-CN"/>
                    </w:rPr>
                    <w:t>颗粒物</w:t>
                  </w:r>
                </w:p>
              </w:tc>
              <w:tc>
                <w:tcPr>
                  <w:tcW w:w="590" w:type="pct"/>
                  <w:noWrap w:val="0"/>
                  <w:vAlign w:val="center"/>
                </w:tcPr>
                <w:p w14:paraId="68DFC014">
                  <w:pPr>
                    <w:pStyle w:val="22"/>
                    <w:bidi w:val="0"/>
                    <w:rPr>
                      <w:rFonts w:hint="default"/>
                      <w:color w:val="auto"/>
                      <w:lang w:val="en-US" w:eastAsia="zh-CN"/>
                    </w:rPr>
                  </w:pPr>
                  <w:r>
                    <w:rPr>
                      <w:rFonts w:hint="eastAsia"/>
                      <w:color w:val="auto"/>
                      <w:lang w:val="en-US" w:eastAsia="zh-CN"/>
                    </w:rPr>
                    <w:t>5</w:t>
                  </w:r>
                </w:p>
              </w:tc>
              <w:tc>
                <w:tcPr>
                  <w:tcW w:w="632" w:type="pct"/>
                  <w:noWrap w:val="0"/>
                  <w:vAlign w:val="center"/>
                </w:tcPr>
                <w:p w14:paraId="05019329">
                  <w:pPr>
                    <w:pStyle w:val="22"/>
                    <w:bidi w:val="0"/>
                    <w:rPr>
                      <w:rFonts w:hint="default"/>
                      <w:color w:val="auto"/>
                      <w:lang w:val="en-US" w:eastAsia="zh-CN"/>
                    </w:rPr>
                  </w:pPr>
                  <w:r>
                    <w:rPr>
                      <w:rFonts w:hint="eastAsia"/>
                      <w:color w:val="auto"/>
                      <w:lang w:val="en-US" w:eastAsia="zh-CN"/>
                    </w:rPr>
                    <w:t>835.5</w:t>
                  </w:r>
                </w:p>
              </w:tc>
              <w:tc>
                <w:tcPr>
                  <w:tcW w:w="952" w:type="dxa"/>
                  <w:noWrap w:val="0"/>
                  <w:vAlign w:val="center"/>
                </w:tcPr>
                <w:p w14:paraId="697954DF">
                  <w:pPr>
                    <w:pStyle w:val="22"/>
                    <w:bidi w:val="0"/>
                    <w:ind w:firstLine="0" w:firstLineChars="0"/>
                    <w:rPr>
                      <w:rFonts w:hint="eastAsia"/>
                      <w:color w:val="auto"/>
                    </w:rPr>
                  </w:pPr>
                  <w:r>
                    <w:rPr>
                      <w:rFonts w:hint="eastAsia"/>
                      <w:color w:val="auto"/>
                    </w:rPr>
                    <w:t>0.5</w:t>
                  </w:r>
                </w:p>
              </w:tc>
              <w:tc>
                <w:tcPr>
                  <w:tcW w:w="954" w:type="dxa"/>
                  <w:noWrap w:val="0"/>
                  <w:vAlign w:val="center"/>
                </w:tcPr>
                <w:p w14:paraId="52752464">
                  <w:pPr>
                    <w:pStyle w:val="22"/>
                    <w:bidi w:val="0"/>
                    <w:ind w:firstLine="0" w:firstLineChars="0"/>
                    <w:rPr>
                      <w:rFonts w:hint="eastAsia"/>
                      <w:color w:val="auto"/>
                    </w:rPr>
                  </w:pPr>
                  <w:r>
                    <w:rPr>
                      <w:rFonts w:hint="eastAsia"/>
                      <w:color w:val="auto"/>
                    </w:rPr>
                    <w:t>1</w:t>
                  </w:r>
                </w:p>
              </w:tc>
              <w:tc>
                <w:tcPr>
                  <w:tcW w:w="513" w:type="pct"/>
                  <w:noWrap w:val="0"/>
                  <w:vAlign w:val="center"/>
                </w:tcPr>
                <w:p w14:paraId="3967EC30">
                  <w:pPr>
                    <w:pStyle w:val="22"/>
                    <w:bidi w:val="0"/>
                    <w:rPr>
                      <w:rFonts w:hint="default" w:eastAsia="宋体"/>
                      <w:color w:val="auto"/>
                      <w:lang w:val="en-US" w:eastAsia="zh-CN"/>
                    </w:rPr>
                  </w:pPr>
                  <w:r>
                    <w:rPr>
                      <w:rFonts w:hint="eastAsia"/>
                      <w:color w:val="auto"/>
                      <w:lang w:val="en-US" w:eastAsia="zh-CN"/>
                    </w:rPr>
                    <w:t>2.5</w:t>
                  </w:r>
                </w:p>
              </w:tc>
              <w:tc>
                <w:tcPr>
                  <w:tcW w:w="610" w:type="pct"/>
                  <w:noWrap w:val="0"/>
                  <w:vAlign w:val="center"/>
                </w:tcPr>
                <w:p w14:paraId="1B01EC5A">
                  <w:pPr>
                    <w:pStyle w:val="22"/>
                    <w:bidi w:val="0"/>
                    <w:rPr>
                      <w:rFonts w:hint="default"/>
                      <w:color w:val="auto"/>
                      <w:lang w:val="en-US" w:eastAsia="zh-CN"/>
                    </w:rPr>
                  </w:pPr>
                  <w:r>
                    <w:rPr>
                      <w:rFonts w:hint="eastAsia"/>
                      <w:color w:val="auto"/>
                      <w:lang w:val="en-US" w:eastAsia="zh-CN"/>
                    </w:rPr>
                    <w:t>20</w:t>
                  </w:r>
                </w:p>
              </w:tc>
              <w:tc>
                <w:tcPr>
                  <w:tcW w:w="519" w:type="pct"/>
                  <w:noWrap w:val="0"/>
                  <w:vAlign w:val="center"/>
                </w:tcPr>
                <w:p w14:paraId="6688AA71">
                  <w:pPr>
                    <w:pStyle w:val="22"/>
                    <w:bidi w:val="0"/>
                    <w:rPr>
                      <w:rFonts w:hint="default"/>
                      <w:color w:val="auto"/>
                      <w:lang w:val="en-US" w:eastAsia="zh-CN"/>
                    </w:rPr>
                  </w:pPr>
                  <w:r>
                    <w:rPr>
                      <w:rFonts w:hint="eastAsia"/>
                      <w:color w:val="auto"/>
                      <w:lang w:val="en-US" w:eastAsia="zh-CN"/>
                    </w:rPr>
                    <w:t>/</w:t>
                  </w:r>
                </w:p>
              </w:tc>
            </w:tr>
          </w:tbl>
          <w:p w14:paraId="3FA9CE6E">
            <w:pPr>
              <w:bidi w:val="0"/>
              <w:rPr>
                <w:rFonts w:hint="eastAsia"/>
                <w:color w:val="auto"/>
              </w:rPr>
            </w:pPr>
            <w:r>
              <w:rPr>
                <w:rFonts w:hint="eastAsia"/>
                <w:color w:val="auto"/>
              </w:rPr>
              <w:t>由上表可知，非正常排放情况下，项目排放的</w:t>
            </w:r>
            <w:r>
              <w:rPr>
                <w:rFonts w:hint="eastAsia"/>
                <w:color w:val="auto"/>
                <w:lang w:val="en-US" w:eastAsia="zh-CN"/>
              </w:rPr>
              <w:t>非甲烷总烃、颗粒物均</w:t>
            </w:r>
            <w:r>
              <w:rPr>
                <w:rFonts w:hint="eastAsia"/>
                <w:color w:val="auto"/>
              </w:rPr>
              <w:t>不满足</w:t>
            </w:r>
            <w:r>
              <w:rPr>
                <w:rFonts w:hint="eastAsia"/>
                <w:color w:val="auto"/>
                <w:lang w:val="en-US" w:eastAsia="zh-CN"/>
              </w:rPr>
              <w:t>相应排放标准限值要求</w:t>
            </w:r>
            <w:r>
              <w:rPr>
                <w:rFonts w:hint="eastAsia"/>
                <w:color w:val="auto"/>
              </w:rPr>
              <w:t>，本次评价要求企业应定期检查废气处理装置，严格管理，避免非正常工况发生。</w:t>
            </w:r>
          </w:p>
          <w:p w14:paraId="0B829DC9">
            <w:pPr>
              <w:bidi w:val="0"/>
              <w:rPr>
                <w:rFonts w:hint="eastAsia"/>
                <w:b/>
                <w:bCs/>
                <w:color w:val="auto"/>
              </w:rPr>
            </w:pPr>
            <w:r>
              <w:rPr>
                <w:rFonts w:hint="eastAsia"/>
                <w:b/>
                <w:bCs/>
                <w:color w:val="auto"/>
                <w:lang w:eastAsia="zh-CN"/>
              </w:rPr>
              <w:t>（</w:t>
            </w:r>
            <w:r>
              <w:rPr>
                <w:rFonts w:hint="eastAsia"/>
                <w:b/>
                <w:bCs/>
                <w:color w:val="auto"/>
                <w:lang w:val="en-US" w:eastAsia="zh-CN"/>
              </w:rPr>
              <w:t>2</w:t>
            </w:r>
            <w:r>
              <w:rPr>
                <w:rFonts w:hint="eastAsia"/>
                <w:b/>
                <w:bCs/>
                <w:color w:val="auto"/>
                <w:lang w:eastAsia="zh-CN"/>
              </w:rPr>
              <w:t>）</w:t>
            </w:r>
            <w:r>
              <w:rPr>
                <w:rFonts w:hint="eastAsia"/>
                <w:b/>
                <w:bCs/>
                <w:color w:val="auto"/>
              </w:rPr>
              <w:t>非正常工况防范措施：</w:t>
            </w:r>
          </w:p>
          <w:p w14:paraId="21C273EA">
            <w:pPr>
              <w:bidi w:val="0"/>
              <w:rPr>
                <w:rFonts w:hint="eastAsia"/>
                <w:color w:val="auto"/>
              </w:rPr>
            </w:pPr>
            <w:r>
              <w:rPr>
                <w:rFonts w:hint="eastAsia"/>
                <w:color w:val="auto"/>
              </w:rPr>
              <w:t>为确保项目废气处理装置正常运行，建设方在日常运行过程中，拟采取如下措施：</w:t>
            </w:r>
          </w:p>
          <w:p w14:paraId="370D80CA">
            <w:pPr>
              <w:bidi w:val="0"/>
              <w:rPr>
                <w:rFonts w:hint="eastAsia"/>
                <w:color w:val="auto"/>
              </w:rPr>
            </w:pPr>
            <w:r>
              <w:rPr>
                <w:rFonts w:hint="eastAsia"/>
                <w:color w:val="auto"/>
              </w:rPr>
              <w:fldChar w:fldCharType="begin"/>
            </w:r>
            <w:r>
              <w:rPr>
                <w:rFonts w:hint="eastAsia"/>
                <w:color w:val="auto"/>
              </w:rPr>
              <w:instrText xml:space="preserve"> = 1 \* GB3 </w:instrText>
            </w:r>
            <w:r>
              <w:rPr>
                <w:rFonts w:hint="eastAsia"/>
                <w:color w:val="auto"/>
              </w:rPr>
              <w:fldChar w:fldCharType="separate"/>
            </w:r>
            <w:r>
              <w:rPr>
                <w:rFonts w:hint="eastAsia"/>
                <w:color w:val="auto"/>
              </w:rPr>
              <w:t>①</w:t>
            </w:r>
            <w:r>
              <w:rPr>
                <w:rFonts w:hint="eastAsia"/>
                <w:color w:val="auto"/>
              </w:rPr>
              <w:fldChar w:fldCharType="end"/>
            </w:r>
            <w:r>
              <w:rPr>
                <w:rFonts w:hint="eastAsia"/>
                <w:color w:val="auto"/>
              </w:rPr>
              <w:t>由公司委派专人负责每日巡检废气处理装置，做好巡检记录。</w:t>
            </w:r>
          </w:p>
          <w:p w14:paraId="27E33A23">
            <w:pPr>
              <w:bidi w:val="0"/>
              <w:rPr>
                <w:rFonts w:hint="eastAsia"/>
                <w:color w:val="auto"/>
              </w:rPr>
            </w:pPr>
            <w:r>
              <w:rPr>
                <w:rFonts w:hint="eastAsia"/>
                <w:color w:val="auto"/>
              </w:rPr>
              <w:t>②当发现废气处理设施故障并导致废气非正常排放时，应立即停止生产，待废气处理装置故障排除后并可正常运行时方可恢复生产。</w:t>
            </w:r>
          </w:p>
          <w:p w14:paraId="722B4CE9">
            <w:pPr>
              <w:bidi w:val="0"/>
              <w:rPr>
                <w:rFonts w:hint="eastAsia"/>
                <w:color w:val="auto"/>
              </w:rPr>
            </w:pPr>
            <w:r>
              <w:rPr>
                <w:rFonts w:hint="eastAsia"/>
                <w:color w:val="auto"/>
              </w:rPr>
              <w:fldChar w:fldCharType="begin"/>
            </w:r>
            <w:r>
              <w:rPr>
                <w:rFonts w:hint="eastAsia"/>
                <w:color w:val="auto"/>
              </w:rPr>
              <w:instrText xml:space="preserve"> = 3 \* GB3 </w:instrText>
            </w:r>
            <w:r>
              <w:rPr>
                <w:rFonts w:hint="eastAsia"/>
                <w:color w:val="auto"/>
              </w:rPr>
              <w:fldChar w:fldCharType="separate"/>
            </w:r>
            <w:r>
              <w:rPr>
                <w:rFonts w:hint="eastAsia"/>
                <w:color w:val="auto"/>
              </w:rPr>
              <w:t>③</w:t>
            </w:r>
            <w:r>
              <w:rPr>
                <w:rFonts w:hint="eastAsia"/>
                <w:color w:val="auto"/>
              </w:rPr>
              <w:fldChar w:fldCharType="end"/>
            </w:r>
            <w:r>
              <w:rPr>
                <w:rFonts w:hint="eastAsia"/>
                <w:color w:val="auto"/>
              </w:rPr>
              <w:t>按照环评要求定期对废气处理装置进行维护保养，以减少废气非正常排放。</w:t>
            </w:r>
          </w:p>
          <w:p w14:paraId="5D41DE4C">
            <w:pPr>
              <w:bidi w:val="0"/>
              <w:rPr>
                <w:rFonts w:hint="eastAsia"/>
                <w:color w:val="auto"/>
              </w:rPr>
            </w:pPr>
            <w:r>
              <w:rPr>
                <w:rFonts w:hint="eastAsia"/>
                <w:color w:val="auto"/>
              </w:rPr>
              <w:t>④建立废气处理装置运行管理台账，由专人负责记录。</w:t>
            </w:r>
          </w:p>
          <w:p w14:paraId="020EA6B6">
            <w:pPr>
              <w:bidi w:val="0"/>
              <w:rPr>
                <w:rFonts w:hint="eastAsia"/>
                <w:b/>
                <w:bCs/>
                <w:color w:val="auto"/>
              </w:rPr>
            </w:pPr>
            <w:r>
              <w:rPr>
                <w:rFonts w:hint="eastAsia"/>
                <w:b/>
                <w:bCs/>
                <w:color w:val="auto"/>
                <w:lang w:val="en-US" w:eastAsia="zh-CN"/>
              </w:rPr>
              <w:t>4</w:t>
            </w:r>
            <w:r>
              <w:rPr>
                <w:rFonts w:hint="eastAsia"/>
                <w:b/>
                <w:bCs/>
                <w:color w:val="auto"/>
              </w:rPr>
              <w:t>、大气环境防护距离</w:t>
            </w:r>
          </w:p>
          <w:p w14:paraId="361707BF">
            <w:pPr>
              <w:bidi w:val="0"/>
              <w:rPr>
                <w:rFonts w:hint="eastAsia"/>
                <w:color w:val="auto"/>
              </w:rPr>
            </w:pPr>
            <w:r>
              <w:rPr>
                <w:rFonts w:hint="eastAsia"/>
                <w:color w:val="auto"/>
              </w:rPr>
              <w:t>本项目无需设置大气环境影响专题，未进行大气环境防护距离的计算。项目废气收集处理后均达标排放，对周边环境影响较小，无需设置大气环境防护距离。</w:t>
            </w:r>
          </w:p>
          <w:p w14:paraId="539AFD5C">
            <w:pPr>
              <w:bidi w:val="0"/>
              <w:rPr>
                <w:b/>
                <w:bCs/>
                <w:color w:val="auto"/>
              </w:rPr>
            </w:pPr>
            <w:r>
              <w:rPr>
                <w:rFonts w:hint="eastAsia"/>
                <w:b/>
                <w:bCs/>
                <w:color w:val="auto"/>
                <w:lang w:val="en-US" w:eastAsia="zh-CN"/>
              </w:rPr>
              <w:t>5</w:t>
            </w:r>
            <w:r>
              <w:rPr>
                <w:rFonts w:hint="eastAsia"/>
                <w:b/>
                <w:bCs/>
                <w:color w:val="auto"/>
              </w:rPr>
              <w:t>、</w:t>
            </w:r>
            <w:r>
              <w:rPr>
                <w:b/>
                <w:bCs/>
                <w:color w:val="auto"/>
              </w:rPr>
              <w:t>大气环境影响分析结论</w:t>
            </w:r>
          </w:p>
          <w:p w14:paraId="0A64F055">
            <w:pPr>
              <w:bidi w:val="0"/>
              <w:rPr>
                <w:color w:val="auto"/>
              </w:rPr>
            </w:pPr>
            <w:r>
              <w:rPr>
                <w:rFonts w:hint="eastAsia"/>
                <w:color w:val="auto"/>
              </w:rPr>
              <w:t>根据大气环境现状分析，项目所在区域各基本污染物除</w:t>
            </w:r>
            <w:r>
              <w:rPr>
                <w:rFonts w:hint="eastAsia"/>
                <w:color w:val="auto"/>
                <w:lang w:val="en-US" w:eastAsia="zh-CN"/>
              </w:rPr>
              <w:t>PM</w:t>
            </w:r>
            <w:r>
              <w:rPr>
                <w:rFonts w:hint="eastAsia"/>
                <w:color w:val="auto"/>
                <w:vertAlign w:val="subscript"/>
                <w:lang w:val="en-US" w:eastAsia="zh-CN"/>
              </w:rPr>
              <w:t>2.5</w:t>
            </w:r>
            <w:r>
              <w:rPr>
                <w:color w:val="auto"/>
              </w:rPr>
              <w:t>年平均浓度</w:t>
            </w:r>
            <w:r>
              <w:rPr>
                <w:rFonts w:hint="eastAsia"/>
                <w:color w:val="auto"/>
              </w:rPr>
              <w:t>超标外，其他基本污染物质量浓度均满足《环境空气质量标准》（GB3095-2012）中的二级标准要求。本</w:t>
            </w:r>
            <w:r>
              <w:rPr>
                <w:rFonts w:hint="eastAsia"/>
                <w:color w:val="auto"/>
                <w:lang w:val="en-US" w:eastAsia="zh-CN"/>
              </w:rPr>
              <w:t>项目不使用各类胶黏剂，不涉及喷涂工序，塑料制品加工采用新料，不使用再生塑料，从源头减少有机废气的产生，熔融挤出产生有机废气收集处理。上料环节位于密闭车间内独立工位，料斗上方安装密闭集尘装置，未被收集处理粉尘经密闭车间内沉降，定期干法清洁。</w:t>
            </w:r>
            <w:r>
              <w:rPr>
                <w:rFonts w:hint="eastAsia"/>
                <w:color w:val="auto"/>
              </w:rPr>
              <w:t>根据现场调查，项目周边以工业企业为主，</w:t>
            </w:r>
            <w:r>
              <w:rPr>
                <w:color w:val="auto"/>
              </w:rPr>
              <w:t>厂界外</w:t>
            </w:r>
            <w:r>
              <w:rPr>
                <w:rFonts w:hint="eastAsia"/>
                <w:color w:val="auto"/>
                <w:lang w:val="en-US" w:eastAsia="zh-CN"/>
              </w:rPr>
              <w:t>1</w:t>
            </w:r>
            <w:r>
              <w:rPr>
                <w:color w:val="auto"/>
              </w:rPr>
              <w:t>00米范围内</w:t>
            </w:r>
            <w:r>
              <w:rPr>
                <w:rFonts w:hint="eastAsia"/>
                <w:color w:val="auto"/>
                <w:lang w:val="en-US" w:eastAsia="zh-CN"/>
              </w:rPr>
              <w:t>未分布敏感目标</w:t>
            </w:r>
            <w:r>
              <w:rPr>
                <w:rFonts w:hint="eastAsia"/>
                <w:color w:val="auto"/>
              </w:rPr>
              <w:t>，针对</w:t>
            </w:r>
            <w:r>
              <w:rPr>
                <w:rFonts w:hint="eastAsia"/>
                <w:color w:val="auto"/>
                <w:lang w:val="en-US" w:eastAsia="zh-CN"/>
              </w:rPr>
              <w:t>无组织废气</w:t>
            </w:r>
            <w:r>
              <w:rPr>
                <w:rFonts w:hint="eastAsia"/>
                <w:color w:val="auto"/>
              </w:rPr>
              <w:t>排放，本项目通过加强管理，</w:t>
            </w:r>
            <w:r>
              <w:rPr>
                <w:rFonts w:hint="eastAsia"/>
                <w:color w:val="auto"/>
                <w:lang w:val="en-US" w:eastAsia="zh-CN"/>
              </w:rPr>
              <w:t>使用合格原料，</w:t>
            </w:r>
            <w:r>
              <w:rPr>
                <w:rFonts w:hint="eastAsia"/>
                <w:color w:val="auto"/>
              </w:rPr>
              <w:t>本项目的建设对周边大气环境质量影响较小。</w:t>
            </w:r>
          </w:p>
          <w:p w14:paraId="456C729A">
            <w:pPr>
              <w:bidi w:val="0"/>
              <w:rPr>
                <w:color w:val="auto"/>
                <w:lang w:val="en-US" w:eastAsia="zh-CN"/>
              </w:rPr>
            </w:pPr>
            <w:r>
              <w:rPr>
                <w:color w:val="auto"/>
                <w:lang w:val="en-US" w:eastAsia="zh-CN"/>
              </w:rPr>
              <w:t>综上分析，本项目运营期废气排放对区域环境空气质量以及周边敏感点的影响不大。</w:t>
            </w:r>
          </w:p>
          <w:p w14:paraId="21AF63BE">
            <w:pPr>
              <w:bidi w:val="0"/>
              <w:rPr>
                <w:b/>
                <w:bCs/>
                <w:color w:val="auto"/>
              </w:rPr>
            </w:pPr>
            <w:r>
              <w:rPr>
                <w:rFonts w:hint="eastAsia"/>
                <w:b/>
                <w:bCs/>
                <w:color w:val="auto"/>
              </w:rPr>
              <w:t>二、</w:t>
            </w:r>
            <w:r>
              <w:rPr>
                <w:b/>
                <w:bCs/>
                <w:color w:val="auto"/>
              </w:rPr>
              <w:t>废水环境影响和保护措施</w:t>
            </w:r>
          </w:p>
          <w:p w14:paraId="32C1FB7F">
            <w:pPr>
              <w:bidi w:val="0"/>
              <w:rPr>
                <w:rFonts w:hint="eastAsia"/>
                <w:b/>
                <w:bCs/>
                <w:color w:val="auto"/>
              </w:rPr>
            </w:pPr>
            <w:r>
              <w:rPr>
                <w:rFonts w:hint="eastAsia"/>
                <w:b/>
                <w:bCs/>
                <w:color w:val="auto"/>
              </w:rPr>
              <w:t>1、废水源强</w:t>
            </w:r>
          </w:p>
          <w:p w14:paraId="23C9DD42">
            <w:pPr>
              <w:bidi w:val="0"/>
              <w:rPr>
                <w:color w:val="auto"/>
              </w:rPr>
            </w:pPr>
            <w:r>
              <w:rPr>
                <w:rFonts w:hint="eastAsia"/>
                <w:color w:val="auto"/>
              </w:rPr>
              <w:t>（1）废水污染源强</w:t>
            </w:r>
          </w:p>
          <w:p w14:paraId="0829898F">
            <w:pPr>
              <w:bidi w:val="0"/>
              <w:rPr>
                <w:rFonts w:hint="default"/>
                <w:color w:val="auto"/>
                <w:lang w:val="en-US" w:eastAsia="zh-CN"/>
              </w:rPr>
            </w:pPr>
            <w:r>
              <w:rPr>
                <w:rFonts w:hint="eastAsia"/>
                <w:color w:val="auto"/>
              </w:rPr>
              <w:t>本项目生产过程</w:t>
            </w:r>
            <w:r>
              <w:rPr>
                <w:rFonts w:hint="eastAsia"/>
                <w:color w:val="auto"/>
                <w:lang w:val="en-US" w:eastAsia="zh-CN"/>
              </w:rPr>
              <w:t>外排废水主要为</w:t>
            </w:r>
            <w:r>
              <w:rPr>
                <w:rFonts w:hint="eastAsia"/>
                <w:color w:val="auto"/>
              </w:rPr>
              <w:t>员工生活</w:t>
            </w:r>
            <w:r>
              <w:rPr>
                <w:rFonts w:hint="eastAsia"/>
                <w:color w:val="auto"/>
                <w:lang w:val="en-US" w:eastAsia="zh-CN"/>
              </w:rPr>
              <w:t>污水</w:t>
            </w:r>
            <w:r>
              <w:rPr>
                <w:rFonts w:hint="eastAsia"/>
                <w:color w:val="auto"/>
              </w:rPr>
              <w:t>。</w:t>
            </w:r>
            <w:r>
              <w:rPr>
                <w:rFonts w:hint="eastAsia"/>
                <w:color w:val="auto"/>
                <w:lang w:val="en-US" w:eastAsia="zh-CN"/>
              </w:rPr>
              <w:t>根据前述计算，各类排水量见表4-7。</w:t>
            </w:r>
          </w:p>
          <w:p w14:paraId="3A48A30C">
            <w:pPr>
              <w:bidi w:val="0"/>
              <w:rPr>
                <w:rFonts w:hint="eastAsia"/>
                <w:color w:val="auto"/>
              </w:rPr>
            </w:pPr>
            <w:r>
              <w:rPr>
                <w:color w:val="auto"/>
              </w:rPr>
              <w:t>（2）废水污染源强核算结果及相关参数一览</w:t>
            </w:r>
          </w:p>
          <w:p w14:paraId="5E3CA173">
            <w:pPr>
              <w:bidi w:val="0"/>
              <w:rPr>
                <w:color w:val="auto"/>
              </w:rPr>
            </w:pPr>
            <w:r>
              <w:rPr>
                <w:color w:val="auto"/>
              </w:rPr>
              <w:t>生活污水水质指标参照《</w:t>
            </w:r>
            <w:r>
              <w:rPr>
                <w:rFonts w:hint="eastAsia"/>
                <w:color w:val="auto"/>
              </w:rPr>
              <w:t>生活污染源产排污系数手册</w:t>
            </w:r>
            <w:r>
              <w:rPr>
                <w:color w:val="auto"/>
              </w:rPr>
              <w:t>》中</w:t>
            </w:r>
            <w:r>
              <w:rPr>
                <w:rFonts w:hint="eastAsia"/>
                <w:color w:val="auto"/>
                <w:lang w:eastAsia="zh-CN"/>
              </w:rPr>
              <w:t>“</w:t>
            </w:r>
            <w:r>
              <w:rPr>
                <w:color w:val="auto"/>
              </w:rPr>
              <w:t>表1-1城镇生活源水污染物产生系数</w:t>
            </w:r>
            <w:r>
              <w:rPr>
                <w:rFonts w:hint="eastAsia"/>
                <w:color w:val="auto"/>
                <w:lang w:eastAsia="zh-CN"/>
              </w:rPr>
              <w:t>”</w:t>
            </w:r>
            <w:r>
              <w:rPr>
                <w:color w:val="auto"/>
              </w:rPr>
              <w:t>中四区产污系数，废水污染源强核算结果及相关参数一览见表</w:t>
            </w:r>
            <w:r>
              <w:rPr>
                <w:rFonts w:hint="eastAsia"/>
                <w:color w:val="auto"/>
              </w:rPr>
              <w:t>4-</w:t>
            </w:r>
            <w:r>
              <w:rPr>
                <w:rFonts w:hint="eastAsia"/>
                <w:color w:val="auto"/>
                <w:lang w:val="en-US" w:eastAsia="zh-CN"/>
              </w:rPr>
              <w:t>7</w:t>
            </w:r>
            <w:r>
              <w:rPr>
                <w:color w:val="auto"/>
              </w:rPr>
              <w:t>。</w:t>
            </w:r>
          </w:p>
          <w:p w14:paraId="66C9D6A2">
            <w:pPr>
              <w:pStyle w:val="21"/>
              <w:bidi w:val="0"/>
              <w:rPr>
                <w:rFonts w:hint="eastAsia"/>
                <w:color w:val="auto"/>
                <w:sz w:val="24"/>
                <w:szCs w:val="24"/>
                <w:lang w:eastAsia="zh-CN"/>
              </w:rPr>
            </w:pPr>
            <w:r>
              <w:rPr>
                <w:color w:val="auto"/>
                <w:sz w:val="24"/>
                <w:szCs w:val="24"/>
              </w:rPr>
              <w:t>表</w:t>
            </w:r>
            <w:r>
              <w:rPr>
                <w:rFonts w:hint="eastAsia"/>
                <w:color w:val="auto"/>
                <w:sz w:val="24"/>
                <w:szCs w:val="24"/>
              </w:rPr>
              <w:t>4-</w:t>
            </w:r>
            <w:r>
              <w:rPr>
                <w:rFonts w:hint="eastAsia"/>
                <w:color w:val="auto"/>
                <w:sz w:val="24"/>
                <w:szCs w:val="24"/>
                <w:lang w:val="en-US" w:eastAsia="zh-CN"/>
              </w:rPr>
              <w:t>7</w:t>
            </w:r>
            <w:r>
              <w:rPr>
                <w:rFonts w:hint="eastAsia"/>
                <w:color w:val="auto"/>
                <w:sz w:val="24"/>
                <w:szCs w:val="24"/>
              </w:rPr>
              <w:t xml:space="preserve"> </w:t>
            </w:r>
            <w:r>
              <w:rPr>
                <w:rFonts w:hint="eastAsia"/>
                <w:color w:val="auto"/>
                <w:sz w:val="24"/>
                <w:szCs w:val="24"/>
                <w:lang w:val="en-US" w:eastAsia="zh-CN"/>
              </w:rPr>
              <w:t xml:space="preserve"> </w:t>
            </w:r>
            <w:r>
              <w:rPr>
                <w:rFonts w:hint="eastAsia"/>
                <w:color w:val="auto"/>
                <w:sz w:val="24"/>
                <w:szCs w:val="24"/>
              </w:rPr>
              <w:t>项目废水污染物产生与排放情况</w:t>
            </w:r>
          </w:p>
          <w:tbl>
            <w:tblPr>
              <w:tblStyle w:val="12"/>
              <w:tblW w:w="83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562"/>
              <w:gridCol w:w="887"/>
              <w:gridCol w:w="675"/>
              <w:gridCol w:w="770"/>
              <w:gridCol w:w="856"/>
              <w:gridCol w:w="801"/>
              <w:gridCol w:w="834"/>
              <w:gridCol w:w="735"/>
              <w:gridCol w:w="999"/>
              <w:gridCol w:w="1184"/>
            </w:tblGrid>
            <w:tr w14:paraId="3A1C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562" w:type="dxa"/>
                  <w:vMerge w:val="restart"/>
                  <w:noWrap w:val="0"/>
                  <w:vAlign w:val="center"/>
                </w:tcPr>
                <w:p w14:paraId="5E6A4FBD">
                  <w:pPr>
                    <w:pStyle w:val="22"/>
                    <w:bidi w:val="0"/>
                    <w:rPr>
                      <w:rFonts w:hint="eastAsia"/>
                      <w:b/>
                      <w:bCs/>
                      <w:color w:val="auto"/>
                    </w:rPr>
                  </w:pPr>
                  <w:r>
                    <w:rPr>
                      <w:rFonts w:hint="eastAsia"/>
                      <w:b/>
                      <w:bCs/>
                      <w:color w:val="auto"/>
                    </w:rPr>
                    <w:t>时期</w:t>
                  </w:r>
                </w:p>
              </w:tc>
              <w:tc>
                <w:tcPr>
                  <w:tcW w:w="887" w:type="dxa"/>
                  <w:vMerge w:val="restart"/>
                  <w:noWrap w:val="0"/>
                  <w:vAlign w:val="center"/>
                </w:tcPr>
                <w:p w14:paraId="1CCB16B5">
                  <w:pPr>
                    <w:pStyle w:val="22"/>
                    <w:bidi w:val="0"/>
                    <w:rPr>
                      <w:rFonts w:hint="eastAsia"/>
                      <w:b/>
                      <w:bCs/>
                      <w:color w:val="auto"/>
                    </w:rPr>
                  </w:pPr>
                  <w:r>
                    <w:rPr>
                      <w:rFonts w:hint="eastAsia"/>
                      <w:b/>
                      <w:bCs/>
                      <w:color w:val="auto"/>
                    </w:rPr>
                    <w:t>污染源</w:t>
                  </w:r>
                </w:p>
              </w:tc>
              <w:tc>
                <w:tcPr>
                  <w:tcW w:w="675" w:type="dxa"/>
                  <w:vMerge w:val="restart"/>
                  <w:noWrap w:val="0"/>
                  <w:vAlign w:val="center"/>
                </w:tcPr>
                <w:p w14:paraId="7D4406F6">
                  <w:pPr>
                    <w:pStyle w:val="22"/>
                    <w:bidi w:val="0"/>
                    <w:rPr>
                      <w:rFonts w:hint="eastAsia"/>
                      <w:b/>
                      <w:bCs/>
                      <w:color w:val="auto"/>
                    </w:rPr>
                  </w:pPr>
                  <w:r>
                    <w:rPr>
                      <w:rFonts w:hint="eastAsia"/>
                      <w:b/>
                      <w:bCs/>
                      <w:color w:val="auto"/>
                    </w:rPr>
                    <w:t>废水量t/a</w:t>
                  </w:r>
                </w:p>
              </w:tc>
              <w:tc>
                <w:tcPr>
                  <w:tcW w:w="770" w:type="dxa"/>
                  <w:vMerge w:val="restart"/>
                  <w:noWrap w:val="0"/>
                  <w:vAlign w:val="center"/>
                </w:tcPr>
                <w:p w14:paraId="7365831D">
                  <w:pPr>
                    <w:pStyle w:val="22"/>
                    <w:bidi w:val="0"/>
                    <w:rPr>
                      <w:rFonts w:hint="eastAsia"/>
                      <w:b/>
                      <w:bCs/>
                      <w:color w:val="auto"/>
                    </w:rPr>
                  </w:pPr>
                  <w:r>
                    <w:rPr>
                      <w:rFonts w:hint="eastAsia"/>
                      <w:b/>
                      <w:bCs/>
                      <w:color w:val="auto"/>
                    </w:rPr>
                    <w:t>污染物</w:t>
                  </w:r>
                </w:p>
              </w:tc>
              <w:tc>
                <w:tcPr>
                  <w:tcW w:w="1657" w:type="dxa"/>
                  <w:gridSpan w:val="2"/>
                  <w:noWrap w:val="0"/>
                  <w:vAlign w:val="center"/>
                </w:tcPr>
                <w:p w14:paraId="2D84A268">
                  <w:pPr>
                    <w:pStyle w:val="22"/>
                    <w:bidi w:val="0"/>
                    <w:rPr>
                      <w:rFonts w:hint="eastAsia"/>
                      <w:b/>
                      <w:bCs/>
                      <w:color w:val="auto"/>
                    </w:rPr>
                  </w:pPr>
                  <w:r>
                    <w:rPr>
                      <w:rFonts w:hint="eastAsia"/>
                      <w:b/>
                      <w:bCs/>
                      <w:color w:val="auto"/>
                    </w:rPr>
                    <w:t>产生情况</w:t>
                  </w:r>
                </w:p>
              </w:tc>
              <w:tc>
                <w:tcPr>
                  <w:tcW w:w="834" w:type="dxa"/>
                  <w:vMerge w:val="restart"/>
                  <w:noWrap w:val="0"/>
                  <w:vAlign w:val="center"/>
                </w:tcPr>
                <w:p w14:paraId="229D81E0">
                  <w:pPr>
                    <w:pStyle w:val="22"/>
                    <w:bidi w:val="0"/>
                    <w:rPr>
                      <w:rFonts w:hint="eastAsia"/>
                      <w:b/>
                      <w:bCs/>
                      <w:color w:val="auto"/>
                    </w:rPr>
                  </w:pPr>
                  <w:r>
                    <w:rPr>
                      <w:rFonts w:hint="eastAsia"/>
                      <w:b/>
                      <w:bCs/>
                      <w:color w:val="auto"/>
                    </w:rPr>
                    <w:t>拟采取的处理措施</w:t>
                  </w:r>
                </w:p>
              </w:tc>
              <w:tc>
                <w:tcPr>
                  <w:tcW w:w="1734" w:type="dxa"/>
                  <w:gridSpan w:val="2"/>
                  <w:noWrap w:val="0"/>
                  <w:vAlign w:val="center"/>
                </w:tcPr>
                <w:p w14:paraId="51392AD1">
                  <w:pPr>
                    <w:pStyle w:val="22"/>
                    <w:bidi w:val="0"/>
                    <w:rPr>
                      <w:rFonts w:hint="eastAsia"/>
                      <w:b/>
                      <w:bCs/>
                      <w:color w:val="auto"/>
                    </w:rPr>
                  </w:pPr>
                  <w:r>
                    <w:rPr>
                      <w:rFonts w:hint="eastAsia"/>
                      <w:b/>
                      <w:bCs/>
                      <w:color w:val="auto"/>
                    </w:rPr>
                    <w:t>接管排放情况</w:t>
                  </w:r>
                </w:p>
              </w:tc>
              <w:tc>
                <w:tcPr>
                  <w:tcW w:w="1184" w:type="dxa"/>
                  <w:vMerge w:val="restart"/>
                  <w:noWrap w:val="0"/>
                  <w:vAlign w:val="center"/>
                </w:tcPr>
                <w:p w14:paraId="48D0FAF3">
                  <w:pPr>
                    <w:pStyle w:val="22"/>
                    <w:bidi w:val="0"/>
                    <w:rPr>
                      <w:rFonts w:hint="eastAsia"/>
                      <w:b/>
                      <w:bCs/>
                      <w:color w:val="auto"/>
                    </w:rPr>
                  </w:pPr>
                  <w:r>
                    <w:rPr>
                      <w:rFonts w:hint="eastAsia"/>
                      <w:b/>
                      <w:bCs/>
                      <w:color w:val="auto"/>
                    </w:rPr>
                    <w:t>排放方式及去向</w:t>
                  </w:r>
                </w:p>
              </w:tc>
            </w:tr>
            <w:tr w14:paraId="0EC18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562" w:type="dxa"/>
                  <w:vMerge w:val="continue"/>
                  <w:noWrap w:val="0"/>
                  <w:vAlign w:val="center"/>
                </w:tcPr>
                <w:p w14:paraId="0843B75E">
                  <w:pPr>
                    <w:pStyle w:val="22"/>
                    <w:bidi w:val="0"/>
                    <w:rPr>
                      <w:rFonts w:hint="eastAsia"/>
                      <w:b/>
                      <w:bCs/>
                      <w:color w:val="auto"/>
                    </w:rPr>
                  </w:pPr>
                </w:p>
              </w:tc>
              <w:tc>
                <w:tcPr>
                  <w:tcW w:w="887" w:type="dxa"/>
                  <w:vMerge w:val="continue"/>
                  <w:noWrap w:val="0"/>
                  <w:vAlign w:val="center"/>
                </w:tcPr>
                <w:p w14:paraId="0F7ACD04">
                  <w:pPr>
                    <w:pStyle w:val="22"/>
                    <w:bidi w:val="0"/>
                    <w:rPr>
                      <w:rFonts w:hint="eastAsia"/>
                      <w:b/>
                      <w:bCs/>
                      <w:color w:val="auto"/>
                    </w:rPr>
                  </w:pPr>
                </w:p>
              </w:tc>
              <w:tc>
                <w:tcPr>
                  <w:tcW w:w="675" w:type="dxa"/>
                  <w:vMerge w:val="continue"/>
                  <w:noWrap w:val="0"/>
                  <w:vAlign w:val="center"/>
                </w:tcPr>
                <w:p w14:paraId="0CFFA250">
                  <w:pPr>
                    <w:pStyle w:val="22"/>
                    <w:bidi w:val="0"/>
                    <w:rPr>
                      <w:rFonts w:hint="eastAsia"/>
                      <w:b/>
                      <w:bCs/>
                      <w:color w:val="auto"/>
                    </w:rPr>
                  </w:pPr>
                </w:p>
              </w:tc>
              <w:tc>
                <w:tcPr>
                  <w:tcW w:w="770" w:type="dxa"/>
                  <w:vMerge w:val="continue"/>
                  <w:noWrap w:val="0"/>
                  <w:vAlign w:val="center"/>
                </w:tcPr>
                <w:p w14:paraId="03751530">
                  <w:pPr>
                    <w:pStyle w:val="22"/>
                    <w:bidi w:val="0"/>
                    <w:rPr>
                      <w:rFonts w:hint="eastAsia"/>
                      <w:b/>
                      <w:bCs/>
                      <w:color w:val="auto"/>
                    </w:rPr>
                  </w:pPr>
                </w:p>
              </w:tc>
              <w:tc>
                <w:tcPr>
                  <w:tcW w:w="856" w:type="dxa"/>
                  <w:noWrap w:val="0"/>
                  <w:vAlign w:val="center"/>
                </w:tcPr>
                <w:p w14:paraId="182FB28E">
                  <w:pPr>
                    <w:pStyle w:val="22"/>
                    <w:bidi w:val="0"/>
                    <w:rPr>
                      <w:rFonts w:hint="eastAsia"/>
                      <w:b/>
                      <w:bCs/>
                      <w:color w:val="auto"/>
                    </w:rPr>
                  </w:pPr>
                  <w:r>
                    <w:rPr>
                      <w:rFonts w:hint="eastAsia"/>
                      <w:b/>
                      <w:bCs/>
                      <w:color w:val="auto"/>
                    </w:rPr>
                    <w:t>浓度mg/L</w:t>
                  </w:r>
                </w:p>
              </w:tc>
              <w:tc>
                <w:tcPr>
                  <w:tcW w:w="801" w:type="dxa"/>
                  <w:noWrap w:val="0"/>
                  <w:vAlign w:val="center"/>
                </w:tcPr>
                <w:p w14:paraId="0869F8B0">
                  <w:pPr>
                    <w:pStyle w:val="22"/>
                    <w:bidi w:val="0"/>
                    <w:rPr>
                      <w:rFonts w:hint="eastAsia"/>
                      <w:b/>
                      <w:bCs/>
                      <w:color w:val="auto"/>
                    </w:rPr>
                  </w:pPr>
                  <w:r>
                    <w:rPr>
                      <w:rFonts w:hint="eastAsia"/>
                      <w:b/>
                      <w:bCs/>
                      <w:color w:val="auto"/>
                    </w:rPr>
                    <w:t>产生量t/a</w:t>
                  </w:r>
                </w:p>
              </w:tc>
              <w:tc>
                <w:tcPr>
                  <w:tcW w:w="834" w:type="dxa"/>
                  <w:vMerge w:val="continue"/>
                  <w:noWrap w:val="0"/>
                  <w:vAlign w:val="center"/>
                </w:tcPr>
                <w:p w14:paraId="0562462B">
                  <w:pPr>
                    <w:pStyle w:val="22"/>
                    <w:bidi w:val="0"/>
                    <w:rPr>
                      <w:rFonts w:hint="eastAsia"/>
                      <w:b/>
                      <w:bCs/>
                      <w:color w:val="auto"/>
                    </w:rPr>
                  </w:pPr>
                </w:p>
              </w:tc>
              <w:tc>
                <w:tcPr>
                  <w:tcW w:w="735" w:type="dxa"/>
                  <w:noWrap w:val="0"/>
                  <w:vAlign w:val="center"/>
                </w:tcPr>
                <w:p w14:paraId="6C2738BB">
                  <w:pPr>
                    <w:pStyle w:val="22"/>
                    <w:bidi w:val="0"/>
                    <w:rPr>
                      <w:rFonts w:hint="eastAsia"/>
                      <w:b/>
                      <w:bCs/>
                      <w:color w:val="auto"/>
                    </w:rPr>
                  </w:pPr>
                  <w:r>
                    <w:rPr>
                      <w:rFonts w:hint="eastAsia"/>
                      <w:b/>
                      <w:bCs/>
                      <w:color w:val="auto"/>
                    </w:rPr>
                    <w:t>浓度mg/L</w:t>
                  </w:r>
                </w:p>
              </w:tc>
              <w:tc>
                <w:tcPr>
                  <w:tcW w:w="999" w:type="dxa"/>
                  <w:noWrap w:val="0"/>
                  <w:vAlign w:val="center"/>
                </w:tcPr>
                <w:p w14:paraId="1D275E39">
                  <w:pPr>
                    <w:pStyle w:val="22"/>
                    <w:bidi w:val="0"/>
                    <w:rPr>
                      <w:rFonts w:hint="eastAsia"/>
                      <w:b/>
                      <w:bCs/>
                      <w:color w:val="auto"/>
                    </w:rPr>
                  </w:pPr>
                  <w:r>
                    <w:rPr>
                      <w:rFonts w:hint="eastAsia"/>
                      <w:b/>
                      <w:bCs/>
                      <w:color w:val="auto"/>
                    </w:rPr>
                    <w:t>排放量t/a</w:t>
                  </w:r>
                </w:p>
              </w:tc>
              <w:tc>
                <w:tcPr>
                  <w:tcW w:w="1184" w:type="dxa"/>
                  <w:vMerge w:val="continue"/>
                  <w:noWrap w:val="0"/>
                  <w:vAlign w:val="center"/>
                </w:tcPr>
                <w:p w14:paraId="379B5AC0">
                  <w:pPr>
                    <w:pStyle w:val="22"/>
                    <w:bidi w:val="0"/>
                    <w:rPr>
                      <w:rFonts w:hint="eastAsia"/>
                      <w:color w:val="auto"/>
                    </w:rPr>
                  </w:pPr>
                </w:p>
              </w:tc>
            </w:tr>
            <w:tr w14:paraId="19046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562" w:type="dxa"/>
                  <w:vMerge w:val="restart"/>
                  <w:noWrap w:val="0"/>
                  <w:vAlign w:val="center"/>
                </w:tcPr>
                <w:p w14:paraId="22101ECD">
                  <w:pPr>
                    <w:pStyle w:val="22"/>
                    <w:bidi w:val="0"/>
                    <w:rPr>
                      <w:rFonts w:hint="eastAsia"/>
                      <w:color w:val="auto"/>
                    </w:rPr>
                  </w:pPr>
                  <w:r>
                    <w:rPr>
                      <w:rFonts w:hint="eastAsia"/>
                      <w:color w:val="auto"/>
                    </w:rPr>
                    <w:t>营运期</w:t>
                  </w:r>
                </w:p>
              </w:tc>
              <w:tc>
                <w:tcPr>
                  <w:tcW w:w="887" w:type="dxa"/>
                  <w:vMerge w:val="restart"/>
                  <w:noWrap w:val="0"/>
                  <w:vAlign w:val="center"/>
                </w:tcPr>
                <w:p w14:paraId="017C9D3D">
                  <w:pPr>
                    <w:pStyle w:val="22"/>
                    <w:bidi w:val="0"/>
                    <w:rPr>
                      <w:rFonts w:hint="eastAsia"/>
                      <w:color w:val="auto"/>
                    </w:rPr>
                  </w:pPr>
                  <w:r>
                    <w:rPr>
                      <w:rFonts w:hint="eastAsia"/>
                      <w:color w:val="auto"/>
                    </w:rPr>
                    <w:t>生活</w:t>
                  </w:r>
                </w:p>
                <w:p w14:paraId="3DA7229A">
                  <w:pPr>
                    <w:pStyle w:val="22"/>
                    <w:bidi w:val="0"/>
                    <w:rPr>
                      <w:rFonts w:hint="eastAsia"/>
                      <w:color w:val="auto"/>
                    </w:rPr>
                  </w:pPr>
                  <w:r>
                    <w:rPr>
                      <w:rFonts w:hint="eastAsia"/>
                      <w:color w:val="auto"/>
                    </w:rPr>
                    <w:t>污水</w:t>
                  </w:r>
                </w:p>
              </w:tc>
              <w:tc>
                <w:tcPr>
                  <w:tcW w:w="675" w:type="dxa"/>
                  <w:vMerge w:val="restart"/>
                  <w:noWrap w:val="0"/>
                  <w:vAlign w:val="center"/>
                </w:tcPr>
                <w:p w14:paraId="499F0B45">
                  <w:pPr>
                    <w:pStyle w:val="22"/>
                    <w:bidi w:val="0"/>
                    <w:rPr>
                      <w:rFonts w:hint="default"/>
                      <w:color w:val="auto"/>
                      <w:lang w:val="en-US" w:eastAsia="zh-CN"/>
                    </w:rPr>
                  </w:pPr>
                  <w:r>
                    <w:rPr>
                      <w:rFonts w:hint="eastAsia"/>
                      <w:color w:val="auto"/>
                      <w:lang w:val="en-US" w:eastAsia="zh-CN"/>
                    </w:rPr>
                    <w:t>646</w:t>
                  </w:r>
                </w:p>
              </w:tc>
              <w:tc>
                <w:tcPr>
                  <w:tcW w:w="770" w:type="dxa"/>
                  <w:noWrap w:val="0"/>
                  <w:vAlign w:val="center"/>
                </w:tcPr>
                <w:p w14:paraId="7E4D181F">
                  <w:pPr>
                    <w:pStyle w:val="22"/>
                    <w:bidi w:val="0"/>
                    <w:rPr>
                      <w:rFonts w:hint="eastAsia"/>
                      <w:color w:val="auto"/>
                    </w:rPr>
                  </w:pPr>
                  <w:r>
                    <w:rPr>
                      <w:rFonts w:hint="eastAsia"/>
                      <w:color w:val="auto"/>
                    </w:rPr>
                    <w:t>pH</w:t>
                  </w:r>
                </w:p>
              </w:tc>
              <w:tc>
                <w:tcPr>
                  <w:tcW w:w="856" w:type="dxa"/>
                  <w:noWrap w:val="0"/>
                  <w:vAlign w:val="center"/>
                </w:tcPr>
                <w:p w14:paraId="0610951B">
                  <w:pPr>
                    <w:pStyle w:val="22"/>
                    <w:bidi w:val="0"/>
                    <w:rPr>
                      <w:rFonts w:hint="eastAsia"/>
                      <w:color w:val="auto"/>
                    </w:rPr>
                  </w:pPr>
                  <w:r>
                    <w:rPr>
                      <w:rFonts w:hint="eastAsia"/>
                      <w:color w:val="auto"/>
                    </w:rPr>
                    <w:t>/</w:t>
                  </w:r>
                </w:p>
              </w:tc>
              <w:tc>
                <w:tcPr>
                  <w:tcW w:w="801" w:type="dxa"/>
                  <w:noWrap w:val="0"/>
                  <w:vAlign w:val="center"/>
                </w:tcPr>
                <w:p w14:paraId="26145B2A">
                  <w:pPr>
                    <w:pStyle w:val="22"/>
                    <w:bidi w:val="0"/>
                    <w:rPr>
                      <w:color w:val="auto"/>
                    </w:rPr>
                  </w:pPr>
                  <w:r>
                    <w:rPr>
                      <w:rFonts w:hint="eastAsia"/>
                      <w:color w:val="auto"/>
                    </w:rPr>
                    <w:t>/</w:t>
                  </w:r>
                </w:p>
              </w:tc>
              <w:tc>
                <w:tcPr>
                  <w:tcW w:w="834" w:type="dxa"/>
                  <w:vMerge w:val="restart"/>
                  <w:noWrap w:val="0"/>
                  <w:vAlign w:val="center"/>
                </w:tcPr>
                <w:p w14:paraId="66C2CCE8">
                  <w:pPr>
                    <w:pStyle w:val="22"/>
                    <w:bidi w:val="0"/>
                    <w:rPr>
                      <w:rFonts w:hint="eastAsia"/>
                      <w:color w:val="auto"/>
                    </w:rPr>
                  </w:pPr>
                  <w:r>
                    <w:rPr>
                      <w:rFonts w:hint="eastAsia"/>
                      <w:color w:val="auto"/>
                    </w:rPr>
                    <w:t>化粪池预处理</w:t>
                  </w:r>
                </w:p>
              </w:tc>
              <w:tc>
                <w:tcPr>
                  <w:tcW w:w="735" w:type="dxa"/>
                  <w:noWrap w:val="0"/>
                  <w:vAlign w:val="center"/>
                </w:tcPr>
                <w:p w14:paraId="54896601">
                  <w:pPr>
                    <w:pStyle w:val="22"/>
                    <w:bidi w:val="0"/>
                    <w:rPr>
                      <w:color w:val="auto"/>
                    </w:rPr>
                  </w:pPr>
                  <w:r>
                    <w:rPr>
                      <w:rFonts w:hint="eastAsia"/>
                      <w:color w:val="auto"/>
                    </w:rPr>
                    <w:t>/</w:t>
                  </w:r>
                </w:p>
              </w:tc>
              <w:tc>
                <w:tcPr>
                  <w:tcW w:w="999" w:type="dxa"/>
                  <w:noWrap w:val="0"/>
                  <w:vAlign w:val="center"/>
                </w:tcPr>
                <w:p w14:paraId="0190F31B">
                  <w:pPr>
                    <w:pStyle w:val="22"/>
                    <w:bidi w:val="0"/>
                    <w:rPr>
                      <w:color w:val="auto"/>
                    </w:rPr>
                  </w:pPr>
                  <w:r>
                    <w:rPr>
                      <w:rFonts w:hint="eastAsia"/>
                      <w:color w:val="auto"/>
                    </w:rPr>
                    <w:t>/</w:t>
                  </w:r>
                </w:p>
              </w:tc>
              <w:tc>
                <w:tcPr>
                  <w:tcW w:w="1184" w:type="dxa"/>
                  <w:vMerge w:val="restart"/>
                  <w:noWrap w:val="0"/>
                  <w:vAlign w:val="center"/>
                </w:tcPr>
                <w:p w14:paraId="0AFE264F">
                  <w:pPr>
                    <w:pStyle w:val="22"/>
                    <w:bidi w:val="0"/>
                    <w:rPr>
                      <w:color w:val="auto"/>
                    </w:rPr>
                  </w:pPr>
                  <w:r>
                    <w:rPr>
                      <w:rFonts w:hint="eastAsia"/>
                      <w:color w:val="auto"/>
                    </w:rPr>
                    <w:t>接管</w:t>
                  </w:r>
                  <w:r>
                    <w:rPr>
                      <w:rFonts w:hint="eastAsia"/>
                      <w:color w:val="auto"/>
                      <w:lang w:val="en-US" w:eastAsia="zh-CN"/>
                    </w:rPr>
                    <w:t>安徽（淮南）现代煤化工产业园园区污水处理厂</w:t>
                  </w:r>
                </w:p>
              </w:tc>
            </w:tr>
            <w:tr w14:paraId="08B62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562" w:type="dxa"/>
                  <w:vMerge w:val="continue"/>
                  <w:noWrap w:val="0"/>
                  <w:vAlign w:val="center"/>
                </w:tcPr>
                <w:p w14:paraId="7A333E8A">
                  <w:pPr>
                    <w:pStyle w:val="22"/>
                    <w:bidi w:val="0"/>
                    <w:rPr>
                      <w:rFonts w:hint="eastAsia"/>
                      <w:color w:val="0000FF"/>
                    </w:rPr>
                  </w:pPr>
                </w:p>
              </w:tc>
              <w:tc>
                <w:tcPr>
                  <w:tcW w:w="887" w:type="dxa"/>
                  <w:vMerge w:val="continue"/>
                  <w:noWrap w:val="0"/>
                  <w:vAlign w:val="center"/>
                </w:tcPr>
                <w:p w14:paraId="4AD7E4C6">
                  <w:pPr>
                    <w:pStyle w:val="22"/>
                    <w:bidi w:val="0"/>
                    <w:rPr>
                      <w:rFonts w:hint="eastAsia"/>
                      <w:color w:val="0000FF"/>
                    </w:rPr>
                  </w:pPr>
                </w:p>
              </w:tc>
              <w:tc>
                <w:tcPr>
                  <w:tcW w:w="675" w:type="dxa"/>
                  <w:vMerge w:val="continue"/>
                  <w:noWrap w:val="0"/>
                  <w:vAlign w:val="center"/>
                </w:tcPr>
                <w:p w14:paraId="709526A1">
                  <w:pPr>
                    <w:pStyle w:val="22"/>
                    <w:bidi w:val="0"/>
                    <w:rPr>
                      <w:rFonts w:hint="eastAsia"/>
                      <w:color w:val="0000FF"/>
                    </w:rPr>
                  </w:pPr>
                </w:p>
              </w:tc>
              <w:tc>
                <w:tcPr>
                  <w:tcW w:w="770" w:type="dxa"/>
                  <w:noWrap w:val="0"/>
                  <w:vAlign w:val="center"/>
                </w:tcPr>
                <w:p w14:paraId="731C1FF8">
                  <w:pPr>
                    <w:pStyle w:val="22"/>
                    <w:bidi w:val="0"/>
                    <w:rPr>
                      <w:rFonts w:hint="eastAsia"/>
                      <w:color w:val="auto"/>
                    </w:rPr>
                  </w:pPr>
                  <w:r>
                    <w:rPr>
                      <w:rFonts w:hint="eastAsia"/>
                      <w:color w:val="auto"/>
                    </w:rPr>
                    <w:t>COD</w:t>
                  </w:r>
                </w:p>
              </w:tc>
              <w:tc>
                <w:tcPr>
                  <w:tcW w:w="856" w:type="dxa"/>
                  <w:noWrap w:val="0"/>
                  <w:vAlign w:val="center"/>
                </w:tcPr>
                <w:p w14:paraId="7F8F34A1">
                  <w:pPr>
                    <w:pStyle w:val="22"/>
                    <w:bidi w:val="0"/>
                    <w:rPr>
                      <w:rFonts w:hint="eastAsia"/>
                      <w:color w:val="auto"/>
                    </w:rPr>
                  </w:pPr>
                  <w:r>
                    <w:rPr>
                      <w:rFonts w:hint="eastAsia"/>
                      <w:color w:val="auto"/>
                    </w:rPr>
                    <w:t>340</w:t>
                  </w:r>
                </w:p>
              </w:tc>
              <w:tc>
                <w:tcPr>
                  <w:tcW w:w="801" w:type="dxa"/>
                  <w:noWrap w:val="0"/>
                  <w:vAlign w:val="center"/>
                </w:tcPr>
                <w:p w14:paraId="23E2CB81">
                  <w:pPr>
                    <w:pStyle w:val="22"/>
                    <w:bidi w:val="0"/>
                    <w:rPr>
                      <w:rFonts w:hint="default"/>
                      <w:color w:val="auto"/>
                      <w:lang w:val="en-US" w:eastAsia="zh-CN"/>
                    </w:rPr>
                  </w:pPr>
                  <w:r>
                    <w:rPr>
                      <w:rFonts w:hint="eastAsia"/>
                      <w:color w:val="auto"/>
                      <w:lang w:val="en-US" w:eastAsia="zh-CN"/>
                    </w:rPr>
                    <w:t>0.22</w:t>
                  </w:r>
                </w:p>
              </w:tc>
              <w:tc>
                <w:tcPr>
                  <w:tcW w:w="834" w:type="dxa"/>
                  <w:vMerge w:val="continue"/>
                  <w:noWrap w:val="0"/>
                  <w:vAlign w:val="center"/>
                </w:tcPr>
                <w:p w14:paraId="493FE972">
                  <w:pPr>
                    <w:pStyle w:val="22"/>
                    <w:bidi w:val="0"/>
                    <w:rPr>
                      <w:rFonts w:hint="eastAsia"/>
                      <w:color w:val="0000FF"/>
                    </w:rPr>
                  </w:pPr>
                </w:p>
              </w:tc>
              <w:tc>
                <w:tcPr>
                  <w:tcW w:w="735" w:type="dxa"/>
                  <w:noWrap w:val="0"/>
                  <w:vAlign w:val="center"/>
                </w:tcPr>
                <w:p w14:paraId="35CD1BEB">
                  <w:pPr>
                    <w:pStyle w:val="22"/>
                    <w:bidi w:val="0"/>
                    <w:ind w:firstLine="0" w:firstLineChars="0"/>
                    <w:rPr>
                      <w:color w:val="0000FF"/>
                    </w:rPr>
                  </w:pPr>
                  <w:r>
                    <w:rPr>
                      <w:rFonts w:hint="eastAsia"/>
                      <w:color w:val="auto"/>
                    </w:rPr>
                    <w:t>340</w:t>
                  </w:r>
                </w:p>
              </w:tc>
              <w:tc>
                <w:tcPr>
                  <w:tcW w:w="999" w:type="dxa"/>
                  <w:noWrap w:val="0"/>
                  <w:vAlign w:val="center"/>
                </w:tcPr>
                <w:p w14:paraId="2BC9A1F9">
                  <w:pPr>
                    <w:pStyle w:val="22"/>
                    <w:bidi w:val="0"/>
                    <w:ind w:firstLine="0" w:firstLineChars="0"/>
                    <w:rPr>
                      <w:rFonts w:hint="default"/>
                      <w:color w:val="0000FF"/>
                      <w:lang w:val="en-US" w:eastAsia="zh-CN"/>
                    </w:rPr>
                  </w:pPr>
                  <w:r>
                    <w:rPr>
                      <w:rFonts w:hint="eastAsia"/>
                      <w:color w:val="auto"/>
                      <w:lang w:val="en-US" w:eastAsia="zh-CN"/>
                    </w:rPr>
                    <w:t>0.22</w:t>
                  </w:r>
                </w:p>
              </w:tc>
              <w:tc>
                <w:tcPr>
                  <w:tcW w:w="1184" w:type="dxa"/>
                  <w:vMerge w:val="continue"/>
                  <w:noWrap w:val="0"/>
                  <w:vAlign w:val="center"/>
                </w:tcPr>
                <w:p w14:paraId="73C37730">
                  <w:pPr>
                    <w:pStyle w:val="22"/>
                    <w:bidi w:val="0"/>
                    <w:rPr>
                      <w:rFonts w:hint="eastAsia"/>
                      <w:color w:val="0000FF"/>
                    </w:rPr>
                  </w:pPr>
                </w:p>
              </w:tc>
            </w:tr>
            <w:tr w14:paraId="2CF1E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562" w:type="dxa"/>
                  <w:vMerge w:val="continue"/>
                  <w:noWrap w:val="0"/>
                  <w:vAlign w:val="center"/>
                </w:tcPr>
                <w:p w14:paraId="2E98BAB3">
                  <w:pPr>
                    <w:pStyle w:val="22"/>
                    <w:bidi w:val="0"/>
                    <w:rPr>
                      <w:rFonts w:hint="eastAsia"/>
                      <w:color w:val="0000FF"/>
                    </w:rPr>
                  </w:pPr>
                </w:p>
              </w:tc>
              <w:tc>
                <w:tcPr>
                  <w:tcW w:w="887" w:type="dxa"/>
                  <w:vMerge w:val="continue"/>
                  <w:noWrap w:val="0"/>
                  <w:vAlign w:val="center"/>
                </w:tcPr>
                <w:p w14:paraId="1C1E3B81">
                  <w:pPr>
                    <w:pStyle w:val="22"/>
                    <w:bidi w:val="0"/>
                    <w:rPr>
                      <w:rFonts w:hint="eastAsia"/>
                      <w:color w:val="0000FF"/>
                    </w:rPr>
                  </w:pPr>
                </w:p>
              </w:tc>
              <w:tc>
                <w:tcPr>
                  <w:tcW w:w="675" w:type="dxa"/>
                  <w:vMerge w:val="continue"/>
                  <w:noWrap w:val="0"/>
                  <w:vAlign w:val="center"/>
                </w:tcPr>
                <w:p w14:paraId="1031783B">
                  <w:pPr>
                    <w:pStyle w:val="22"/>
                    <w:bidi w:val="0"/>
                    <w:rPr>
                      <w:rFonts w:hint="eastAsia"/>
                      <w:color w:val="0000FF"/>
                    </w:rPr>
                  </w:pPr>
                </w:p>
              </w:tc>
              <w:tc>
                <w:tcPr>
                  <w:tcW w:w="770" w:type="dxa"/>
                  <w:noWrap w:val="0"/>
                  <w:vAlign w:val="center"/>
                </w:tcPr>
                <w:p w14:paraId="67464898">
                  <w:pPr>
                    <w:pStyle w:val="22"/>
                    <w:bidi w:val="0"/>
                    <w:rPr>
                      <w:rFonts w:hint="eastAsia"/>
                      <w:color w:val="auto"/>
                    </w:rPr>
                  </w:pPr>
                  <w:r>
                    <w:rPr>
                      <w:color w:val="auto"/>
                    </w:rPr>
                    <w:t>BOD</w:t>
                  </w:r>
                  <w:r>
                    <w:rPr>
                      <w:color w:val="auto"/>
                      <w:vertAlign w:val="subscript"/>
                    </w:rPr>
                    <w:t>5</w:t>
                  </w:r>
                </w:p>
              </w:tc>
              <w:tc>
                <w:tcPr>
                  <w:tcW w:w="856" w:type="dxa"/>
                  <w:noWrap w:val="0"/>
                  <w:vAlign w:val="center"/>
                </w:tcPr>
                <w:p w14:paraId="6D79B0FB">
                  <w:pPr>
                    <w:pStyle w:val="22"/>
                    <w:bidi w:val="0"/>
                    <w:rPr>
                      <w:rFonts w:hint="eastAsia"/>
                      <w:color w:val="auto"/>
                    </w:rPr>
                  </w:pPr>
                  <w:r>
                    <w:rPr>
                      <w:rFonts w:hint="eastAsia"/>
                      <w:color w:val="auto"/>
                    </w:rPr>
                    <w:t>160</w:t>
                  </w:r>
                </w:p>
              </w:tc>
              <w:tc>
                <w:tcPr>
                  <w:tcW w:w="801" w:type="dxa"/>
                  <w:noWrap w:val="0"/>
                  <w:vAlign w:val="center"/>
                </w:tcPr>
                <w:p w14:paraId="2405D3A3">
                  <w:pPr>
                    <w:pStyle w:val="22"/>
                    <w:bidi w:val="0"/>
                    <w:rPr>
                      <w:rFonts w:hint="default"/>
                      <w:color w:val="auto"/>
                      <w:lang w:val="en-US" w:eastAsia="zh-CN"/>
                    </w:rPr>
                  </w:pPr>
                  <w:r>
                    <w:rPr>
                      <w:rFonts w:hint="eastAsia"/>
                      <w:color w:val="auto"/>
                    </w:rPr>
                    <w:t>0</w:t>
                  </w:r>
                  <w:r>
                    <w:rPr>
                      <w:rFonts w:hint="eastAsia"/>
                      <w:color w:val="auto"/>
                      <w:lang w:val="en-US" w:eastAsia="zh-CN"/>
                    </w:rPr>
                    <w:t>.103</w:t>
                  </w:r>
                </w:p>
              </w:tc>
              <w:tc>
                <w:tcPr>
                  <w:tcW w:w="834" w:type="dxa"/>
                  <w:vMerge w:val="continue"/>
                  <w:noWrap w:val="0"/>
                  <w:vAlign w:val="center"/>
                </w:tcPr>
                <w:p w14:paraId="4D839C5E">
                  <w:pPr>
                    <w:pStyle w:val="22"/>
                    <w:bidi w:val="0"/>
                    <w:rPr>
                      <w:rFonts w:hint="eastAsia"/>
                      <w:color w:val="0000FF"/>
                    </w:rPr>
                  </w:pPr>
                </w:p>
              </w:tc>
              <w:tc>
                <w:tcPr>
                  <w:tcW w:w="735" w:type="dxa"/>
                  <w:noWrap w:val="0"/>
                  <w:vAlign w:val="center"/>
                </w:tcPr>
                <w:p w14:paraId="3922636C">
                  <w:pPr>
                    <w:pStyle w:val="22"/>
                    <w:bidi w:val="0"/>
                    <w:ind w:firstLine="0" w:firstLineChars="0"/>
                    <w:rPr>
                      <w:color w:val="0000FF"/>
                    </w:rPr>
                  </w:pPr>
                  <w:r>
                    <w:rPr>
                      <w:rFonts w:hint="eastAsia"/>
                      <w:color w:val="auto"/>
                    </w:rPr>
                    <w:t>160</w:t>
                  </w:r>
                </w:p>
              </w:tc>
              <w:tc>
                <w:tcPr>
                  <w:tcW w:w="999" w:type="dxa"/>
                  <w:noWrap w:val="0"/>
                  <w:vAlign w:val="center"/>
                </w:tcPr>
                <w:p w14:paraId="28B3F1E9">
                  <w:pPr>
                    <w:pStyle w:val="22"/>
                    <w:bidi w:val="0"/>
                    <w:ind w:firstLine="0" w:firstLineChars="0"/>
                    <w:rPr>
                      <w:rFonts w:hint="default"/>
                      <w:color w:val="0000FF"/>
                      <w:lang w:val="en-US" w:eastAsia="zh-CN"/>
                    </w:rPr>
                  </w:pPr>
                  <w:r>
                    <w:rPr>
                      <w:rFonts w:hint="eastAsia"/>
                      <w:color w:val="auto"/>
                    </w:rPr>
                    <w:t>0</w:t>
                  </w:r>
                  <w:r>
                    <w:rPr>
                      <w:rFonts w:hint="eastAsia"/>
                      <w:color w:val="auto"/>
                      <w:lang w:val="en-US" w:eastAsia="zh-CN"/>
                    </w:rPr>
                    <w:t>.103</w:t>
                  </w:r>
                </w:p>
              </w:tc>
              <w:tc>
                <w:tcPr>
                  <w:tcW w:w="1184" w:type="dxa"/>
                  <w:vMerge w:val="continue"/>
                  <w:noWrap w:val="0"/>
                  <w:vAlign w:val="center"/>
                </w:tcPr>
                <w:p w14:paraId="27AD86F5">
                  <w:pPr>
                    <w:pStyle w:val="22"/>
                    <w:bidi w:val="0"/>
                    <w:rPr>
                      <w:rFonts w:hint="eastAsia"/>
                      <w:color w:val="0000FF"/>
                    </w:rPr>
                  </w:pPr>
                </w:p>
              </w:tc>
            </w:tr>
            <w:tr w14:paraId="1EB13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562" w:type="dxa"/>
                  <w:vMerge w:val="continue"/>
                  <w:noWrap w:val="0"/>
                  <w:vAlign w:val="center"/>
                </w:tcPr>
                <w:p w14:paraId="48909C1E">
                  <w:pPr>
                    <w:pStyle w:val="22"/>
                    <w:bidi w:val="0"/>
                    <w:rPr>
                      <w:rFonts w:hint="eastAsia"/>
                      <w:color w:val="0000FF"/>
                    </w:rPr>
                  </w:pPr>
                </w:p>
              </w:tc>
              <w:tc>
                <w:tcPr>
                  <w:tcW w:w="887" w:type="dxa"/>
                  <w:vMerge w:val="continue"/>
                  <w:noWrap w:val="0"/>
                  <w:vAlign w:val="center"/>
                </w:tcPr>
                <w:p w14:paraId="0DAFA575">
                  <w:pPr>
                    <w:pStyle w:val="22"/>
                    <w:bidi w:val="0"/>
                    <w:rPr>
                      <w:rFonts w:hint="eastAsia"/>
                      <w:color w:val="0000FF"/>
                    </w:rPr>
                  </w:pPr>
                </w:p>
              </w:tc>
              <w:tc>
                <w:tcPr>
                  <w:tcW w:w="675" w:type="dxa"/>
                  <w:vMerge w:val="continue"/>
                  <w:noWrap w:val="0"/>
                  <w:vAlign w:val="center"/>
                </w:tcPr>
                <w:p w14:paraId="69DDECBF">
                  <w:pPr>
                    <w:pStyle w:val="22"/>
                    <w:bidi w:val="0"/>
                    <w:rPr>
                      <w:rFonts w:hint="eastAsia"/>
                      <w:color w:val="0000FF"/>
                    </w:rPr>
                  </w:pPr>
                </w:p>
              </w:tc>
              <w:tc>
                <w:tcPr>
                  <w:tcW w:w="770" w:type="dxa"/>
                  <w:noWrap w:val="0"/>
                  <w:vAlign w:val="center"/>
                </w:tcPr>
                <w:p w14:paraId="13FD4366">
                  <w:pPr>
                    <w:pStyle w:val="22"/>
                    <w:bidi w:val="0"/>
                    <w:rPr>
                      <w:rFonts w:hint="eastAsia"/>
                      <w:color w:val="auto"/>
                    </w:rPr>
                  </w:pPr>
                  <w:r>
                    <w:rPr>
                      <w:rFonts w:hint="eastAsia"/>
                      <w:color w:val="auto"/>
                    </w:rPr>
                    <w:t>氨氮</w:t>
                  </w:r>
                </w:p>
              </w:tc>
              <w:tc>
                <w:tcPr>
                  <w:tcW w:w="856" w:type="dxa"/>
                  <w:noWrap w:val="0"/>
                  <w:vAlign w:val="center"/>
                </w:tcPr>
                <w:p w14:paraId="0E6892D3">
                  <w:pPr>
                    <w:pStyle w:val="22"/>
                    <w:bidi w:val="0"/>
                    <w:rPr>
                      <w:rFonts w:hint="eastAsia"/>
                      <w:color w:val="auto"/>
                    </w:rPr>
                  </w:pPr>
                  <w:r>
                    <w:rPr>
                      <w:rFonts w:hint="eastAsia"/>
                      <w:color w:val="auto"/>
                    </w:rPr>
                    <w:t>32.6</w:t>
                  </w:r>
                </w:p>
              </w:tc>
              <w:tc>
                <w:tcPr>
                  <w:tcW w:w="801" w:type="dxa"/>
                  <w:noWrap w:val="0"/>
                  <w:vAlign w:val="center"/>
                </w:tcPr>
                <w:p w14:paraId="405FF0A8">
                  <w:pPr>
                    <w:pStyle w:val="22"/>
                    <w:bidi w:val="0"/>
                    <w:rPr>
                      <w:rFonts w:hint="default"/>
                      <w:color w:val="auto"/>
                      <w:lang w:val="en-US" w:eastAsia="zh-CN"/>
                    </w:rPr>
                  </w:pPr>
                  <w:r>
                    <w:rPr>
                      <w:rFonts w:hint="eastAsia"/>
                      <w:color w:val="auto"/>
                    </w:rPr>
                    <w:t>0.</w:t>
                  </w:r>
                  <w:r>
                    <w:rPr>
                      <w:rFonts w:hint="eastAsia"/>
                      <w:color w:val="auto"/>
                      <w:lang w:val="en-US" w:eastAsia="zh-CN"/>
                    </w:rPr>
                    <w:t>021</w:t>
                  </w:r>
                </w:p>
              </w:tc>
              <w:tc>
                <w:tcPr>
                  <w:tcW w:w="834" w:type="dxa"/>
                  <w:vMerge w:val="continue"/>
                  <w:noWrap w:val="0"/>
                  <w:vAlign w:val="center"/>
                </w:tcPr>
                <w:p w14:paraId="0DF90653">
                  <w:pPr>
                    <w:pStyle w:val="22"/>
                    <w:bidi w:val="0"/>
                    <w:rPr>
                      <w:rFonts w:hint="eastAsia"/>
                      <w:color w:val="0000FF"/>
                    </w:rPr>
                  </w:pPr>
                </w:p>
              </w:tc>
              <w:tc>
                <w:tcPr>
                  <w:tcW w:w="735" w:type="dxa"/>
                  <w:noWrap w:val="0"/>
                  <w:vAlign w:val="center"/>
                </w:tcPr>
                <w:p w14:paraId="1A34359D">
                  <w:pPr>
                    <w:pStyle w:val="22"/>
                    <w:bidi w:val="0"/>
                    <w:ind w:firstLine="0" w:firstLineChars="0"/>
                    <w:rPr>
                      <w:rFonts w:hint="eastAsia"/>
                      <w:color w:val="0000FF"/>
                    </w:rPr>
                  </w:pPr>
                  <w:r>
                    <w:rPr>
                      <w:rFonts w:hint="eastAsia"/>
                      <w:color w:val="auto"/>
                    </w:rPr>
                    <w:t>32.6</w:t>
                  </w:r>
                </w:p>
              </w:tc>
              <w:tc>
                <w:tcPr>
                  <w:tcW w:w="999" w:type="dxa"/>
                  <w:noWrap w:val="0"/>
                  <w:vAlign w:val="center"/>
                </w:tcPr>
                <w:p w14:paraId="6C65D702">
                  <w:pPr>
                    <w:pStyle w:val="22"/>
                    <w:bidi w:val="0"/>
                    <w:ind w:firstLine="0" w:firstLineChars="0"/>
                    <w:rPr>
                      <w:rFonts w:hint="default"/>
                      <w:color w:val="0000FF"/>
                      <w:lang w:val="en-US" w:eastAsia="zh-CN"/>
                    </w:rPr>
                  </w:pPr>
                  <w:r>
                    <w:rPr>
                      <w:rFonts w:hint="eastAsia"/>
                      <w:color w:val="auto"/>
                    </w:rPr>
                    <w:t>0.</w:t>
                  </w:r>
                  <w:r>
                    <w:rPr>
                      <w:rFonts w:hint="eastAsia"/>
                      <w:color w:val="auto"/>
                      <w:lang w:val="en-US" w:eastAsia="zh-CN"/>
                    </w:rPr>
                    <w:t>021</w:t>
                  </w:r>
                </w:p>
              </w:tc>
              <w:tc>
                <w:tcPr>
                  <w:tcW w:w="1184" w:type="dxa"/>
                  <w:vMerge w:val="continue"/>
                  <w:noWrap w:val="0"/>
                  <w:vAlign w:val="center"/>
                </w:tcPr>
                <w:p w14:paraId="2B219D9E">
                  <w:pPr>
                    <w:pStyle w:val="22"/>
                    <w:bidi w:val="0"/>
                    <w:rPr>
                      <w:rFonts w:hint="eastAsia"/>
                      <w:color w:val="0000FF"/>
                    </w:rPr>
                  </w:pPr>
                </w:p>
              </w:tc>
            </w:tr>
            <w:tr w14:paraId="0278B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562" w:type="dxa"/>
                  <w:vMerge w:val="continue"/>
                  <w:noWrap w:val="0"/>
                  <w:vAlign w:val="center"/>
                </w:tcPr>
                <w:p w14:paraId="76BD7044">
                  <w:pPr>
                    <w:pStyle w:val="22"/>
                    <w:bidi w:val="0"/>
                    <w:rPr>
                      <w:rFonts w:hint="eastAsia"/>
                      <w:color w:val="0000FF"/>
                    </w:rPr>
                  </w:pPr>
                </w:p>
              </w:tc>
              <w:tc>
                <w:tcPr>
                  <w:tcW w:w="887" w:type="dxa"/>
                  <w:vMerge w:val="continue"/>
                  <w:noWrap w:val="0"/>
                  <w:vAlign w:val="center"/>
                </w:tcPr>
                <w:p w14:paraId="71EFC835">
                  <w:pPr>
                    <w:pStyle w:val="22"/>
                    <w:bidi w:val="0"/>
                    <w:rPr>
                      <w:rFonts w:hint="eastAsia"/>
                      <w:color w:val="0000FF"/>
                    </w:rPr>
                  </w:pPr>
                </w:p>
              </w:tc>
              <w:tc>
                <w:tcPr>
                  <w:tcW w:w="675" w:type="dxa"/>
                  <w:vMerge w:val="continue"/>
                  <w:noWrap w:val="0"/>
                  <w:vAlign w:val="center"/>
                </w:tcPr>
                <w:p w14:paraId="60B6C07D">
                  <w:pPr>
                    <w:pStyle w:val="22"/>
                    <w:bidi w:val="0"/>
                    <w:rPr>
                      <w:rFonts w:hint="eastAsia"/>
                      <w:color w:val="0000FF"/>
                    </w:rPr>
                  </w:pPr>
                </w:p>
              </w:tc>
              <w:tc>
                <w:tcPr>
                  <w:tcW w:w="770" w:type="dxa"/>
                  <w:noWrap w:val="0"/>
                  <w:vAlign w:val="center"/>
                </w:tcPr>
                <w:p w14:paraId="1FDDCAB2">
                  <w:pPr>
                    <w:pStyle w:val="22"/>
                    <w:bidi w:val="0"/>
                    <w:rPr>
                      <w:rFonts w:hint="eastAsia"/>
                      <w:color w:val="auto"/>
                    </w:rPr>
                  </w:pPr>
                  <w:r>
                    <w:rPr>
                      <w:rFonts w:hint="eastAsia"/>
                      <w:color w:val="auto"/>
                    </w:rPr>
                    <w:t>SS</w:t>
                  </w:r>
                </w:p>
              </w:tc>
              <w:tc>
                <w:tcPr>
                  <w:tcW w:w="856" w:type="dxa"/>
                  <w:noWrap w:val="0"/>
                  <w:vAlign w:val="center"/>
                </w:tcPr>
                <w:p w14:paraId="4DC888AB">
                  <w:pPr>
                    <w:pStyle w:val="22"/>
                    <w:bidi w:val="0"/>
                    <w:rPr>
                      <w:rFonts w:hint="eastAsia"/>
                      <w:color w:val="auto"/>
                    </w:rPr>
                  </w:pPr>
                  <w:r>
                    <w:rPr>
                      <w:rFonts w:hint="eastAsia"/>
                      <w:color w:val="auto"/>
                    </w:rPr>
                    <w:t>200</w:t>
                  </w:r>
                </w:p>
              </w:tc>
              <w:tc>
                <w:tcPr>
                  <w:tcW w:w="801" w:type="dxa"/>
                  <w:noWrap w:val="0"/>
                  <w:vAlign w:val="center"/>
                </w:tcPr>
                <w:p w14:paraId="6C3BDDDB">
                  <w:pPr>
                    <w:pStyle w:val="22"/>
                    <w:bidi w:val="0"/>
                    <w:rPr>
                      <w:rFonts w:hint="default"/>
                      <w:color w:val="auto"/>
                      <w:lang w:val="en-US" w:eastAsia="zh-CN"/>
                    </w:rPr>
                  </w:pPr>
                  <w:r>
                    <w:rPr>
                      <w:rFonts w:hint="eastAsia"/>
                      <w:color w:val="auto"/>
                      <w:lang w:val="en-US" w:eastAsia="zh-CN"/>
                    </w:rPr>
                    <w:t>0.129</w:t>
                  </w:r>
                </w:p>
              </w:tc>
              <w:tc>
                <w:tcPr>
                  <w:tcW w:w="834" w:type="dxa"/>
                  <w:vMerge w:val="continue"/>
                  <w:noWrap w:val="0"/>
                  <w:vAlign w:val="center"/>
                </w:tcPr>
                <w:p w14:paraId="6E4AB45B">
                  <w:pPr>
                    <w:pStyle w:val="22"/>
                    <w:bidi w:val="0"/>
                    <w:rPr>
                      <w:rFonts w:hint="eastAsia"/>
                      <w:color w:val="0000FF"/>
                    </w:rPr>
                  </w:pPr>
                </w:p>
              </w:tc>
              <w:tc>
                <w:tcPr>
                  <w:tcW w:w="735" w:type="dxa"/>
                  <w:noWrap w:val="0"/>
                  <w:vAlign w:val="center"/>
                </w:tcPr>
                <w:p w14:paraId="725BEDB8">
                  <w:pPr>
                    <w:pStyle w:val="22"/>
                    <w:bidi w:val="0"/>
                    <w:ind w:firstLine="0" w:firstLineChars="0"/>
                    <w:rPr>
                      <w:color w:val="0000FF"/>
                    </w:rPr>
                  </w:pPr>
                  <w:r>
                    <w:rPr>
                      <w:rFonts w:hint="eastAsia"/>
                      <w:color w:val="auto"/>
                    </w:rPr>
                    <w:t>200</w:t>
                  </w:r>
                </w:p>
              </w:tc>
              <w:tc>
                <w:tcPr>
                  <w:tcW w:w="999" w:type="dxa"/>
                  <w:noWrap w:val="0"/>
                  <w:vAlign w:val="center"/>
                </w:tcPr>
                <w:p w14:paraId="0EE0901D">
                  <w:pPr>
                    <w:pStyle w:val="22"/>
                    <w:bidi w:val="0"/>
                    <w:ind w:firstLine="0" w:firstLineChars="0"/>
                    <w:rPr>
                      <w:rFonts w:hint="default"/>
                      <w:color w:val="0000FF"/>
                      <w:lang w:val="en-US" w:eastAsia="zh-CN"/>
                    </w:rPr>
                  </w:pPr>
                  <w:r>
                    <w:rPr>
                      <w:rFonts w:hint="eastAsia"/>
                      <w:color w:val="auto"/>
                      <w:lang w:val="en-US" w:eastAsia="zh-CN"/>
                    </w:rPr>
                    <w:t>0.129</w:t>
                  </w:r>
                </w:p>
              </w:tc>
              <w:tc>
                <w:tcPr>
                  <w:tcW w:w="1184" w:type="dxa"/>
                  <w:vMerge w:val="continue"/>
                  <w:noWrap w:val="0"/>
                  <w:vAlign w:val="center"/>
                </w:tcPr>
                <w:p w14:paraId="0E662120">
                  <w:pPr>
                    <w:pStyle w:val="22"/>
                    <w:bidi w:val="0"/>
                    <w:rPr>
                      <w:rFonts w:hint="eastAsia"/>
                      <w:color w:val="0000FF"/>
                    </w:rPr>
                  </w:pPr>
                </w:p>
              </w:tc>
            </w:tr>
            <w:tr w14:paraId="1CD4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562" w:type="dxa"/>
                  <w:vMerge w:val="continue"/>
                  <w:noWrap w:val="0"/>
                  <w:vAlign w:val="center"/>
                </w:tcPr>
                <w:p w14:paraId="2EBD6030">
                  <w:pPr>
                    <w:pStyle w:val="22"/>
                    <w:bidi w:val="0"/>
                    <w:rPr>
                      <w:rFonts w:hint="eastAsia"/>
                      <w:color w:val="0000FF"/>
                    </w:rPr>
                  </w:pPr>
                </w:p>
              </w:tc>
              <w:tc>
                <w:tcPr>
                  <w:tcW w:w="887" w:type="dxa"/>
                  <w:vMerge w:val="continue"/>
                  <w:noWrap w:val="0"/>
                  <w:vAlign w:val="center"/>
                </w:tcPr>
                <w:p w14:paraId="78ABC271">
                  <w:pPr>
                    <w:pStyle w:val="22"/>
                    <w:bidi w:val="0"/>
                    <w:rPr>
                      <w:rFonts w:hint="eastAsia"/>
                      <w:color w:val="0000FF"/>
                    </w:rPr>
                  </w:pPr>
                </w:p>
              </w:tc>
              <w:tc>
                <w:tcPr>
                  <w:tcW w:w="675" w:type="dxa"/>
                  <w:vMerge w:val="continue"/>
                  <w:noWrap w:val="0"/>
                  <w:vAlign w:val="center"/>
                </w:tcPr>
                <w:p w14:paraId="7BFDCEB1">
                  <w:pPr>
                    <w:pStyle w:val="22"/>
                    <w:bidi w:val="0"/>
                    <w:rPr>
                      <w:rFonts w:hint="eastAsia"/>
                      <w:color w:val="0000FF"/>
                    </w:rPr>
                  </w:pPr>
                </w:p>
              </w:tc>
              <w:tc>
                <w:tcPr>
                  <w:tcW w:w="770" w:type="dxa"/>
                  <w:noWrap w:val="0"/>
                  <w:vAlign w:val="center"/>
                </w:tcPr>
                <w:p w14:paraId="4B8454CB">
                  <w:pPr>
                    <w:pStyle w:val="22"/>
                    <w:bidi w:val="0"/>
                    <w:rPr>
                      <w:rFonts w:hint="default"/>
                      <w:color w:val="auto"/>
                      <w:lang w:val="en-US" w:eastAsia="zh-CN"/>
                    </w:rPr>
                  </w:pPr>
                  <w:r>
                    <w:rPr>
                      <w:rFonts w:hint="eastAsia"/>
                      <w:color w:val="auto"/>
                      <w:lang w:val="en-US" w:eastAsia="zh-CN"/>
                    </w:rPr>
                    <w:t>TN</w:t>
                  </w:r>
                </w:p>
              </w:tc>
              <w:tc>
                <w:tcPr>
                  <w:tcW w:w="856" w:type="dxa"/>
                  <w:noWrap w:val="0"/>
                  <w:vAlign w:val="center"/>
                </w:tcPr>
                <w:p w14:paraId="5D6B3DAD">
                  <w:pPr>
                    <w:pStyle w:val="22"/>
                    <w:bidi w:val="0"/>
                    <w:rPr>
                      <w:rFonts w:hint="default"/>
                      <w:color w:val="auto"/>
                      <w:lang w:val="en-US" w:eastAsia="zh-CN"/>
                    </w:rPr>
                  </w:pPr>
                  <w:r>
                    <w:rPr>
                      <w:rFonts w:hint="eastAsia"/>
                      <w:color w:val="auto"/>
                      <w:lang w:val="en-US" w:eastAsia="zh-CN"/>
                    </w:rPr>
                    <w:t>44.8</w:t>
                  </w:r>
                </w:p>
              </w:tc>
              <w:tc>
                <w:tcPr>
                  <w:tcW w:w="801" w:type="dxa"/>
                  <w:noWrap w:val="0"/>
                  <w:vAlign w:val="center"/>
                </w:tcPr>
                <w:p w14:paraId="37B87517">
                  <w:pPr>
                    <w:pStyle w:val="22"/>
                    <w:bidi w:val="0"/>
                    <w:rPr>
                      <w:rFonts w:hint="default"/>
                      <w:color w:val="auto"/>
                      <w:lang w:val="en-US" w:eastAsia="zh-CN"/>
                    </w:rPr>
                  </w:pPr>
                  <w:r>
                    <w:rPr>
                      <w:rFonts w:hint="eastAsia"/>
                      <w:color w:val="auto"/>
                      <w:lang w:val="en-US" w:eastAsia="zh-CN"/>
                    </w:rPr>
                    <w:t>0.029</w:t>
                  </w:r>
                </w:p>
              </w:tc>
              <w:tc>
                <w:tcPr>
                  <w:tcW w:w="834" w:type="dxa"/>
                  <w:vMerge w:val="continue"/>
                  <w:noWrap w:val="0"/>
                  <w:vAlign w:val="center"/>
                </w:tcPr>
                <w:p w14:paraId="6696DF8B">
                  <w:pPr>
                    <w:pStyle w:val="22"/>
                    <w:bidi w:val="0"/>
                    <w:rPr>
                      <w:rFonts w:hint="eastAsia"/>
                      <w:color w:val="0000FF"/>
                    </w:rPr>
                  </w:pPr>
                </w:p>
              </w:tc>
              <w:tc>
                <w:tcPr>
                  <w:tcW w:w="735" w:type="dxa"/>
                  <w:noWrap w:val="0"/>
                  <w:vAlign w:val="center"/>
                </w:tcPr>
                <w:p w14:paraId="540746D6">
                  <w:pPr>
                    <w:pStyle w:val="22"/>
                    <w:bidi w:val="0"/>
                    <w:ind w:firstLine="0" w:firstLineChars="0"/>
                    <w:rPr>
                      <w:rFonts w:hint="default"/>
                      <w:color w:val="0000FF"/>
                      <w:lang w:val="en-US" w:eastAsia="zh-CN"/>
                    </w:rPr>
                  </w:pPr>
                  <w:r>
                    <w:rPr>
                      <w:rFonts w:hint="eastAsia"/>
                      <w:color w:val="auto"/>
                      <w:lang w:val="en-US" w:eastAsia="zh-CN"/>
                    </w:rPr>
                    <w:t>44.8</w:t>
                  </w:r>
                </w:p>
              </w:tc>
              <w:tc>
                <w:tcPr>
                  <w:tcW w:w="999" w:type="dxa"/>
                  <w:noWrap w:val="0"/>
                  <w:vAlign w:val="center"/>
                </w:tcPr>
                <w:p w14:paraId="2E64008E">
                  <w:pPr>
                    <w:pStyle w:val="22"/>
                    <w:bidi w:val="0"/>
                    <w:ind w:firstLine="0" w:firstLineChars="0"/>
                    <w:rPr>
                      <w:rFonts w:hint="default"/>
                      <w:color w:val="0000FF"/>
                      <w:lang w:val="en-US" w:eastAsia="zh-CN"/>
                    </w:rPr>
                  </w:pPr>
                  <w:r>
                    <w:rPr>
                      <w:rFonts w:hint="eastAsia"/>
                      <w:color w:val="auto"/>
                      <w:lang w:val="en-US" w:eastAsia="zh-CN"/>
                    </w:rPr>
                    <w:t>0.029</w:t>
                  </w:r>
                </w:p>
              </w:tc>
              <w:tc>
                <w:tcPr>
                  <w:tcW w:w="1184" w:type="dxa"/>
                  <w:vMerge w:val="continue"/>
                  <w:noWrap w:val="0"/>
                  <w:vAlign w:val="center"/>
                </w:tcPr>
                <w:p w14:paraId="6CF3625B">
                  <w:pPr>
                    <w:pStyle w:val="22"/>
                    <w:bidi w:val="0"/>
                    <w:rPr>
                      <w:rFonts w:hint="eastAsia"/>
                      <w:color w:val="0000FF"/>
                    </w:rPr>
                  </w:pPr>
                </w:p>
              </w:tc>
            </w:tr>
            <w:tr w14:paraId="2863C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562" w:type="dxa"/>
                  <w:vMerge w:val="continue"/>
                  <w:noWrap w:val="0"/>
                  <w:vAlign w:val="center"/>
                </w:tcPr>
                <w:p w14:paraId="6A67FDE8">
                  <w:pPr>
                    <w:pStyle w:val="22"/>
                    <w:bidi w:val="0"/>
                    <w:rPr>
                      <w:rFonts w:hint="eastAsia"/>
                      <w:color w:val="0000FF"/>
                    </w:rPr>
                  </w:pPr>
                </w:p>
              </w:tc>
              <w:tc>
                <w:tcPr>
                  <w:tcW w:w="887" w:type="dxa"/>
                  <w:vMerge w:val="continue"/>
                  <w:noWrap w:val="0"/>
                  <w:vAlign w:val="center"/>
                </w:tcPr>
                <w:p w14:paraId="4CDC52D3">
                  <w:pPr>
                    <w:pStyle w:val="22"/>
                    <w:bidi w:val="0"/>
                    <w:rPr>
                      <w:rFonts w:hint="eastAsia"/>
                      <w:color w:val="0000FF"/>
                    </w:rPr>
                  </w:pPr>
                </w:p>
              </w:tc>
              <w:tc>
                <w:tcPr>
                  <w:tcW w:w="675" w:type="dxa"/>
                  <w:vMerge w:val="continue"/>
                  <w:noWrap w:val="0"/>
                  <w:vAlign w:val="center"/>
                </w:tcPr>
                <w:p w14:paraId="79FFFAAF">
                  <w:pPr>
                    <w:pStyle w:val="22"/>
                    <w:bidi w:val="0"/>
                    <w:rPr>
                      <w:rFonts w:hint="eastAsia"/>
                      <w:color w:val="0000FF"/>
                    </w:rPr>
                  </w:pPr>
                </w:p>
              </w:tc>
              <w:tc>
                <w:tcPr>
                  <w:tcW w:w="770" w:type="dxa"/>
                  <w:noWrap w:val="0"/>
                  <w:vAlign w:val="center"/>
                </w:tcPr>
                <w:p w14:paraId="2AB2E21B">
                  <w:pPr>
                    <w:pStyle w:val="22"/>
                    <w:bidi w:val="0"/>
                    <w:rPr>
                      <w:rFonts w:hint="eastAsia"/>
                      <w:color w:val="auto"/>
                    </w:rPr>
                  </w:pPr>
                  <w:r>
                    <w:rPr>
                      <w:rFonts w:hint="eastAsia"/>
                      <w:color w:val="auto"/>
                    </w:rPr>
                    <w:t>TP</w:t>
                  </w:r>
                </w:p>
              </w:tc>
              <w:tc>
                <w:tcPr>
                  <w:tcW w:w="856" w:type="dxa"/>
                  <w:noWrap w:val="0"/>
                  <w:vAlign w:val="center"/>
                </w:tcPr>
                <w:p w14:paraId="4BA19057">
                  <w:pPr>
                    <w:pStyle w:val="22"/>
                    <w:bidi w:val="0"/>
                    <w:rPr>
                      <w:rFonts w:hint="eastAsia"/>
                      <w:color w:val="auto"/>
                    </w:rPr>
                  </w:pPr>
                  <w:r>
                    <w:rPr>
                      <w:rFonts w:hint="eastAsia"/>
                      <w:color w:val="auto"/>
                    </w:rPr>
                    <w:t>4.27</w:t>
                  </w:r>
                </w:p>
              </w:tc>
              <w:tc>
                <w:tcPr>
                  <w:tcW w:w="801" w:type="dxa"/>
                  <w:noWrap w:val="0"/>
                  <w:vAlign w:val="center"/>
                </w:tcPr>
                <w:p w14:paraId="573E2321">
                  <w:pPr>
                    <w:pStyle w:val="22"/>
                    <w:bidi w:val="0"/>
                    <w:rPr>
                      <w:rFonts w:hint="default"/>
                      <w:color w:val="auto"/>
                      <w:lang w:val="en-US" w:eastAsia="zh-CN"/>
                    </w:rPr>
                  </w:pPr>
                  <w:r>
                    <w:rPr>
                      <w:rFonts w:hint="eastAsia"/>
                      <w:color w:val="auto"/>
                    </w:rPr>
                    <w:t>0.0</w:t>
                  </w:r>
                  <w:r>
                    <w:rPr>
                      <w:rFonts w:hint="eastAsia"/>
                      <w:color w:val="auto"/>
                      <w:lang w:val="en-US" w:eastAsia="zh-CN"/>
                    </w:rPr>
                    <w:t>03</w:t>
                  </w:r>
                </w:p>
              </w:tc>
              <w:tc>
                <w:tcPr>
                  <w:tcW w:w="834" w:type="dxa"/>
                  <w:vMerge w:val="continue"/>
                  <w:noWrap w:val="0"/>
                  <w:vAlign w:val="center"/>
                </w:tcPr>
                <w:p w14:paraId="2FE86A7B">
                  <w:pPr>
                    <w:pStyle w:val="22"/>
                    <w:bidi w:val="0"/>
                    <w:rPr>
                      <w:rFonts w:hint="eastAsia"/>
                      <w:color w:val="0000FF"/>
                    </w:rPr>
                  </w:pPr>
                </w:p>
              </w:tc>
              <w:tc>
                <w:tcPr>
                  <w:tcW w:w="735" w:type="dxa"/>
                  <w:noWrap w:val="0"/>
                  <w:vAlign w:val="center"/>
                </w:tcPr>
                <w:p w14:paraId="51E2F7AE">
                  <w:pPr>
                    <w:pStyle w:val="22"/>
                    <w:bidi w:val="0"/>
                    <w:ind w:firstLine="0" w:firstLineChars="0"/>
                    <w:rPr>
                      <w:rFonts w:hint="eastAsia"/>
                      <w:color w:val="0000FF"/>
                    </w:rPr>
                  </w:pPr>
                  <w:r>
                    <w:rPr>
                      <w:rFonts w:hint="eastAsia"/>
                      <w:color w:val="auto"/>
                    </w:rPr>
                    <w:t>4.27</w:t>
                  </w:r>
                </w:p>
              </w:tc>
              <w:tc>
                <w:tcPr>
                  <w:tcW w:w="999" w:type="dxa"/>
                  <w:noWrap w:val="0"/>
                  <w:vAlign w:val="center"/>
                </w:tcPr>
                <w:p w14:paraId="7C394782">
                  <w:pPr>
                    <w:pStyle w:val="22"/>
                    <w:bidi w:val="0"/>
                    <w:ind w:firstLine="0" w:firstLineChars="0"/>
                    <w:rPr>
                      <w:rFonts w:hint="default"/>
                      <w:color w:val="0000FF"/>
                      <w:lang w:val="en-US" w:eastAsia="zh-CN"/>
                    </w:rPr>
                  </w:pPr>
                  <w:r>
                    <w:rPr>
                      <w:rFonts w:hint="eastAsia"/>
                      <w:color w:val="auto"/>
                    </w:rPr>
                    <w:t>0.0</w:t>
                  </w:r>
                  <w:r>
                    <w:rPr>
                      <w:rFonts w:hint="eastAsia"/>
                      <w:color w:val="auto"/>
                      <w:lang w:val="en-US" w:eastAsia="zh-CN"/>
                    </w:rPr>
                    <w:t>03</w:t>
                  </w:r>
                </w:p>
              </w:tc>
              <w:tc>
                <w:tcPr>
                  <w:tcW w:w="1184" w:type="dxa"/>
                  <w:vMerge w:val="continue"/>
                  <w:noWrap w:val="0"/>
                  <w:vAlign w:val="center"/>
                </w:tcPr>
                <w:p w14:paraId="2677D36A">
                  <w:pPr>
                    <w:pStyle w:val="22"/>
                    <w:bidi w:val="0"/>
                    <w:rPr>
                      <w:rFonts w:hint="eastAsia"/>
                      <w:color w:val="0000FF"/>
                    </w:rPr>
                  </w:pPr>
                </w:p>
              </w:tc>
            </w:tr>
          </w:tbl>
          <w:p w14:paraId="4301F9CD">
            <w:pPr>
              <w:bidi w:val="0"/>
              <w:rPr>
                <w:rFonts w:hint="eastAsia"/>
                <w:color w:val="auto"/>
              </w:rPr>
            </w:pPr>
            <w:r>
              <w:rPr>
                <w:rFonts w:hint="eastAsia"/>
                <w:color w:val="auto"/>
              </w:rPr>
              <w:t>本项目产生的废水为生活污水，</w:t>
            </w:r>
            <w:r>
              <w:rPr>
                <w:rFonts w:hint="eastAsia"/>
                <w:color w:val="auto"/>
                <w:lang w:val="en-US" w:eastAsia="zh-CN"/>
              </w:rPr>
              <w:t>均</w:t>
            </w:r>
            <w:r>
              <w:rPr>
                <w:rFonts w:hint="eastAsia"/>
                <w:color w:val="auto"/>
              </w:rPr>
              <w:t>接管</w:t>
            </w:r>
            <w:r>
              <w:rPr>
                <w:rFonts w:hint="eastAsia"/>
                <w:color w:val="auto"/>
                <w:lang w:val="en-US" w:eastAsia="zh-CN"/>
              </w:rPr>
              <w:t>安徽（淮南）现代煤化工产业园园区污水处理</w:t>
            </w:r>
            <w:r>
              <w:rPr>
                <w:rFonts w:hint="eastAsia"/>
                <w:color w:val="auto"/>
              </w:rPr>
              <w:t>，</w:t>
            </w:r>
            <w:r>
              <w:rPr>
                <w:rFonts w:hint="eastAsia"/>
                <w:color w:val="auto"/>
                <w:lang w:val="en-US" w:eastAsia="zh-CN"/>
              </w:rPr>
              <w:t>出水达到《城镇污水处理厂污染物排放标准》（GB18918-2002）表1中一级A标准，出水排入含盐化工废水处理工程进行深度处理，尾水达到《工业循环冷却水处理设计规范》（GB/T50050-2017）中“再生水用于间冷开式循环冷却水系统补充水的水质指标”（其中COD≤50mg/L），尾水回用，不外排</w:t>
            </w:r>
            <w:r>
              <w:rPr>
                <w:rFonts w:hint="eastAsia"/>
                <w:color w:val="auto"/>
              </w:rPr>
              <w:t>。</w:t>
            </w:r>
          </w:p>
          <w:p w14:paraId="793F1678">
            <w:pPr>
              <w:bidi w:val="0"/>
              <w:rPr>
                <w:color w:val="auto"/>
              </w:rPr>
            </w:pPr>
            <w:r>
              <w:rPr>
                <w:color w:val="auto"/>
              </w:rPr>
              <w:t>（3）废水类别、污染物及污染治理设施信息</w:t>
            </w:r>
          </w:p>
          <w:p w14:paraId="05D7F64F">
            <w:pPr>
              <w:bidi w:val="0"/>
              <w:rPr>
                <w:color w:val="auto"/>
              </w:rPr>
            </w:pPr>
            <w:r>
              <w:rPr>
                <w:color w:val="auto"/>
              </w:rPr>
              <w:t>废水类别、污染物及污染治理设施信息表见表</w:t>
            </w:r>
            <w:r>
              <w:rPr>
                <w:rFonts w:hint="eastAsia"/>
                <w:color w:val="auto"/>
              </w:rPr>
              <w:t>4-</w:t>
            </w:r>
            <w:r>
              <w:rPr>
                <w:rFonts w:hint="eastAsia"/>
                <w:color w:val="auto"/>
                <w:lang w:val="en-US" w:eastAsia="zh-CN"/>
              </w:rPr>
              <w:t>8</w:t>
            </w:r>
            <w:r>
              <w:rPr>
                <w:color w:val="auto"/>
              </w:rPr>
              <w:t>。</w:t>
            </w:r>
          </w:p>
          <w:p w14:paraId="127B8262">
            <w:pPr>
              <w:pStyle w:val="21"/>
              <w:bidi w:val="0"/>
              <w:rPr>
                <w:rFonts w:hint="eastAsia"/>
                <w:color w:val="auto"/>
                <w:sz w:val="24"/>
                <w:szCs w:val="24"/>
                <w:lang w:val="en-US" w:eastAsia="zh-CN"/>
              </w:rPr>
            </w:pPr>
            <w:r>
              <w:rPr>
                <w:rFonts w:hint="eastAsia"/>
                <w:color w:val="auto"/>
                <w:sz w:val="24"/>
                <w:szCs w:val="24"/>
                <w:lang w:val="en-US" w:eastAsia="zh-CN"/>
              </w:rPr>
              <w:t>表4-8  废水排放口基本情况表</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16"/>
              <w:gridCol w:w="690"/>
              <w:gridCol w:w="1110"/>
              <w:gridCol w:w="885"/>
              <w:gridCol w:w="675"/>
              <w:gridCol w:w="1140"/>
              <w:gridCol w:w="660"/>
              <w:gridCol w:w="825"/>
              <w:gridCol w:w="1384"/>
            </w:tblGrid>
            <w:tr w14:paraId="5812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2" w:type="pct"/>
                  <w:noWrap w:val="0"/>
                  <w:vAlign w:val="center"/>
                </w:tcPr>
                <w:p w14:paraId="292A0521">
                  <w:pPr>
                    <w:pStyle w:val="22"/>
                    <w:bidi w:val="0"/>
                    <w:rPr>
                      <w:b/>
                      <w:bCs/>
                      <w:color w:val="auto"/>
                      <w:lang w:val="en-US" w:eastAsia="zh-CN"/>
                    </w:rPr>
                  </w:pPr>
                  <w:r>
                    <w:rPr>
                      <w:rFonts w:hint="eastAsia"/>
                      <w:b/>
                      <w:bCs/>
                      <w:color w:val="auto"/>
                      <w:lang w:val="en-US" w:eastAsia="zh-CN"/>
                    </w:rPr>
                    <w:t>排放口编号</w:t>
                  </w:r>
                </w:p>
              </w:tc>
              <w:tc>
                <w:tcPr>
                  <w:tcW w:w="416" w:type="pct"/>
                  <w:noWrap w:val="0"/>
                  <w:vAlign w:val="center"/>
                </w:tcPr>
                <w:p w14:paraId="4858F8B6">
                  <w:pPr>
                    <w:pStyle w:val="22"/>
                    <w:bidi w:val="0"/>
                    <w:rPr>
                      <w:b/>
                      <w:bCs/>
                      <w:color w:val="auto"/>
                      <w:lang w:val="en-US" w:eastAsia="zh-CN"/>
                    </w:rPr>
                  </w:pPr>
                  <w:r>
                    <w:rPr>
                      <w:rFonts w:hint="eastAsia"/>
                      <w:b/>
                      <w:bCs/>
                      <w:color w:val="auto"/>
                      <w:lang w:val="en-US" w:eastAsia="zh-CN"/>
                    </w:rPr>
                    <w:t>排放口名称</w:t>
                  </w:r>
                </w:p>
              </w:tc>
              <w:tc>
                <w:tcPr>
                  <w:tcW w:w="669" w:type="pct"/>
                  <w:noWrap w:val="0"/>
                  <w:vAlign w:val="center"/>
                </w:tcPr>
                <w:p w14:paraId="05AEF8CD">
                  <w:pPr>
                    <w:pStyle w:val="22"/>
                    <w:bidi w:val="0"/>
                    <w:rPr>
                      <w:b/>
                      <w:bCs/>
                      <w:color w:val="auto"/>
                      <w:lang w:val="en-US" w:eastAsia="zh-CN"/>
                    </w:rPr>
                  </w:pPr>
                  <w:r>
                    <w:rPr>
                      <w:rFonts w:hint="eastAsia"/>
                      <w:b/>
                      <w:bCs/>
                      <w:color w:val="auto"/>
                      <w:lang w:val="en-US" w:eastAsia="zh-CN"/>
                    </w:rPr>
                    <w:t>排放口地理坐标</w:t>
                  </w:r>
                </w:p>
              </w:tc>
              <w:tc>
                <w:tcPr>
                  <w:tcW w:w="534" w:type="pct"/>
                  <w:noWrap w:val="0"/>
                  <w:vAlign w:val="center"/>
                </w:tcPr>
                <w:p w14:paraId="66863708">
                  <w:pPr>
                    <w:pStyle w:val="22"/>
                    <w:bidi w:val="0"/>
                    <w:rPr>
                      <w:b/>
                      <w:bCs/>
                      <w:color w:val="auto"/>
                      <w:lang w:val="en-US" w:eastAsia="zh-CN"/>
                    </w:rPr>
                  </w:pPr>
                  <w:r>
                    <w:rPr>
                      <w:rFonts w:hint="eastAsia"/>
                      <w:b/>
                      <w:bCs/>
                      <w:color w:val="auto"/>
                      <w:lang w:val="en-US" w:eastAsia="zh-CN"/>
                    </w:rPr>
                    <w:t>污染物</w:t>
                  </w:r>
                </w:p>
              </w:tc>
              <w:tc>
                <w:tcPr>
                  <w:tcW w:w="407" w:type="pct"/>
                  <w:noWrap w:val="0"/>
                  <w:vAlign w:val="center"/>
                </w:tcPr>
                <w:p w14:paraId="1D9A06EA">
                  <w:pPr>
                    <w:pStyle w:val="22"/>
                    <w:bidi w:val="0"/>
                    <w:rPr>
                      <w:b/>
                      <w:bCs/>
                      <w:color w:val="auto"/>
                      <w:lang w:val="en-US" w:eastAsia="zh-CN"/>
                    </w:rPr>
                  </w:pPr>
                  <w:r>
                    <w:rPr>
                      <w:rFonts w:hint="eastAsia"/>
                      <w:b/>
                      <w:bCs/>
                      <w:color w:val="auto"/>
                      <w:lang w:val="en-US" w:eastAsia="zh-CN"/>
                    </w:rPr>
                    <w:t>排放方式</w:t>
                  </w:r>
                </w:p>
              </w:tc>
              <w:tc>
                <w:tcPr>
                  <w:tcW w:w="687" w:type="pct"/>
                  <w:noWrap w:val="0"/>
                  <w:vAlign w:val="center"/>
                </w:tcPr>
                <w:p w14:paraId="4BC8D565">
                  <w:pPr>
                    <w:pStyle w:val="22"/>
                    <w:bidi w:val="0"/>
                    <w:rPr>
                      <w:b/>
                      <w:bCs/>
                      <w:color w:val="auto"/>
                      <w:lang w:val="en-US" w:eastAsia="zh-CN"/>
                    </w:rPr>
                  </w:pPr>
                  <w:r>
                    <w:rPr>
                      <w:rFonts w:hint="eastAsia"/>
                      <w:b/>
                      <w:bCs/>
                      <w:color w:val="auto"/>
                      <w:lang w:val="en-US" w:eastAsia="zh-CN"/>
                    </w:rPr>
                    <w:t>排放去向</w:t>
                  </w:r>
                </w:p>
              </w:tc>
              <w:tc>
                <w:tcPr>
                  <w:tcW w:w="398" w:type="pct"/>
                  <w:noWrap w:val="0"/>
                  <w:vAlign w:val="center"/>
                </w:tcPr>
                <w:p w14:paraId="164DD3DE">
                  <w:pPr>
                    <w:pStyle w:val="22"/>
                    <w:bidi w:val="0"/>
                    <w:rPr>
                      <w:b/>
                      <w:bCs/>
                      <w:color w:val="auto"/>
                      <w:lang w:val="en-US" w:eastAsia="zh-CN"/>
                    </w:rPr>
                  </w:pPr>
                  <w:r>
                    <w:rPr>
                      <w:rFonts w:hint="eastAsia"/>
                      <w:b/>
                      <w:bCs/>
                      <w:color w:val="auto"/>
                      <w:lang w:val="en-US" w:eastAsia="zh-CN"/>
                    </w:rPr>
                    <w:t>排放规律</w:t>
                  </w:r>
                </w:p>
              </w:tc>
              <w:tc>
                <w:tcPr>
                  <w:tcW w:w="497" w:type="pct"/>
                  <w:noWrap w:val="0"/>
                  <w:vAlign w:val="center"/>
                </w:tcPr>
                <w:p w14:paraId="1E3ABD9D">
                  <w:pPr>
                    <w:pStyle w:val="22"/>
                    <w:bidi w:val="0"/>
                    <w:rPr>
                      <w:b/>
                      <w:bCs/>
                      <w:color w:val="auto"/>
                      <w:lang w:val="en-US" w:eastAsia="zh-CN"/>
                    </w:rPr>
                  </w:pPr>
                  <w:r>
                    <w:rPr>
                      <w:rFonts w:hint="eastAsia"/>
                      <w:b/>
                      <w:bCs/>
                      <w:color w:val="auto"/>
                      <w:lang w:val="en-US" w:eastAsia="zh-CN"/>
                    </w:rPr>
                    <w:t>排放口类型</w:t>
                  </w:r>
                </w:p>
              </w:tc>
              <w:tc>
                <w:tcPr>
                  <w:tcW w:w="835" w:type="pct"/>
                  <w:noWrap w:val="0"/>
                  <w:vAlign w:val="center"/>
                </w:tcPr>
                <w:p w14:paraId="5F20E3FA">
                  <w:pPr>
                    <w:pStyle w:val="22"/>
                    <w:bidi w:val="0"/>
                    <w:rPr>
                      <w:b/>
                      <w:bCs/>
                      <w:color w:val="auto"/>
                      <w:lang w:val="en-US" w:eastAsia="zh-CN"/>
                    </w:rPr>
                  </w:pPr>
                  <w:r>
                    <w:rPr>
                      <w:rFonts w:hint="eastAsia"/>
                      <w:b/>
                      <w:bCs/>
                      <w:color w:val="auto"/>
                      <w:lang w:val="en-US" w:eastAsia="zh-CN"/>
                    </w:rPr>
                    <w:t>排放标准</w:t>
                  </w:r>
                </w:p>
              </w:tc>
            </w:tr>
            <w:tr w14:paraId="4D089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2" w:type="pct"/>
                  <w:noWrap w:val="0"/>
                  <w:vAlign w:val="center"/>
                </w:tcPr>
                <w:p w14:paraId="03C5BCE8">
                  <w:pPr>
                    <w:pStyle w:val="22"/>
                    <w:bidi w:val="0"/>
                    <w:rPr>
                      <w:color w:val="auto"/>
                      <w:lang w:val="en-US" w:eastAsia="zh-CN"/>
                    </w:rPr>
                  </w:pPr>
                  <w:r>
                    <w:rPr>
                      <w:color w:val="auto"/>
                      <w:lang w:val="en-US" w:eastAsia="zh-CN"/>
                    </w:rPr>
                    <w:t>DW001</w:t>
                  </w:r>
                </w:p>
              </w:tc>
              <w:tc>
                <w:tcPr>
                  <w:tcW w:w="416" w:type="pct"/>
                  <w:noWrap w:val="0"/>
                  <w:vAlign w:val="center"/>
                </w:tcPr>
                <w:p w14:paraId="1516D0DE">
                  <w:pPr>
                    <w:pStyle w:val="22"/>
                    <w:bidi w:val="0"/>
                    <w:rPr>
                      <w:color w:val="auto"/>
                      <w:lang w:val="en-US" w:eastAsia="zh-CN"/>
                    </w:rPr>
                  </w:pPr>
                  <w:r>
                    <w:rPr>
                      <w:color w:val="auto"/>
                      <w:lang w:val="en-US" w:eastAsia="zh-CN"/>
                    </w:rPr>
                    <w:t>废水总排口</w:t>
                  </w:r>
                </w:p>
              </w:tc>
              <w:tc>
                <w:tcPr>
                  <w:tcW w:w="669" w:type="pct"/>
                  <w:noWrap w:val="0"/>
                  <w:vAlign w:val="center"/>
                </w:tcPr>
                <w:p w14:paraId="3EE044DB">
                  <w:pPr>
                    <w:pStyle w:val="22"/>
                    <w:bidi w:val="0"/>
                    <w:rPr>
                      <w:rFonts w:hint="default"/>
                      <w:color w:val="auto"/>
                      <w:lang w:val="en-US" w:eastAsia="zh-CN"/>
                    </w:rPr>
                  </w:pPr>
                  <w:r>
                    <w:rPr>
                      <w:rFonts w:hint="eastAsia"/>
                      <w:color w:val="auto"/>
                      <w:lang w:val="en-US" w:eastAsia="zh-CN"/>
                    </w:rPr>
                    <w:t>116.907309</w:t>
                  </w:r>
                </w:p>
                <w:p w14:paraId="05B27AE8">
                  <w:pPr>
                    <w:pStyle w:val="22"/>
                    <w:bidi w:val="0"/>
                    <w:rPr>
                      <w:rFonts w:hint="default"/>
                      <w:color w:val="auto"/>
                      <w:lang w:val="en-US" w:eastAsia="zh-CN"/>
                    </w:rPr>
                  </w:pPr>
                  <w:r>
                    <w:rPr>
                      <w:rFonts w:hint="eastAsia"/>
                      <w:color w:val="auto"/>
                      <w:lang w:val="en-US" w:eastAsia="zh-CN"/>
                    </w:rPr>
                    <w:t>32.7003866</w:t>
                  </w:r>
                </w:p>
              </w:tc>
              <w:tc>
                <w:tcPr>
                  <w:tcW w:w="534" w:type="pct"/>
                  <w:noWrap w:val="0"/>
                  <w:vAlign w:val="center"/>
                </w:tcPr>
                <w:p w14:paraId="7DC48866">
                  <w:pPr>
                    <w:pStyle w:val="22"/>
                    <w:bidi w:val="0"/>
                    <w:rPr>
                      <w:rFonts w:hint="eastAsia"/>
                      <w:color w:val="auto"/>
                      <w:lang w:val="en-US" w:eastAsia="zh-CN"/>
                    </w:rPr>
                  </w:pPr>
                  <w:r>
                    <w:rPr>
                      <w:color w:val="auto"/>
                      <w:lang w:val="en-US" w:eastAsia="zh-CN"/>
                    </w:rPr>
                    <w:t>pH</w:t>
                  </w:r>
                  <w:r>
                    <w:rPr>
                      <w:rFonts w:hint="eastAsia"/>
                      <w:color w:val="auto"/>
                      <w:lang w:val="en-US" w:eastAsia="zh-CN"/>
                    </w:rPr>
                    <w:t>、</w:t>
                  </w:r>
                  <w:r>
                    <w:rPr>
                      <w:color w:val="auto"/>
                      <w:lang w:val="en-US" w:eastAsia="zh-CN"/>
                    </w:rPr>
                    <w:t>COD、氨氮</w:t>
                  </w:r>
                  <w:r>
                    <w:rPr>
                      <w:rFonts w:hint="eastAsia"/>
                      <w:color w:val="auto"/>
                      <w:lang w:val="en-US" w:eastAsia="zh-CN"/>
                    </w:rPr>
                    <w:t>、TN、TP、</w:t>
                  </w:r>
                  <w:r>
                    <w:rPr>
                      <w:color w:val="auto"/>
                      <w:lang w:val="en-US" w:eastAsia="zh-CN"/>
                    </w:rPr>
                    <w:t>SS</w:t>
                  </w:r>
                  <w:r>
                    <w:rPr>
                      <w:rFonts w:hint="eastAsia"/>
                      <w:color w:val="auto"/>
                      <w:lang w:val="en-US" w:eastAsia="zh-CN"/>
                    </w:rPr>
                    <w:t>、</w:t>
                  </w:r>
                  <w:r>
                    <w:rPr>
                      <w:color w:val="auto"/>
                    </w:rPr>
                    <w:t>BOD</w:t>
                  </w:r>
                  <w:r>
                    <w:rPr>
                      <w:color w:val="auto"/>
                      <w:vertAlign w:val="subscript"/>
                    </w:rPr>
                    <w:t>5</w:t>
                  </w:r>
                </w:p>
              </w:tc>
              <w:tc>
                <w:tcPr>
                  <w:tcW w:w="407" w:type="pct"/>
                  <w:noWrap w:val="0"/>
                  <w:vAlign w:val="center"/>
                </w:tcPr>
                <w:p w14:paraId="56DD4CC1">
                  <w:pPr>
                    <w:pStyle w:val="22"/>
                    <w:bidi w:val="0"/>
                    <w:rPr>
                      <w:color w:val="auto"/>
                      <w:lang w:val="en-US" w:eastAsia="zh-CN"/>
                    </w:rPr>
                  </w:pPr>
                  <w:r>
                    <w:rPr>
                      <w:color w:val="auto"/>
                      <w:lang w:val="en-US" w:eastAsia="zh-CN"/>
                    </w:rPr>
                    <w:t>间接排放</w:t>
                  </w:r>
                </w:p>
              </w:tc>
              <w:tc>
                <w:tcPr>
                  <w:tcW w:w="687" w:type="pct"/>
                  <w:noWrap w:val="0"/>
                  <w:vAlign w:val="center"/>
                </w:tcPr>
                <w:p w14:paraId="2ED09394">
                  <w:pPr>
                    <w:pStyle w:val="22"/>
                    <w:bidi w:val="0"/>
                    <w:rPr>
                      <w:color w:val="auto"/>
                      <w:lang w:val="en-US" w:eastAsia="zh-CN"/>
                    </w:rPr>
                  </w:pPr>
                  <w:r>
                    <w:rPr>
                      <w:rFonts w:hint="eastAsia"/>
                      <w:color w:val="auto"/>
                      <w:lang w:val="en-US" w:eastAsia="zh-CN"/>
                    </w:rPr>
                    <w:t>安徽（淮南）现代煤化工产业园园区污水处理厂</w:t>
                  </w:r>
                </w:p>
              </w:tc>
              <w:tc>
                <w:tcPr>
                  <w:tcW w:w="398" w:type="pct"/>
                  <w:noWrap w:val="0"/>
                  <w:vAlign w:val="center"/>
                </w:tcPr>
                <w:p w14:paraId="0950E269">
                  <w:pPr>
                    <w:pStyle w:val="22"/>
                    <w:bidi w:val="0"/>
                    <w:rPr>
                      <w:color w:val="auto"/>
                      <w:lang w:val="en-US" w:eastAsia="zh-CN"/>
                    </w:rPr>
                  </w:pPr>
                  <w:r>
                    <w:rPr>
                      <w:rFonts w:hint="eastAsia"/>
                      <w:color w:val="auto"/>
                      <w:lang w:val="en-US" w:eastAsia="zh-CN"/>
                    </w:rPr>
                    <w:t>间断排放</w:t>
                  </w:r>
                </w:p>
              </w:tc>
              <w:tc>
                <w:tcPr>
                  <w:tcW w:w="497" w:type="pct"/>
                  <w:noWrap w:val="0"/>
                  <w:vAlign w:val="center"/>
                </w:tcPr>
                <w:p w14:paraId="246C533D">
                  <w:pPr>
                    <w:pStyle w:val="22"/>
                    <w:bidi w:val="0"/>
                    <w:rPr>
                      <w:color w:val="auto"/>
                      <w:lang w:val="en-US" w:eastAsia="zh-CN"/>
                    </w:rPr>
                  </w:pPr>
                  <w:r>
                    <w:rPr>
                      <w:rFonts w:hint="eastAsia"/>
                      <w:color w:val="auto"/>
                      <w:lang w:val="en-US" w:eastAsia="zh-CN"/>
                    </w:rPr>
                    <w:t>一般排放口</w:t>
                  </w:r>
                </w:p>
              </w:tc>
              <w:tc>
                <w:tcPr>
                  <w:tcW w:w="835" w:type="pct"/>
                  <w:noWrap w:val="0"/>
                  <w:vAlign w:val="center"/>
                </w:tcPr>
                <w:p w14:paraId="65884DBC">
                  <w:pPr>
                    <w:pStyle w:val="22"/>
                    <w:bidi w:val="0"/>
                    <w:rPr>
                      <w:rFonts w:hint="default"/>
                      <w:color w:val="auto"/>
                      <w:lang w:val="en-US"/>
                    </w:rPr>
                  </w:pPr>
                  <w:r>
                    <w:rPr>
                      <w:rFonts w:hint="eastAsia"/>
                      <w:color w:val="auto"/>
                      <w:lang w:val="en-US" w:eastAsia="zh-CN"/>
                    </w:rPr>
                    <w:t>安徽（淮南）现代煤化工产业园园区污水处理厂接管标准</w:t>
                  </w:r>
                </w:p>
              </w:tc>
            </w:tr>
          </w:tbl>
          <w:p w14:paraId="5DB5EDDC">
            <w:pPr>
              <w:bidi w:val="0"/>
              <w:rPr>
                <w:b/>
                <w:bCs/>
                <w:color w:val="auto"/>
              </w:rPr>
            </w:pPr>
            <w:r>
              <w:rPr>
                <w:b/>
                <w:bCs/>
                <w:color w:val="auto"/>
              </w:rPr>
              <w:t>2、废水处理达标可行性分析</w:t>
            </w:r>
          </w:p>
          <w:p w14:paraId="7FC93283">
            <w:pPr>
              <w:bidi w:val="0"/>
              <w:rPr>
                <w:color w:val="auto"/>
              </w:rPr>
            </w:pPr>
            <w:r>
              <w:rPr>
                <w:rFonts w:hint="eastAsia"/>
                <w:color w:val="auto"/>
              </w:rPr>
              <w:t>（1）</w:t>
            </w:r>
            <w:r>
              <w:rPr>
                <w:color w:val="auto"/>
              </w:rPr>
              <w:t>雨、污分流排水</w:t>
            </w:r>
            <w:r>
              <w:rPr>
                <w:rFonts w:hint="eastAsia"/>
                <w:color w:val="auto"/>
              </w:rPr>
              <w:t>系统</w:t>
            </w:r>
          </w:p>
          <w:p w14:paraId="20BF3DBA">
            <w:pPr>
              <w:bidi w:val="0"/>
              <w:rPr>
                <w:color w:val="auto"/>
                <w:lang w:eastAsia="zh-Hans"/>
              </w:rPr>
            </w:pPr>
            <w:r>
              <w:rPr>
                <w:color w:val="auto"/>
                <w:lang w:eastAsia="zh-Hans"/>
              </w:rPr>
              <w:t>本项目采用雨污分流，</w:t>
            </w:r>
            <w:r>
              <w:rPr>
                <w:rFonts w:hint="eastAsia"/>
                <w:color w:val="auto"/>
                <w:lang w:val="en-US" w:eastAsia="zh-CN"/>
              </w:rPr>
              <w:t>租赁厂区已建设完善雨污分流系统，</w:t>
            </w:r>
            <w:r>
              <w:rPr>
                <w:color w:val="auto"/>
                <w:lang w:eastAsia="zh-Hans"/>
              </w:rPr>
              <w:t>雨水经厂区雨水管道收集后排入市政雨水管网；生活污水经化粪池处理后在满足</w:t>
            </w:r>
            <w:r>
              <w:rPr>
                <w:rFonts w:hint="eastAsia"/>
                <w:color w:val="auto"/>
                <w:lang w:val="en-US" w:eastAsia="zh-Hans"/>
              </w:rPr>
              <w:t>安徽（淮南）现代煤化工产业园园区污水处理厂</w:t>
            </w:r>
            <w:r>
              <w:rPr>
                <w:color w:val="auto"/>
                <w:lang w:eastAsia="zh-Hans"/>
              </w:rPr>
              <w:t>的前提下排入</w:t>
            </w:r>
            <w:r>
              <w:rPr>
                <w:rFonts w:hint="eastAsia"/>
                <w:color w:val="auto"/>
                <w:lang w:val="en-US" w:eastAsia="zh-CN"/>
              </w:rPr>
              <w:t>园区</w:t>
            </w:r>
            <w:r>
              <w:rPr>
                <w:color w:val="auto"/>
                <w:lang w:eastAsia="zh-Hans"/>
              </w:rPr>
              <w:t>污水管网，</w:t>
            </w:r>
            <w:r>
              <w:rPr>
                <w:color w:val="auto"/>
              </w:rPr>
              <w:t>废水</w:t>
            </w:r>
            <w:r>
              <w:rPr>
                <w:color w:val="auto"/>
                <w:lang w:eastAsia="zh-Hans"/>
              </w:rPr>
              <w:t>经</w:t>
            </w:r>
            <w:r>
              <w:rPr>
                <w:rFonts w:hint="eastAsia"/>
                <w:color w:val="auto"/>
                <w:lang w:val="en-US" w:eastAsia="zh-CN"/>
              </w:rPr>
              <w:t>园区污水处理厂处理后回用，不外排。</w:t>
            </w:r>
          </w:p>
          <w:p w14:paraId="7C7AE17F">
            <w:pPr>
              <w:bidi w:val="0"/>
              <w:rPr>
                <w:color w:val="auto"/>
              </w:rPr>
            </w:pPr>
            <w:r>
              <w:rPr>
                <w:color w:val="0000FF"/>
              </w:rPr>
              <w:t>（</w:t>
            </w:r>
            <w:r>
              <w:rPr>
                <w:color w:val="auto"/>
              </w:rPr>
              <w:t>2）废水处理依托可行性</w:t>
            </w:r>
          </w:p>
          <w:p w14:paraId="35CED5D0">
            <w:pPr>
              <w:bidi w:val="0"/>
              <w:rPr>
                <w:color w:val="auto"/>
              </w:rPr>
            </w:pPr>
            <w:r>
              <w:rPr>
                <w:rFonts w:hint="eastAsia"/>
                <w:color w:val="auto"/>
              </w:rPr>
              <w:t>①</w:t>
            </w:r>
            <w:r>
              <w:rPr>
                <w:rFonts w:hint="eastAsia"/>
                <w:color w:val="auto"/>
                <w:lang w:val="en-US" w:eastAsia="zh-Hans"/>
              </w:rPr>
              <w:t>安徽（淮南）现代煤化工产业园园区污水处理厂</w:t>
            </w:r>
            <w:r>
              <w:rPr>
                <w:color w:val="auto"/>
              </w:rPr>
              <w:t>概况</w:t>
            </w:r>
          </w:p>
          <w:p w14:paraId="69A07BD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cs="Times New Roman"/>
                <w:bCs/>
                <w:color w:val="auto"/>
                <w:spacing w:val="0"/>
                <w:szCs w:val="21"/>
                <w:lang w:val="en-US" w:eastAsia="zh-CN"/>
              </w:rPr>
            </w:pPr>
            <w:r>
              <w:rPr>
                <w:rFonts w:hint="eastAsia" w:cs="Times New Roman"/>
                <w:bCs/>
                <w:color w:val="auto"/>
                <w:spacing w:val="0"/>
                <w:szCs w:val="21"/>
                <w:lang w:val="en-US" w:eastAsia="zh-CN"/>
              </w:rPr>
              <w:t>安徽（淮南）现代煤化工产业园污水处理厂由淮南市产发集团所属淮南市国弘城镇建设投资有限公司投资建设，安徽聚源管理有限公司委托运维单位进行管理，污水处理厂设计处理能力1.0万</w:t>
            </w:r>
            <w:r>
              <w:rPr>
                <w:rFonts w:hint="eastAsia"/>
                <w:color w:val="auto"/>
                <w:lang w:val="en-US" w:eastAsia="zh-CN"/>
              </w:rPr>
              <w:t>m</w:t>
            </w:r>
            <w:r>
              <w:rPr>
                <w:rFonts w:hint="eastAsia"/>
                <w:color w:val="auto"/>
                <w:vertAlign w:val="superscript"/>
                <w:lang w:val="en-US" w:eastAsia="zh-CN"/>
              </w:rPr>
              <w:t>3</w:t>
            </w:r>
            <w:r>
              <w:rPr>
                <w:rFonts w:hint="eastAsia" w:cs="Times New Roman"/>
                <w:bCs/>
                <w:color w:val="auto"/>
                <w:spacing w:val="0"/>
                <w:szCs w:val="21"/>
                <w:lang w:val="en-US" w:eastAsia="zh-CN"/>
              </w:rPr>
              <w:t>/d；2017年6月19日取得环评批复，污水处理厂自2021年1月26日收纳废水，目前日均进水量不足2000m</w:t>
            </w:r>
            <w:r>
              <w:rPr>
                <w:rFonts w:hint="eastAsia" w:cs="Times New Roman"/>
                <w:bCs/>
                <w:color w:val="auto"/>
                <w:spacing w:val="0"/>
                <w:szCs w:val="21"/>
                <w:vertAlign w:val="superscript"/>
                <w:lang w:val="en-US" w:eastAsia="zh-CN"/>
              </w:rPr>
              <w:t>3</w:t>
            </w:r>
            <w:r>
              <w:rPr>
                <w:rFonts w:hint="eastAsia" w:cs="Times New Roman"/>
                <w:bCs/>
                <w:color w:val="auto"/>
                <w:spacing w:val="0"/>
                <w:szCs w:val="21"/>
                <w:lang w:val="en-US" w:eastAsia="zh-CN"/>
              </w:rPr>
              <w:t>/d，处理后的尾水已实现综合利用。</w:t>
            </w:r>
          </w:p>
          <w:p w14:paraId="4644F02B">
            <w:pPr>
              <w:bidi w:val="0"/>
              <w:rPr>
                <w:rFonts w:hint="eastAsia"/>
                <w:color w:val="auto"/>
                <w:lang w:val="en-US" w:eastAsia="zh-CN"/>
              </w:rPr>
            </w:pPr>
            <w:r>
              <w:rPr>
                <w:rFonts w:hint="eastAsia"/>
                <w:color w:val="auto"/>
                <w:lang w:val="en-US" w:eastAsia="zh-CN"/>
              </w:rPr>
              <w:t>安徽（淮南）现代煤化工产业园污水处理厂采用改良型氧化沟处理工艺，该工艺是具有生物脱氮除磷功能的活性污泥法，其生化部分包括厌氧池、氧化沟、二沉池，具有耐冲击负荷、曝气功率密度大、投资费用较少、污泥沉降性能好等特点。</w:t>
            </w:r>
          </w:p>
          <w:p w14:paraId="351842CC">
            <w:pPr>
              <w:bidi w:val="0"/>
              <w:rPr>
                <w:color w:val="auto"/>
              </w:rPr>
            </w:pPr>
            <w:r>
              <w:rPr>
                <w:rFonts w:hint="eastAsia"/>
                <w:color w:val="auto"/>
              </w:rPr>
              <w:t>②</w:t>
            </w:r>
            <w:r>
              <w:rPr>
                <w:rFonts w:hint="eastAsia"/>
                <w:color w:val="auto"/>
                <w:lang w:val="en-US" w:eastAsia="zh-Hans"/>
              </w:rPr>
              <w:t>安徽（淮南）现代煤化工产业园园区污水处理厂</w:t>
            </w:r>
            <w:r>
              <w:rPr>
                <w:color w:val="auto"/>
              </w:rPr>
              <w:t>服务范围</w:t>
            </w:r>
          </w:p>
          <w:p w14:paraId="211A4FC9">
            <w:pPr>
              <w:bidi w:val="0"/>
              <w:rPr>
                <w:color w:val="auto"/>
              </w:rPr>
            </w:pPr>
            <w:r>
              <w:rPr>
                <w:rFonts w:hint="eastAsia"/>
                <w:color w:val="auto"/>
              </w:rPr>
              <w:t>安徽（淮南）现代煤化工产业园污水处理厂收水范围为整个园区工业企业和公共区域初期雨水，</w:t>
            </w:r>
            <w:r>
              <w:rPr>
                <w:color w:val="auto"/>
              </w:rPr>
              <w:t>本项目建设地点位于</w:t>
            </w:r>
            <w:r>
              <w:rPr>
                <w:rFonts w:hint="eastAsia"/>
                <w:color w:val="auto"/>
              </w:rPr>
              <w:t>安徽（淮南）现代煤化工产业园</w:t>
            </w:r>
            <w:r>
              <w:rPr>
                <w:color w:val="auto"/>
              </w:rPr>
              <w:t>，所在区域属于</w:t>
            </w:r>
            <w:r>
              <w:rPr>
                <w:rFonts w:hint="eastAsia"/>
                <w:color w:val="auto"/>
              </w:rPr>
              <w:t>安徽（淮南）现代煤化工产业园污水处理厂</w:t>
            </w:r>
            <w:r>
              <w:rPr>
                <w:color w:val="auto"/>
              </w:rPr>
              <w:t>收水范围。目前，项目区域污水管网已配套建设，废水接入</w:t>
            </w:r>
            <w:r>
              <w:rPr>
                <w:rFonts w:hint="eastAsia"/>
                <w:color w:val="auto"/>
                <w:lang w:val="en-US" w:eastAsia="zh-CN"/>
              </w:rPr>
              <w:t>园区</w:t>
            </w:r>
            <w:r>
              <w:rPr>
                <w:color w:val="auto"/>
              </w:rPr>
              <w:t>污水管网，最终进入</w:t>
            </w:r>
            <w:r>
              <w:rPr>
                <w:rFonts w:hint="eastAsia"/>
                <w:color w:val="auto"/>
              </w:rPr>
              <w:t>安徽（淮南）现代煤化工产业园污水处理厂</w:t>
            </w:r>
            <w:r>
              <w:rPr>
                <w:color w:val="auto"/>
              </w:rPr>
              <w:t>。</w:t>
            </w:r>
          </w:p>
          <w:p w14:paraId="5F115967">
            <w:pPr>
              <w:bidi w:val="0"/>
              <w:rPr>
                <w:color w:val="auto"/>
              </w:rPr>
            </w:pPr>
            <w:r>
              <w:rPr>
                <w:rFonts w:hint="eastAsia"/>
                <w:color w:val="auto"/>
              </w:rPr>
              <w:t>③</w:t>
            </w:r>
            <w:r>
              <w:rPr>
                <w:rFonts w:hint="eastAsia"/>
                <w:color w:val="auto"/>
                <w:lang w:val="en-US" w:eastAsia="zh-CN"/>
              </w:rPr>
              <w:t>依托可行性分析</w:t>
            </w:r>
          </w:p>
          <w:p w14:paraId="74F3CA36">
            <w:pPr>
              <w:bidi w:val="0"/>
              <w:rPr>
                <w:rFonts w:hint="default"/>
                <w:color w:val="auto"/>
                <w:lang w:val="en-US" w:eastAsia="zh-CN"/>
              </w:rPr>
            </w:pPr>
            <w:r>
              <w:rPr>
                <w:rFonts w:hint="eastAsia"/>
                <w:color w:val="auto"/>
                <w:lang w:val="en-US" w:eastAsia="zh-CN"/>
              </w:rPr>
              <w:t>1）处理能力</w:t>
            </w:r>
          </w:p>
          <w:p w14:paraId="0DDAFFA1">
            <w:pPr>
              <w:bidi w:val="0"/>
              <w:rPr>
                <w:color w:val="auto"/>
              </w:rPr>
            </w:pPr>
            <w:r>
              <w:rPr>
                <w:rFonts w:hint="eastAsia"/>
                <w:color w:val="auto"/>
              </w:rPr>
              <w:t>安徽（淮南）现代煤化工产业园污水处理厂</w:t>
            </w:r>
            <w:r>
              <w:rPr>
                <w:color w:val="auto"/>
              </w:rPr>
              <w:t>污水设计处理量为</w:t>
            </w:r>
            <w:r>
              <w:rPr>
                <w:rFonts w:hint="eastAsia"/>
                <w:color w:val="auto"/>
                <w:lang w:val="en-US" w:eastAsia="zh-CN"/>
              </w:rPr>
              <w:t>10000m</w:t>
            </w:r>
            <w:r>
              <w:rPr>
                <w:rFonts w:hint="eastAsia"/>
                <w:color w:val="auto"/>
                <w:vertAlign w:val="superscript"/>
                <w:lang w:val="en-US" w:eastAsia="zh-CN"/>
              </w:rPr>
              <w:t>3</w:t>
            </w:r>
            <w:r>
              <w:rPr>
                <w:color w:val="auto"/>
              </w:rPr>
              <w:t>/d，</w:t>
            </w:r>
            <w:r>
              <w:rPr>
                <w:rFonts w:hint="eastAsia"/>
                <w:color w:val="auto"/>
              </w:rPr>
              <w:t>目前污水处理规模为</w:t>
            </w:r>
            <w:r>
              <w:rPr>
                <w:rFonts w:hint="eastAsia"/>
                <w:color w:val="auto"/>
                <w:lang w:val="en-US" w:eastAsia="zh-CN"/>
              </w:rPr>
              <w:t>2000m</w:t>
            </w:r>
            <w:r>
              <w:rPr>
                <w:rFonts w:hint="eastAsia"/>
                <w:color w:val="auto"/>
                <w:vertAlign w:val="superscript"/>
                <w:lang w:val="en-US" w:eastAsia="zh-CN"/>
              </w:rPr>
              <w:t>3</w:t>
            </w:r>
            <w:r>
              <w:rPr>
                <w:color w:val="auto"/>
              </w:rPr>
              <w:t>/d</w:t>
            </w:r>
            <w:r>
              <w:rPr>
                <w:rFonts w:hint="eastAsia"/>
                <w:color w:val="auto"/>
              </w:rPr>
              <w:t>，剩余处理能力为</w:t>
            </w:r>
            <w:r>
              <w:rPr>
                <w:rFonts w:hint="eastAsia"/>
                <w:color w:val="auto"/>
                <w:lang w:val="en-US" w:eastAsia="zh-CN"/>
              </w:rPr>
              <w:t>8000m</w:t>
            </w:r>
            <w:r>
              <w:rPr>
                <w:rFonts w:hint="eastAsia"/>
                <w:color w:val="auto"/>
                <w:vertAlign w:val="superscript"/>
                <w:lang w:val="en-US" w:eastAsia="zh-CN"/>
              </w:rPr>
              <w:t>3</w:t>
            </w:r>
            <w:r>
              <w:rPr>
                <w:color w:val="auto"/>
              </w:rPr>
              <w:t>/d。本项目运行后，新增废水排放量为</w:t>
            </w:r>
            <w:r>
              <w:rPr>
                <w:rFonts w:hint="eastAsia"/>
                <w:color w:val="auto"/>
                <w:lang w:val="en-US" w:eastAsia="zh-CN"/>
              </w:rPr>
              <w:t>2.15</w:t>
            </w:r>
            <w:r>
              <w:rPr>
                <w:color w:val="auto"/>
              </w:rPr>
              <w:t>t/d，废水量较小，占污水处理厂</w:t>
            </w:r>
            <w:r>
              <w:rPr>
                <w:rFonts w:hint="eastAsia"/>
                <w:color w:val="auto"/>
              </w:rPr>
              <w:t>剩余处理能力的</w:t>
            </w:r>
            <w:r>
              <w:rPr>
                <w:rFonts w:hint="eastAsia"/>
                <w:color w:val="auto"/>
                <w:lang w:val="en-US" w:eastAsia="zh-CN"/>
              </w:rPr>
              <w:t>0.027</w:t>
            </w:r>
            <w:r>
              <w:rPr>
                <w:rFonts w:hint="eastAsia"/>
                <w:color w:val="auto"/>
              </w:rPr>
              <w:t>%</w:t>
            </w:r>
            <w:r>
              <w:rPr>
                <w:color w:val="auto"/>
              </w:rPr>
              <w:t>，因此从污水量上考虑，项目接管可行。</w:t>
            </w:r>
          </w:p>
          <w:p w14:paraId="3EDE8B2E">
            <w:pPr>
              <w:bidi w:val="0"/>
              <w:rPr>
                <w:rFonts w:hint="default"/>
                <w:color w:val="auto"/>
                <w:lang w:val="en-US" w:eastAsia="zh-CN"/>
              </w:rPr>
            </w:pPr>
            <w:r>
              <w:rPr>
                <w:rFonts w:hint="eastAsia"/>
                <w:color w:val="auto"/>
                <w:lang w:val="en-US" w:eastAsia="zh-CN"/>
              </w:rPr>
              <w:t>2）处理工艺及水质要求</w:t>
            </w:r>
          </w:p>
          <w:p w14:paraId="3CC1EC8D">
            <w:pPr>
              <w:bidi w:val="0"/>
              <w:rPr>
                <w:rFonts w:hint="eastAsia"/>
                <w:color w:val="auto"/>
              </w:rPr>
            </w:pPr>
            <w:r>
              <w:rPr>
                <w:rFonts w:hint="eastAsia"/>
                <w:color w:val="auto"/>
              </w:rPr>
              <w:t>安徽（淮南）现代煤化工产业园污水处理厂收水范围为整个园区工业企业和公共区域初期雨水，本项目位于安徽（淮南）现代煤化工产业园内，位于收水范围内</w:t>
            </w:r>
            <w:r>
              <w:rPr>
                <w:color w:val="auto"/>
              </w:rPr>
              <w:t>。</w:t>
            </w:r>
            <w:r>
              <w:rPr>
                <w:rFonts w:hint="eastAsia"/>
                <w:color w:val="auto"/>
              </w:rPr>
              <w:t>本项目废水</w:t>
            </w:r>
            <w:r>
              <w:rPr>
                <w:rFonts w:hint="eastAsia"/>
                <w:color w:val="auto"/>
                <w:lang w:val="en-US" w:eastAsia="zh-CN"/>
              </w:rPr>
              <w:t>主要为生活污水，</w:t>
            </w:r>
            <w:r>
              <w:rPr>
                <w:rFonts w:hint="eastAsia"/>
                <w:color w:val="auto"/>
              </w:rPr>
              <w:t>不会对安徽（淮南）现代煤化工产业园污水处理厂处理工艺造成冲击，安徽（淮南）现代煤化工产业园污水处理厂可接纳本项目废水。</w:t>
            </w:r>
          </w:p>
          <w:p w14:paraId="667E305F">
            <w:pPr>
              <w:bidi w:val="0"/>
              <w:rPr>
                <w:color w:val="auto"/>
              </w:rPr>
            </w:pPr>
            <w:r>
              <w:rPr>
                <w:color w:val="auto"/>
              </w:rPr>
              <w:t>综上所述，本项目外排废水污染物排放浓度符合</w:t>
            </w:r>
            <w:r>
              <w:rPr>
                <w:rFonts w:hint="eastAsia"/>
                <w:color w:val="auto"/>
              </w:rPr>
              <w:t>安徽（淮南）现代煤化工产业园污水处理厂</w:t>
            </w:r>
            <w:r>
              <w:rPr>
                <w:color w:val="auto"/>
              </w:rPr>
              <w:t>接管标准，污水经</w:t>
            </w:r>
            <w:r>
              <w:rPr>
                <w:rFonts w:hint="eastAsia"/>
                <w:color w:val="auto"/>
                <w:lang w:val="en-US" w:eastAsia="zh-CN"/>
              </w:rPr>
              <w:t>园区</w:t>
            </w:r>
            <w:r>
              <w:rPr>
                <w:color w:val="auto"/>
              </w:rPr>
              <w:t>污水管网排入</w:t>
            </w:r>
            <w:r>
              <w:rPr>
                <w:rFonts w:hint="eastAsia"/>
                <w:color w:val="auto"/>
              </w:rPr>
              <w:t>安徽（淮南）现代煤化工产业园污水处理厂</w:t>
            </w:r>
            <w:r>
              <w:rPr>
                <w:color w:val="auto"/>
              </w:rPr>
              <w:t>处理达标后</w:t>
            </w:r>
            <w:r>
              <w:rPr>
                <w:rFonts w:hint="eastAsia"/>
                <w:color w:val="auto"/>
                <w:lang w:val="en-US" w:eastAsia="zh-CN"/>
              </w:rPr>
              <w:t>回用</w:t>
            </w:r>
            <w:r>
              <w:rPr>
                <w:color w:val="auto"/>
              </w:rPr>
              <w:t>，该污水处理厂有能力接纳项目运营后增加的废水，并且成熟的处理工艺可以确保达标</w:t>
            </w:r>
            <w:r>
              <w:rPr>
                <w:rFonts w:hint="eastAsia"/>
                <w:color w:val="auto"/>
                <w:lang w:val="en-US" w:eastAsia="zh-CN"/>
              </w:rPr>
              <w:t>回用于园内其他企业</w:t>
            </w:r>
            <w:r>
              <w:rPr>
                <w:color w:val="auto"/>
              </w:rPr>
              <w:t>，不会降低地表水现有水环境功能，对项目周边水体水质的影响较小。</w:t>
            </w:r>
          </w:p>
          <w:p w14:paraId="04D04507">
            <w:pPr>
              <w:bidi w:val="0"/>
              <w:rPr>
                <w:color w:val="auto"/>
              </w:rPr>
            </w:pPr>
            <w:r>
              <w:rPr>
                <w:color w:val="auto"/>
              </w:rPr>
              <w:t>（3）废水类别、污染物项目、排放形式及污染防治设施</w:t>
            </w:r>
          </w:p>
          <w:p w14:paraId="15AE1338">
            <w:pPr>
              <w:bidi w:val="0"/>
              <w:rPr>
                <w:color w:val="0000FF"/>
              </w:rPr>
            </w:pPr>
            <w:r>
              <w:rPr>
                <w:color w:val="auto"/>
              </w:rPr>
              <w:t>本项目采用雨污分流，雨水经厂区雨水管道收集后排入市政雨水管网；生活污水经化粪池处理后在满足</w:t>
            </w:r>
            <w:r>
              <w:rPr>
                <w:rFonts w:hint="eastAsia"/>
                <w:color w:val="auto"/>
              </w:rPr>
              <w:t>安徽（淮南）现代煤化工产业园污水处理厂</w:t>
            </w:r>
            <w:r>
              <w:rPr>
                <w:color w:val="auto"/>
              </w:rPr>
              <w:t>接管标准的前提下排入</w:t>
            </w:r>
            <w:r>
              <w:rPr>
                <w:rFonts w:hint="eastAsia"/>
                <w:color w:val="auto"/>
                <w:lang w:val="en-US" w:eastAsia="zh-CN"/>
              </w:rPr>
              <w:t>园区</w:t>
            </w:r>
            <w:r>
              <w:rPr>
                <w:color w:val="auto"/>
              </w:rPr>
              <w:t>污水管网，</w:t>
            </w:r>
            <w:r>
              <w:rPr>
                <w:rFonts w:hint="eastAsia"/>
                <w:color w:val="auto"/>
                <w:lang w:val="en-US" w:eastAsia="zh-CN"/>
              </w:rPr>
              <w:t>排入含盐化工废水处理工程进行深度处理，尾水达到《工业循环冷却水处理设计规范》（GB/T50050-2017）中“再生水用于间冷开式循环冷却水系统补充水的水质指标”（其中COD≤50mg/L），尾水回用，不外排</w:t>
            </w:r>
            <w:r>
              <w:rPr>
                <w:rFonts w:hint="eastAsia"/>
                <w:color w:val="auto"/>
              </w:rPr>
              <w:t>。</w:t>
            </w:r>
          </w:p>
          <w:p w14:paraId="585577DA">
            <w:pPr>
              <w:bidi w:val="0"/>
              <w:rPr>
                <w:rFonts w:hint="default"/>
                <w:b/>
                <w:bCs/>
                <w:color w:val="auto"/>
                <w:lang w:val="en-US" w:eastAsia="zh-CN"/>
              </w:rPr>
            </w:pPr>
            <w:r>
              <w:rPr>
                <w:rFonts w:hint="eastAsia"/>
                <w:b/>
                <w:bCs/>
                <w:color w:val="auto"/>
                <w:lang w:val="en-US" w:eastAsia="zh-CN"/>
              </w:rPr>
              <w:t>3、监测要求</w:t>
            </w:r>
          </w:p>
          <w:p w14:paraId="7090FE90">
            <w:pPr>
              <w:bidi w:val="0"/>
              <w:rPr>
                <w:rFonts w:hint="eastAsia"/>
                <w:color w:val="0000FF"/>
                <w:lang w:val="en-US" w:eastAsia="zh-CN"/>
              </w:rPr>
            </w:pPr>
            <w:r>
              <w:rPr>
                <w:rFonts w:hint="eastAsia"/>
                <w:color w:val="auto"/>
                <w:lang w:val="en-US" w:eastAsia="zh-CN"/>
              </w:rPr>
              <w:t>根据《排污单位自行监测技术指南 总则》（HJ819-2017）、</w:t>
            </w:r>
            <w:r>
              <w:rPr>
                <w:rFonts w:hint="eastAsia"/>
                <w:color w:val="auto"/>
                <w:kern w:val="0"/>
                <w:sz w:val="24"/>
              </w:rPr>
              <w:t>根据</w:t>
            </w:r>
            <w:r>
              <w:rPr>
                <w:color w:val="auto"/>
                <w:sz w:val="24"/>
              </w:rPr>
              <w:t>《</w:t>
            </w:r>
            <w:r>
              <w:rPr>
                <w:color w:val="000000" w:themeColor="text1"/>
                <w:sz w:val="24"/>
                <w14:textFill>
                  <w14:solidFill>
                    <w14:schemeClr w14:val="tx1"/>
                  </w14:solidFill>
                </w14:textFill>
              </w:rPr>
              <w:t xml:space="preserve">排污许可证申请与核发技术规范 </w:t>
            </w:r>
            <w:r>
              <w:rPr>
                <w:rFonts w:hint="eastAsia"/>
                <w:color w:val="000000" w:themeColor="text1"/>
                <w:sz w:val="24"/>
                <w14:textFill>
                  <w14:solidFill>
                    <w14:schemeClr w14:val="tx1"/>
                  </w14:solidFill>
                </w14:textFill>
              </w:rPr>
              <w:t>橡胶和塑料制品</w:t>
            </w:r>
            <w:r>
              <w:rPr>
                <w:color w:val="000000" w:themeColor="text1"/>
                <w:sz w:val="24"/>
                <w14:textFill>
                  <w14:solidFill>
                    <w14:schemeClr w14:val="tx1"/>
                  </w14:solidFill>
                </w14:textFill>
              </w:rPr>
              <w:t>工业》（HJ 1</w:t>
            </w:r>
            <w:r>
              <w:rPr>
                <w:rFonts w:hint="eastAsia"/>
                <w:color w:val="000000" w:themeColor="text1"/>
                <w:sz w:val="24"/>
                <w14:textFill>
                  <w14:solidFill>
                    <w14:schemeClr w14:val="tx1"/>
                  </w14:solidFill>
                </w14:textFill>
              </w:rPr>
              <w:t>122</w:t>
            </w: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020</w:t>
            </w:r>
            <w:r>
              <w:rPr>
                <w:color w:val="000000" w:themeColor="text1"/>
                <w:sz w:val="24"/>
                <w14:textFill>
                  <w14:solidFill>
                    <w14:schemeClr w14:val="tx1"/>
                  </w14:solidFill>
                </w14:textFill>
              </w:rPr>
              <w:t>）</w:t>
            </w:r>
            <w:r>
              <w:rPr>
                <w:rFonts w:ascii="宋体" w:hAnsi="宋体" w:cs="宋体"/>
                <w:sz w:val="24"/>
              </w:rPr>
              <w:t>单独排入公共污水处理系统的生活污水无需开展自行监测</w:t>
            </w:r>
            <w:r>
              <w:rPr>
                <w:rFonts w:hint="eastAsia"/>
                <w:color w:val="000000" w:themeColor="text1"/>
                <w:sz w:val="24"/>
                <w14:textFill>
                  <w14:solidFill>
                    <w14:schemeClr w14:val="tx1"/>
                  </w14:solidFill>
                </w14:textFill>
              </w:rPr>
              <w:t>，</w:t>
            </w:r>
            <w:r>
              <w:rPr>
                <w:rFonts w:ascii="宋体" w:hAnsi="宋体" w:cs="宋体"/>
                <w:sz w:val="24"/>
              </w:rPr>
              <w:t>但需要说明排放去向。</w:t>
            </w:r>
            <w:r>
              <w:rPr>
                <w:rFonts w:hint="eastAsia"/>
                <w:color w:val="000000" w:themeColor="text1"/>
                <w:sz w:val="24"/>
                <w14:textFill>
                  <w14:solidFill>
                    <w14:schemeClr w14:val="tx1"/>
                  </w14:solidFill>
                </w14:textFill>
              </w:rPr>
              <w:t>本项目生活污水排入市政污水管网后进入</w:t>
            </w:r>
            <w:r>
              <w:rPr>
                <w:rFonts w:hint="eastAsia"/>
                <w:color w:val="auto"/>
              </w:rPr>
              <w:t>安徽（淮南）现代煤化工产业园污水处理厂</w:t>
            </w:r>
            <w:r>
              <w:rPr>
                <w:rFonts w:hint="eastAsia"/>
                <w:color w:val="000000" w:themeColor="text1"/>
                <w:sz w:val="24"/>
                <w14:textFill>
                  <w14:solidFill>
                    <w14:schemeClr w14:val="tx1"/>
                  </w14:solidFill>
                </w14:textFill>
              </w:rPr>
              <w:t>集中处理，处理达标后</w:t>
            </w:r>
            <w:r>
              <w:rPr>
                <w:rFonts w:hint="eastAsia"/>
                <w:color w:val="000000" w:themeColor="text1"/>
                <w:sz w:val="24"/>
                <w:lang w:val="en-US" w:eastAsia="zh-CN"/>
                <w14:textFill>
                  <w14:solidFill>
                    <w14:schemeClr w14:val="tx1"/>
                  </w14:solidFill>
                </w14:textFill>
              </w:rPr>
              <w:t>回用于园区</w:t>
            </w:r>
            <w:r>
              <w:rPr>
                <w:rFonts w:hint="eastAsia"/>
                <w:color w:val="000000" w:themeColor="text1"/>
                <w:sz w:val="24"/>
                <w14:textFill>
                  <w14:solidFill>
                    <w14:schemeClr w14:val="tx1"/>
                  </w14:solidFill>
                </w14:textFill>
              </w:rPr>
              <w:t>。因此本项目生活污水排放未设置监控频次</w:t>
            </w:r>
            <w:r>
              <w:rPr>
                <w:rFonts w:hint="eastAsia"/>
                <w:color w:val="000000" w:themeColor="text1"/>
                <w:kern w:val="0"/>
                <w:sz w:val="24"/>
                <w14:textFill>
                  <w14:solidFill>
                    <w14:schemeClr w14:val="tx1"/>
                  </w14:solidFill>
                </w14:textFill>
              </w:rPr>
              <w:t>。</w:t>
            </w:r>
          </w:p>
          <w:p w14:paraId="3FA7295C">
            <w:pPr>
              <w:bidi w:val="0"/>
              <w:rPr>
                <w:b/>
                <w:bCs/>
                <w:color w:val="auto"/>
              </w:rPr>
            </w:pPr>
            <w:r>
              <w:rPr>
                <w:rFonts w:hint="eastAsia"/>
                <w:b/>
                <w:bCs/>
                <w:color w:val="auto"/>
                <w:lang w:val="en-US" w:eastAsia="zh-CN"/>
              </w:rPr>
              <w:t>4、</w:t>
            </w:r>
            <w:r>
              <w:rPr>
                <w:b/>
                <w:bCs/>
                <w:color w:val="auto"/>
              </w:rPr>
              <w:t>地表水环境影响评价结论</w:t>
            </w:r>
          </w:p>
          <w:p w14:paraId="45668599">
            <w:pPr>
              <w:bidi w:val="0"/>
              <w:rPr>
                <w:rFonts w:hint="eastAsia"/>
                <w:color w:val="auto"/>
              </w:rPr>
            </w:pPr>
            <w:r>
              <w:rPr>
                <w:color w:val="auto"/>
              </w:rPr>
              <w:t>本项目采用“雨污分流制”排水系统。雨水直接进入市政雨水管网，排入区域地表水系。项目新增废水不直接排入区域地表水环境，接管</w:t>
            </w:r>
            <w:r>
              <w:rPr>
                <w:rFonts w:hint="eastAsia"/>
                <w:color w:val="auto"/>
              </w:rPr>
              <w:t>安徽（淮南）现代煤化工产业园污水处理厂</w:t>
            </w:r>
            <w:r>
              <w:rPr>
                <w:color w:val="auto"/>
              </w:rPr>
              <w:t>接管标准处理达标</w:t>
            </w:r>
            <w:r>
              <w:rPr>
                <w:rFonts w:hint="eastAsia"/>
                <w:color w:val="auto"/>
                <w:lang w:val="en-US" w:eastAsia="zh-CN"/>
              </w:rPr>
              <w:t>回用</w:t>
            </w:r>
            <w:r>
              <w:rPr>
                <w:color w:val="auto"/>
              </w:rPr>
              <w:t>，对区域水环境质量影响较小。</w:t>
            </w:r>
          </w:p>
          <w:p w14:paraId="23D424F3">
            <w:pPr>
              <w:bidi w:val="0"/>
              <w:rPr>
                <w:b/>
                <w:bCs/>
                <w:color w:val="auto"/>
              </w:rPr>
            </w:pPr>
            <w:r>
              <w:rPr>
                <w:rFonts w:hint="eastAsia"/>
                <w:b/>
                <w:bCs/>
                <w:color w:val="auto"/>
              </w:rPr>
              <w:t>三、</w:t>
            </w:r>
            <w:r>
              <w:rPr>
                <w:b/>
                <w:bCs/>
                <w:color w:val="auto"/>
              </w:rPr>
              <w:t>噪声</w:t>
            </w:r>
          </w:p>
          <w:p w14:paraId="0489ADA1">
            <w:pPr>
              <w:bidi w:val="0"/>
              <w:rPr>
                <w:rFonts w:hint="eastAsia"/>
                <w:color w:val="0000FF"/>
                <w:lang w:val="en-US" w:eastAsia="zh-CN"/>
              </w:rPr>
            </w:pPr>
            <w:r>
              <w:rPr>
                <w:rFonts w:hint="eastAsia"/>
                <w:color w:val="auto"/>
                <w:lang w:val="en-US" w:eastAsia="zh-CN"/>
              </w:rPr>
              <w:t>（1）本项目运营期噪声源主要是上料机、熔融挤出机、冷却水塔、风机等设备所产生的噪声，噪声值在75~90dB（A）之间，设备位置以生产车间西南角为坐标原点，东西向为X轴，南北向为Y轴进行定位。各设备噪声声级见下表。</w:t>
            </w:r>
          </w:p>
        </w:tc>
      </w:tr>
    </w:tbl>
    <w:p w14:paraId="6E9C85C4">
      <w:pPr>
        <w:adjustRightInd w:val="0"/>
        <w:snapToGrid w:val="0"/>
        <w:spacing w:line="360" w:lineRule="auto"/>
        <w:rPr>
          <w:b/>
          <w:color w:val="0000FF"/>
          <w:kern w:val="0"/>
          <w:szCs w:val="21"/>
        </w:rPr>
        <w:sectPr>
          <w:pgSz w:w="11907" w:h="16840"/>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06F18F46">
      <w:pPr>
        <w:pStyle w:val="21"/>
        <w:bidi w:val="0"/>
        <w:rPr>
          <w:color w:val="auto"/>
        </w:rPr>
      </w:pPr>
      <w:r>
        <w:rPr>
          <w:rFonts w:hint="eastAsia"/>
          <w:color w:val="auto"/>
        </w:rPr>
        <w:t>表4-</w:t>
      </w:r>
      <w:r>
        <w:rPr>
          <w:rFonts w:hint="eastAsia"/>
          <w:color w:val="auto"/>
          <w:lang w:val="en-US" w:eastAsia="zh-CN"/>
        </w:rPr>
        <w:t>11</w:t>
      </w:r>
      <w:r>
        <w:rPr>
          <w:rFonts w:hint="eastAsia"/>
          <w:color w:val="auto"/>
        </w:rPr>
        <w:t xml:space="preserve">  </w:t>
      </w:r>
      <w:r>
        <w:rPr>
          <w:color w:val="auto"/>
        </w:rPr>
        <w:t>项目主要噪声源排放源强（室内）</w:t>
      </w:r>
    </w:p>
    <w:tbl>
      <w:tblPr>
        <w:tblStyle w:val="12"/>
        <w:tblW w:w="52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97"/>
        <w:gridCol w:w="484"/>
        <w:gridCol w:w="839"/>
        <w:gridCol w:w="700"/>
        <w:gridCol w:w="451"/>
        <w:gridCol w:w="673"/>
        <w:gridCol w:w="569"/>
        <w:gridCol w:w="579"/>
        <w:gridCol w:w="352"/>
        <w:gridCol w:w="620"/>
        <w:gridCol w:w="590"/>
        <w:gridCol w:w="631"/>
        <w:gridCol w:w="705"/>
        <w:gridCol w:w="646"/>
        <w:gridCol w:w="608"/>
        <w:gridCol w:w="568"/>
        <w:gridCol w:w="605"/>
        <w:gridCol w:w="393"/>
        <w:gridCol w:w="633"/>
        <w:gridCol w:w="598"/>
        <w:gridCol w:w="554"/>
        <w:gridCol w:w="554"/>
        <w:gridCol w:w="576"/>
        <w:gridCol w:w="656"/>
      </w:tblGrid>
      <w:tr w14:paraId="7BCAB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vMerge w:val="restart"/>
            <w:noWrap w:val="0"/>
            <w:vAlign w:val="center"/>
          </w:tcPr>
          <w:p w14:paraId="0167FE65">
            <w:pPr>
              <w:pStyle w:val="22"/>
              <w:bidi w:val="0"/>
              <w:rPr>
                <w:b/>
                <w:bCs/>
                <w:color w:val="auto"/>
              </w:rPr>
            </w:pPr>
            <w:r>
              <w:rPr>
                <w:b/>
                <w:bCs/>
                <w:color w:val="auto"/>
              </w:rPr>
              <w:t>序号</w:t>
            </w:r>
          </w:p>
        </w:tc>
        <w:tc>
          <w:tcPr>
            <w:tcW w:w="173" w:type="pct"/>
            <w:vMerge w:val="restart"/>
            <w:noWrap w:val="0"/>
            <w:vAlign w:val="center"/>
          </w:tcPr>
          <w:p w14:paraId="1E493651">
            <w:pPr>
              <w:pStyle w:val="22"/>
              <w:bidi w:val="0"/>
              <w:rPr>
                <w:b/>
                <w:bCs/>
                <w:color w:val="auto"/>
              </w:rPr>
            </w:pPr>
            <w:r>
              <w:rPr>
                <w:b/>
                <w:bCs/>
                <w:color w:val="auto"/>
              </w:rPr>
              <w:t>建筑物名称</w:t>
            </w:r>
          </w:p>
        </w:tc>
        <w:tc>
          <w:tcPr>
            <w:tcW w:w="300" w:type="pct"/>
            <w:vMerge w:val="restart"/>
            <w:noWrap w:val="0"/>
            <w:vAlign w:val="center"/>
          </w:tcPr>
          <w:p w14:paraId="3CC3ADCB">
            <w:pPr>
              <w:pStyle w:val="22"/>
              <w:bidi w:val="0"/>
              <w:rPr>
                <w:b/>
                <w:bCs/>
                <w:color w:val="auto"/>
              </w:rPr>
            </w:pPr>
            <w:r>
              <w:rPr>
                <w:b/>
                <w:bCs/>
                <w:color w:val="auto"/>
              </w:rPr>
              <w:t>设备名称</w:t>
            </w:r>
          </w:p>
        </w:tc>
        <w:tc>
          <w:tcPr>
            <w:tcW w:w="250" w:type="pct"/>
            <w:vMerge w:val="restart"/>
            <w:noWrap w:val="0"/>
            <w:vAlign w:val="center"/>
          </w:tcPr>
          <w:p w14:paraId="6A1D8D57">
            <w:pPr>
              <w:pStyle w:val="22"/>
              <w:bidi w:val="0"/>
              <w:rPr>
                <w:rFonts w:hint="default"/>
                <w:b/>
                <w:bCs/>
                <w:color w:val="auto"/>
                <w:lang w:val="en-US" w:eastAsia="zh-CN"/>
              </w:rPr>
            </w:pPr>
            <w:r>
              <w:rPr>
                <w:rFonts w:hint="eastAsia"/>
                <w:b/>
                <w:bCs/>
                <w:color w:val="auto"/>
                <w:lang w:val="en-US" w:eastAsia="zh-CN"/>
              </w:rPr>
              <w:t>单台</w:t>
            </w:r>
            <w:r>
              <w:rPr>
                <w:b/>
                <w:bCs/>
                <w:color w:val="auto"/>
              </w:rPr>
              <w:t>噪声源强dB（A）</w:t>
            </w:r>
            <w:r>
              <w:rPr>
                <w:rFonts w:hint="eastAsia"/>
                <w:b/>
                <w:bCs/>
                <w:color w:val="auto"/>
                <w:lang w:val="en-US" w:eastAsia="zh-CN"/>
              </w:rPr>
              <w:t>/1m</w:t>
            </w:r>
          </w:p>
        </w:tc>
        <w:tc>
          <w:tcPr>
            <w:tcW w:w="161" w:type="pct"/>
            <w:vMerge w:val="restart"/>
            <w:noWrap w:val="0"/>
            <w:vAlign w:val="center"/>
          </w:tcPr>
          <w:p w14:paraId="0C6CF4AA">
            <w:pPr>
              <w:pStyle w:val="22"/>
              <w:bidi w:val="0"/>
              <w:rPr>
                <w:rFonts w:hint="eastAsia"/>
                <w:b/>
                <w:bCs/>
                <w:color w:val="auto"/>
                <w:lang w:val="en-US" w:eastAsia="zh-CN"/>
              </w:rPr>
            </w:pPr>
            <w:r>
              <w:rPr>
                <w:rFonts w:hint="eastAsia"/>
                <w:b/>
                <w:bCs/>
                <w:color w:val="auto"/>
                <w:lang w:val="en-US" w:eastAsia="zh-CN"/>
              </w:rPr>
              <w:t>数量</w:t>
            </w:r>
          </w:p>
        </w:tc>
        <w:tc>
          <w:tcPr>
            <w:tcW w:w="240" w:type="pct"/>
            <w:vMerge w:val="restart"/>
            <w:noWrap w:val="0"/>
            <w:vAlign w:val="center"/>
          </w:tcPr>
          <w:p w14:paraId="043C7B26">
            <w:pPr>
              <w:pStyle w:val="22"/>
              <w:bidi w:val="0"/>
              <w:rPr>
                <w:rFonts w:hint="default"/>
                <w:b/>
                <w:bCs/>
                <w:color w:val="auto"/>
                <w:lang w:val="en-US" w:eastAsia="zh-CN"/>
              </w:rPr>
            </w:pPr>
            <w:r>
              <w:rPr>
                <w:b/>
                <w:bCs/>
                <w:color w:val="auto"/>
              </w:rPr>
              <w:t>声源控制措施</w:t>
            </w:r>
          </w:p>
        </w:tc>
        <w:tc>
          <w:tcPr>
            <w:tcW w:w="536" w:type="pct"/>
            <w:gridSpan w:val="3"/>
            <w:vMerge w:val="restart"/>
            <w:noWrap w:val="0"/>
            <w:vAlign w:val="center"/>
          </w:tcPr>
          <w:p w14:paraId="41870E4B">
            <w:pPr>
              <w:pStyle w:val="22"/>
              <w:bidi w:val="0"/>
              <w:rPr>
                <w:b/>
                <w:bCs/>
                <w:color w:val="auto"/>
              </w:rPr>
            </w:pPr>
            <w:r>
              <w:rPr>
                <w:b/>
                <w:bCs/>
                <w:color w:val="auto"/>
              </w:rPr>
              <w:t>空间相对位置（m）</w:t>
            </w:r>
          </w:p>
        </w:tc>
        <w:tc>
          <w:tcPr>
            <w:tcW w:w="910" w:type="pct"/>
            <w:gridSpan w:val="4"/>
            <w:vMerge w:val="restart"/>
            <w:noWrap w:val="0"/>
            <w:vAlign w:val="center"/>
          </w:tcPr>
          <w:p w14:paraId="0654AD28">
            <w:pPr>
              <w:pStyle w:val="22"/>
              <w:bidi w:val="0"/>
              <w:rPr>
                <w:b/>
                <w:bCs/>
                <w:color w:val="auto"/>
              </w:rPr>
            </w:pPr>
            <w:r>
              <w:rPr>
                <w:b/>
                <w:bCs/>
                <w:color w:val="auto"/>
              </w:rPr>
              <w:t>距室内边界距离/m</w:t>
            </w:r>
          </w:p>
        </w:tc>
        <w:tc>
          <w:tcPr>
            <w:tcW w:w="867" w:type="pct"/>
            <w:gridSpan w:val="4"/>
            <w:vMerge w:val="restart"/>
            <w:noWrap w:val="0"/>
            <w:vAlign w:val="center"/>
          </w:tcPr>
          <w:p w14:paraId="7800CD84">
            <w:pPr>
              <w:pStyle w:val="22"/>
              <w:bidi w:val="0"/>
              <w:rPr>
                <w:b/>
                <w:bCs/>
                <w:color w:val="auto"/>
              </w:rPr>
            </w:pPr>
            <w:r>
              <w:rPr>
                <w:b/>
                <w:bCs/>
                <w:color w:val="auto"/>
              </w:rPr>
              <w:t>距室内边界声级dB（A）</w:t>
            </w:r>
          </w:p>
        </w:tc>
        <w:tc>
          <w:tcPr>
            <w:tcW w:w="140" w:type="pct"/>
            <w:vMerge w:val="restart"/>
            <w:noWrap w:val="0"/>
            <w:vAlign w:val="center"/>
          </w:tcPr>
          <w:p w14:paraId="7DB85FF8">
            <w:pPr>
              <w:pStyle w:val="22"/>
              <w:bidi w:val="0"/>
              <w:rPr>
                <w:b/>
                <w:bCs/>
                <w:color w:val="auto"/>
              </w:rPr>
            </w:pPr>
            <w:r>
              <w:rPr>
                <w:b/>
                <w:bCs/>
                <w:color w:val="auto"/>
              </w:rPr>
              <w:t>运行时段</w:t>
            </w:r>
          </w:p>
          <w:p w14:paraId="61D1237E">
            <w:pPr>
              <w:pStyle w:val="22"/>
              <w:bidi w:val="0"/>
              <w:rPr>
                <w:b/>
                <w:bCs/>
                <w:color w:val="auto"/>
              </w:rPr>
            </w:pPr>
            <w:r>
              <w:rPr>
                <w:rFonts w:hint="eastAsia"/>
                <w:b/>
                <w:bCs/>
                <w:color w:val="auto"/>
              </w:rPr>
              <w:t>昼</w:t>
            </w:r>
          </w:p>
        </w:tc>
        <w:tc>
          <w:tcPr>
            <w:tcW w:w="226" w:type="pct"/>
            <w:vMerge w:val="restart"/>
            <w:noWrap w:val="0"/>
            <w:vAlign w:val="center"/>
          </w:tcPr>
          <w:p w14:paraId="55103CD9">
            <w:pPr>
              <w:pStyle w:val="22"/>
              <w:bidi w:val="0"/>
              <w:rPr>
                <w:b/>
                <w:bCs/>
                <w:color w:val="auto"/>
              </w:rPr>
            </w:pPr>
            <w:r>
              <w:rPr>
                <w:b/>
                <w:bCs/>
                <w:color w:val="auto"/>
              </w:rPr>
              <w:t>建筑物插入损失dB（A）</w:t>
            </w:r>
          </w:p>
        </w:tc>
        <w:tc>
          <w:tcPr>
            <w:tcW w:w="1050" w:type="pct"/>
            <w:gridSpan w:val="5"/>
            <w:noWrap w:val="0"/>
            <w:vAlign w:val="center"/>
          </w:tcPr>
          <w:p w14:paraId="3E5BBF56">
            <w:pPr>
              <w:pStyle w:val="22"/>
              <w:bidi w:val="0"/>
              <w:rPr>
                <w:b/>
                <w:bCs/>
                <w:color w:val="auto"/>
              </w:rPr>
            </w:pPr>
            <w:r>
              <w:rPr>
                <w:b/>
                <w:bCs/>
                <w:color w:val="auto"/>
              </w:rPr>
              <w:t>建筑物外损失</w:t>
            </w:r>
          </w:p>
        </w:tc>
      </w:tr>
      <w:tr w14:paraId="5EBE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vMerge w:val="continue"/>
            <w:noWrap w:val="0"/>
            <w:vAlign w:val="center"/>
          </w:tcPr>
          <w:p w14:paraId="24AE965D">
            <w:pPr>
              <w:pStyle w:val="22"/>
              <w:bidi w:val="0"/>
              <w:rPr>
                <w:b/>
                <w:bCs/>
                <w:color w:val="auto"/>
              </w:rPr>
            </w:pPr>
          </w:p>
        </w:tc>
        <w:tc>
          <w:tcPr>
            <w:tcW w:w="173" w:type="pct"/>
            <w:vMerge w:val="continue"/>
            <w:noWrap w:val="0"/>
            <w:vAlign w:val="center"/>
          </w:tcPr>
          <w:p w14:paraId="41D258C9">
            <w:pPr>
              <w:pStyle w:val="22"/>
              <w:bidi w:val="0"/>
              <w:rPr>
                <w:b/>
                <w:bCs/>
                <w:color w:val="auto"/>
              </w:rPr>
            </w:pPr>
          </w:p>
        </w:tc>
        <w:tc>
          <w:tcPr>
            <w:tcW w:w="300" w:type="pct"/>
            <w:vMerge w:val="continue"/>
            <w:noWrap w:val="0"/>
            <w:vAlign w:val="center"/>
          </w:tcPr>
          <w:p w14:paraId="6D4FEA07">
            <w:pPr>
              <w:pStyle w:val="22"/>
              <w:bidi w:val="0"/>
              <w:rPr>
                <w:b/>
                <w:bCs/>
                <w:color w:val="auto"/>
              </w:rPr>
            </w:pPr>
          </w:p>
        </w:tc>
        <w:tc>
          <w:tcPr>
            <w:tcW w:w="250" w:type="pct"/>
            <w:vMerge w:val="continue"/>
            <w:noWrap w:val="0"/>
            <w:vAlign w:val="center"/>
          </w:tcPr>
          <w:p w14:paraId="41C262F2">
            <w:pPr>
              <w:pStyle w:val="22"/>
              <w:bidi w:val="0"/>
              <w:rPr>
                <w:b/>
                <w:bCs/>
                <w:color w:val="auto"/>
              </w:rPr>
            </w:pPr>
          </w:p>
        </w:tc>
        <w:tc>
          <w:tcPr>
            <w:tcW w:w="161" w:type="pct"/>
            <w:vMerge w:val="continue"/>
            <w:noWrap w:val="0"/>
            <w:vAlign w:val="center"/>
          </w:tcPr>
          <w:p w14:paraId="3A782E61">
            <w:pPr>
              <w:pStyle w:val="22"/>
              <w:bidi w:val="0"/>
              <w:rPr>
                <w:b/>
                <w:bCs/>
                <w:color w:val="auto"/>
              </w:rPr>
            </w:pPr>
          </w:p>
        </w:tc>
        <w:tc>
          <w:tcPr>
            <w:tcW w:w="240" w:type="pct"/>
            <w:vMerge w:val="continue"/>
            <w:noWrap w:val="0"/>
            <w:vAlign w:val="center"/>
          </w:tcPr>
          <w:p w14:paraId="29DD9523">
            <w:pPr>
              <w:pStyle w:val="22"/>
              <w:bidi w:val="0"/>
              <w:rPr>
                <w:b/>
                <w:bCs/>
                <w:color w:val="auto"/>
              </w:rPr>
            </w:pPr>
          </w:p>
        </w:tc>
        <w:tc>
          <w:tcPr>
            <w:tcW w:w="536" w:type="pct"/>
            <w:gridSpan w:val="3"/>
            <w:vMerge w:val="continue"/>
            <w:noWrap w:val="0"/>
            <w:vAlign w:val="center"/>
          </w:tcPr>
          <w:p w14:paraId="6DAF2253">
            <w:pPr>
              <w:pStyle w:val="22"/>
              <w:bidi w:val="0"/>
              <w:rPr>
                <w:b/>
                <w:bCs/>
                <w:color w:val="auto"/>
              </w:rPr>
            </w:pPr>
          </w:p>
        </w:tc>
        <w:tc>
          <w:tcPr>
            <w:tcW w:w="910" w:type="pct"/>
            <w:gridSpan w:val="4"/>
            <w:vMerge w:val="continue"/>
            <w:noWrap w:val="0"/>
            <w:vAlign w:val="center"/>
          </w:tcPr>
          <w:p w14:paraId="0539F5B9">
            <w:pPr>
              <w:pStyle w:val="22"/>
              <w:bidi w:val="0"/>
              <w:rPr>
                <w:b/>
                <w:bCs/>
                <w:color w:val="auto"/>
              </w:rPr>
            </w:pPr>
          </w:p>
        </w:tc>
        <w:tc>
          <w:tcPr>
            <w:tcW w:w="867" w:type="pct"/>
            <w:gridSpan w:val="4"/>
            <w:vMerge w:val="continue"/>
            <w:noWrap w:val="0"/>
            <w:vAlign w:val="center"/>
          </w:tcPr>
          <w:p w14:paraId="48754AF9">
            <w:pPr>
              <w:pStyle w:val="22"/>
              <w:bidi w:val="0"/>
              <w:rPr>
                <w:b/>
                <w:bCs/>
                <w:color w:val="auto"/>
              </w:rPr>
            </w:pPr>
          </w:p>
        </w:tc>
        <w:tc>
          <w:tcPr>
            <w:tcW w:w="140" w:type="pct"/>
            <w:vMerge w:val="continue"/>
            <w:noWrap w:val="0"/>
            <w:vAlign w:val="center"/>
          </w:tcPr>
          <w:p w14:paraId="61F0F3C9">
            <w:pPr>
              <w:pStyle w:val="22"/>
              <w:bidi w:val="0"/>
              <w:rPr>
                <w:b/>
                <w:bCs/>
                <w:color w:val="auto"/>
              </w:rPr>
            </w:pPr>
          </w:p>
        </w:tc>
        <w:tc>
          <w:tcPr>
            <w:tcW w:w="226" w:type="pct"/>
            <w:vMerge w:val="continue"/>
            <w:noWrap w:val="0"/>
            <w:vAlign w:val="center"/>
          </w:tcPr>
          <w:p w14:paraId="7DBA3B29">
            <w:pPr>
              <w:pStyle w:val="22"/>
              <w:bidi w:val="0"/>
              <w:rPr>
                <w:b/>
                <w:bCs/>
                <w:color w:val="auto"/>
              </w:rPr>
            </w:pPr>
          </w:p>
        </w:tc>
        <w:tc>
          <w:tcPr>
            <w:tcW w:w="816" w:type="pct"/>
            <w:gridSpan w:val="4"/>
            <w:noWrap w:val="0"/>
            <w:vAlign w:val="center"/>
          </w:tcPr>
          <w:p w14:paraId="0048B941">
            <w:pPr>
              <w:pStyle w:val="22"/>
              <w:bidi w:val="0"/>
              <w:rPr>
                <w:b/>
                <w:bCs/>
                <w:color w:val="auto"/>
              </w:rPr>
            </w:pPr>
            <w:r>
              <w:rPr>
                <w:b/>
                <w:bCs/>
                <w:color w:val="auto"/>
              </w:rPr>
              <w:t>声压级dB（A）</w:t>
            </w:r>
          </w:p>
        </w:tc>
        <w:tc>
          <w:tcPr>
            <w:tcW w:w="234" w:type="pct"/>
            <w:vMerge w:val="restart"/>
            <w:noWrap w:val="0"/>
            <w:vAlign w:val="center"/>
          </w:tcPr>
          <w:p w14:paraId="6E72C9ED">
            <w:pPr>
              <w:pStyle w:val="22"/>
              <w:bidi w:val="0"/>
              <w:rPr>
                <w:b/>
                <w:bCs/>
                <w:color w:val="auto"/>
              </w:rPr>
            </w:pPr>
            <w:r>
              <w:rPr>
                <w:b/>
                <w:bCs/>
                <w:color w:val="auto"/>
              </w:rPr>
              <w:t>建筑物外距离</w:t>
            </w:r>
          </w:p>
        </w:tc>
      </w:tr>
      <w:tr w14:paraId="624CF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vMerge w:val="continue"/>
            <w:noWrap w:val="0"/>
            <w:vAlign w:val="center"/>
          </w:tcPr>
          <w:p w14:paraId="73BAD727">
            <w:pPr>
              <w:pStyle w:val="22"/>
              <w:bidi w:val="0"/>
              <w:rPr>
                <w:color w:val="auto"/>
              </w:rPr>
            </w:pPr>
          </w:p>
        </w:tc>
        <w:tc>
          <w:tcPr>
            <w:tcW w:w="173" w:type="pct"/>
            <w:vMerge w:val="continue"/>
            <w:noWrap w:val="0"/>
            <w:vAlign w:val="center"/>
          </w:tcPr>
          <w:p w14:paraId="3419183A">
            <w:pPr>
              <w:pStyle w:val="22"/>
              <w:bidi w:val="0"/>
              <w:rPr>
                <w:color w:val="auto"/>
              </w:rPr>
            </w:pPr>
          </w:p>
        </w:tc>
        <w:tc>
          <w:tcPr>
            <w:tcW w:w="300" w:type="pct"/>
            <w:vMerge w:val="continue"/>
            <w:noWrap w:val="0"/>
            <w:vAlign w:val="center"/>
          </w:tcPr>
          <w:p w14:paraId="5767B61A">
            <w:pPr>
              <w:pStyle w:val="22"/>
              <w:bidi w:val="0"/>
              <w:rPr>
                <w:color w:val="auto"/>
              </w:rPr>
            </w:pPr>
          </w:p>
        </w:tc>
        <w:tc>
          <w:tcPr>
            <w:tcW w:w="250" w:type="pct"/>
            <w:vMerge w:val="continue"/>
            <w:noWrap w:val="0"/>
            <w:vAlign w:val="center"/>
          </w:tcPr>
          <w:p w14:paraId="3BCD9E6D">
            <w:pPr>
              <w:pStyle w:val="22"/>
              <w:bidi w:val="0"/>
              <w:rPr>
                <w:color w:val="auto"/>
              </w:rPr>
            </w:pPr>
          </w:p>
        </w:tc>
        <w:tc>
          <w:tcPr>
            <w:tcW w:w="161" w:type="pct"/>
            <w:vMerge w:val="continue"/>
            <w:noWrap w:val="0"/>
            <w:vAlign w:val="center"/>
          </w:tcPr>
          <w:p w14:paraId="26339BF3">
            <w:pPr>
              <w:pStyle w:val="22"/>
              <w:bidi w:val="0"/>
              <w:rPr>
                <w:color w:val="auto"/>
              </w:rPr>
            </w:pPr>
          </w:p>
        </w:tc>
        <w:tc>
          <w:tcPr>
            <w:tcW w:w="240" w:type="pct"/>
            <w:vMerge w:val="continue"/>
            <w:noWrap w:val="0"/>
            <w:vAlign w:val="center"/>
          </w:tcPr>
          <w:p w14:paraId="1564273A">
            <w:pPr>
              <w:pStyle w:val="22"/>
              <w:bidi w:val="0"/>
              <w:rPr>
                <w:color w:val="auto"/>
              </w:rPr>
            </w:pPr>
          </w:p>
        </w:tc>
        <w:tc>
          <w:tcPr>
            <w:tcW w:w="203" w:type="pct"/>
            <w:noWrap w:val="0"/>
            <w:vAlign w:val="center"/>
          </w:tcPr>
          <w:p w14:paraId="55ADE262">
            <w:pPr>
              <w:pStyle w:val="22"/>
              <w:bidi w:val="0"/>
              <w:rPr>
                <w:b/>
                <w:bCs/>
                <w:color w:val="auto"/>
              </w:rPr>
            </w:pPr>
            <w:r>
              <w:rPr>
                <w:b/>
                <w:bCs/>
                <w:color w:val="auto"/>
              </w:rPr>
              <w:t>X</w:t>
            </w:r>
          </w:p>
        </w:tc>
        <w:tc>
          <w:tcPr>
            <w:tcW w:w="207" w:type="pct"/>
            <w:noWrap w:val="0"/>
            <w:vAlign w:val="center"/>
          </w:tcPr>
          <w:p w14:paraId="4D3DE368">
            <w:pPr>
              <w:pStyle w:val="22"/>
              <w:bidi w:val="0"/>
              <w:rPr>
                <w:b/>
                <w:bCs/>
                <w:color w:val="auto"/>
              </w:rPr>
            </w:pPr>
            <w:r>
              <w:rPr>
                <w:b/>
                <w:bCs/>
                <w:color w:val="auto"/>
              </w:rPr>
              <w:t>Y</w:t>
            </w:r>
          </w:p>
        </w:tc>
        <w:tc>
          <w:tcPr>
            <w:tcW w:w="125" w:type="pct"/>
            <w:noWrap w:val="0"/>
            <w:vAlign w:val="center"/>
          </w:tcPr>
          <w:p w14:paraId="4D25B131">
            <w:pPr>
              <w:pStyle w:val="22"/>
              <w:bidi w:val="0"/>
              <w:rPr>
                <w:b/>
                <w:bCs/>
                <w:color w:val="auto"/>
              </w:rPr>
            </w:pPr>
            <w:r>
              <w:rPr>
                <w:b/>
                <w:bCs/>
                <w:color w:val="auto"/>
              </w:rPr>
              <w:t>Z</w:t>
            </w:r>
          </w:p>
        </w:tc>
        <w:tc>
          <w:tcPr>
            <w:tcW w:w="221" w:type="pct"/>
            <w:noWrap w:val="0"/>
            <w:vAlign w:val="center"/>
          </w:tcPr>
          <w:p w14:paraId="384F3035">
            <w:pPr>
              <w:pStyle w:val="22"/>
              <w:bidi w:val="0"/>
              <w:rPr>
                <w:b/>
                <w:bCs/>
                <w:color w:val="auto"/>
              </w:rPr>
            </w:pPr>
            <w:r>
              <w:rPr>
                <w:b/>
                <w:bCs/>
                <w:color w:val="auto"/>
              </w:rPr>
              <w:t>E</w:t>
            </w:r>
          </w:p>
        </w:tc>
        <w:tc>
          <w:tcPr>
            <w:tcW w:w="211" w:type="pct"/>
            <w:noWrap w:val="0"/>
            <w:vAlign w:val="center"/>
          </w:tcPr>
          <w:p w14:paraId="6307D017">
            <w:pPr>
              <w:pStyle w:val="22"/>
              <w:bidi w:val="0"/>
              <w:rPr>
                <w:rFonts w:hint="eastAsia" w:eastAsia="宋体"/>
                <w:b/>
                <w:bCs/>
                <w:color w:val="auto"/>
                <w:lang w:eastAsia="zh-CN"/>
              </w:rPr>
            </w:pPr>
            <w:r>
              <w:rPr>
                <w:rFonts w:hint="eastAsia"/>
                <w:b/>
                <w:bCs/>
                <w:color w:val="auto"/>
                <w:lang w:val="en-US" w:eastAsia="zh-CN"/>
              </w:rPr>
              <w:t>S</w:t>
            </w:r>
          </w:p>
        </w:tc>
        <w:tc>
          <w:tcPr>
            <w:tcW w:w="225" w:type="pct"/>
            <w:noWrap w:val="0"/>
            <w:vAlign w:val="center"/>
          </w:tcPr>
          <w:p w14:paraId="1ECF07E8">
            <w:pPr>
              <w:pStyle w:val="22"/>
              <w:bidi w:val="0"/>
              <w:rPr>
                <w:rFonts w:hint="eastAsia" w:eastAsia="宋体"/>
                <w:b/>
                <w:bCs/>
                <w:color w:val="auto"/>
                <w:lang w:eastAsia="zh-CN"/>
              </w:rPr>
            </w:pPr>
            <w:r>
              <w:rPr>
                <w:rFonts w:hint="eastAsia"/>
                <w:b/>
                <w:bCs/>
                <w:color w:val="auto"/>
                <w:lang w:val="en-US" w:eastAsia="zh-CN"/>
              </w:rPr>
              <w:t>W</w:t>
            </w:r>
          </w:p>
        </w:tc>
        <w:tc>
          <w:tcPr>
            <w:tcW w:w="252" w:type="pct"/>
            <w:noWrap w:val="0"/>
            <w:vAlign w:val="center"/>
          </w:tcPr>
          <w:p w14:paraId="7D03845F">
            <w:pPr>
              <w:pStyle w:val="22"/>
              <w:bidi w:val="0"/>
              <w:rPr>
                <w:b/>
                <w:bCs/>
                <w:color w:val="auto"/>
              </w:rPr>
            </w:pPr>
            <w:r>
              <w:rPr>
                <w:b/>
                <w:bCs/>
                <w:color w:val="auto"/>
              </w:rPr>
              <w:t>N</w:t>
            </w:r>
          </w:p>
        </w:tc>
        <w:tc>
          <w:tcPr>
            <w:tcW w:w="231" w:type="pct"/>
            <w:noWrap w:val="0"/>
            <w:vAlign w:val="center"/>
          </w:tcPr>
          <w:p w14:paraId="25AFACA6">
            <w:pPr>
              <w:pStyle w:val="22"/>
              <w:bidi w:val="0"/>
              <w:ind w:firstLine="0" w:firstLineChars="0"/>
              <w:rPr>
                <w:b/>
                <w:bCs/>
                <w:color w:val="auto"/>
              </w:rPr>
            </w:pPr>
            <w:r>
              <w:rPr>
                <w:b/>
                <w:bCs/>
                <w:color w:val="auto"/>
              </w:rPr>
              <w:t>E</w:t>
            </w:r>
          </w:p>
        </w:tc>
        <w:tc>
          <w:tcPr>
            <w:tcW w:w="217" w:type="pct"/>
            <w:noWrap w:val="0"/>
            <w:vAlign w:val="center"/>
          </w:tcPr>
          <w:p w14:paraId="04B4E4D2">
            <w:pPr>
              <w:pStyle w:val="22"/>
              <w:bidi w:val="0"/>
              <w:ind w:firstLine="0" w:firstLineChars="0"/>
              <w:rPr>
                <w:b/>
                <w:bCs/>
                <w:color w:val="auto"/>
              </w:rPr>
            </w:pPr>
            <w:r>
              <w:rPr>
                <w:rFonts w:hint="eastAsia"/>
                <w:b/>
                <w:bCs/>
                <w:color w:val="auto"/>
                <w:lang w:val="en-US" w:eastAsia="zh-CN"/>
              </w:rPr>
              <w:t>S</w:t>
            </w:r>
          </w:p>
        </w:tc>
        <w:tc>
          <w:tcPr>
            <w:tcW w:w="203" w:type="pct"/>
            <w:noWrap w:val="0"/>
            <w:vAlign w:val="center"/>
          </w:tcPr>
          <w:p w14:paraId="68F9FBD1">
            <w:pPr>
              <w:pStyle w:val="22"/>
              <w:bidi w:val="0"/>
              <w:ind w:firstLine="0" w:firstLineChars="0"/>
              <w:rPr>
                <w:b/>
                <w:bCs/>
                <w:color w:val="auto"/>
              </w:rPr>
            </w:pPr>
            <w:r>
              <w:rPr>
                <w:rFonts w:hint="eastAsia"/>
                <w:b/>
                <w:bCs/>
                <w:color w:val="auto"/>
                <w:lang w:val="en-US" w:eastAsia="zh-CN"/>
              </w:rPr>
              <w:t>W</w:t>
            </w:r>
          </w:p>
        </w:tc>
        <w:tc>
          <w:tcPr>
            <w:tcW w:w="216" w:type="pct"/>
            <w:noWrap w:val="0"/>
            <w:vAlign w:val="center"/>
          </w:tcPr>
          <w:p w14:paraId="47C2D648">
            <w:pPr>
              <w:pStyle w:val="22"/>
              <w:bidi w:val="0"/>
              <w:ind w:firstLine="0" w:firstLineChars="0"/>
              <w:rPr>
                <w:b/>
                <w:bCs/>
                <w:color w:val="auto"/>
              </w:rPr>
            </w:pPr>
            <w:r>
              <w:rPr>
                <w:b/>
                <w:bCs/>
                <w:color w:val="auto"/>
              </w:rPr>
              <w:t>N</w:t>
            </w:r>
          </w:p>
        </w:tc>
        <w:tc>
          <w:tcPr>
            <w:tcW w:w="140" w:type="pct"/>
            <w:vMerge w:val="continue"/>
            <w:noWrap w:val="0"/>
            <w:vAlign w:val="center"/>
          </w:tcPr>
          <w:p w14:paraId="6E254914">
            <w:pPr>
              <w:pStyle w:val="22"/>
              <w:bidi w:val="0"/>
              <w:rPr>
                <w:b/>
                <w:bCs/>
                <w:color w:val="auto"/>
              </w:rPr>
            </w:pPr>
          </w:p>
        </w:tc>
        <w:tc>
          <w:tcPr>
            <w:tcW w:w="226" w:type="pct"/>
            <w:vMerge w:val="continue"/>
            <w:noWrap w:val="0"/>
            <w:vAlign w:val="center"/>
          </w:tcPr>
          <w:p w14:paraId="3773E881">
            <w:pPr>
              <w:pStyle w:val="22"/>
              <w:bidi w:val="0"/>
              <w:rPr>
                <w:b/>
                <w:bCs/>
                <w:color w:val="auto"/>
              </w:rPr>
            </w:pPr>
          </w:p>
        </w:tc>
        <w:tc>
          <w:tcPr>
            <w:tcW w:w="213" w:type="pct"/>
            <w:noWrap w:val="0"/>
            <w:vAlign w:val="center"/>
          </w:tcPr>
          <w:p w14:paraId="556DDC33">
            <w:pPr>
              <w:pStyle w:val="22"/>
              <w:bidi w:val="0"/>
              <w:rPr>
                <w:b/>
                <w:bCs/>
                <w:color w:val="auto"/>
              </w:rPr>
            </w:pPr>
            <w:r>
              <w:rPr>
                <w:b/>
                <w:bCs/>
                <w:color w:val="auto"/>
              </w:rPr>
              <w:t>E</w:t>
            </w:r>
          </w:p>
        </w:tc>
        <w:tc>
          <w:tcPr>
            <w:tcW w:w="198" w:type="pct"/>
            <w:noWrap w:val="0"/>
            <w:vAlign w:val="center"/>
          </w:tcPr>
          <w:p w14:paraId="56AB97A3">
            <w:pPr>
              <w:pStyle w:val="22"/>
              <w:bidi w:val="0"/>
              <w:rPr>
                <w:b/>
                <w:bCs/>
                <w:color w:val="auto"/>
              </w:rPr>
            </w:pPr>
            <w:r>
              <w:rPr>
                <w:b/>
                <w:bCs/>
                <w:color w:val="auto"/>
              </w:rPr>
              <w:t>W</w:t>
            </w:r>
          </w:p>
        </w:tc>
        <w:tc>
          <w:tcPr>
            <w:tcW w:w="198" w:type="pct"/>
            <w:noWrap w:val="0"/>
            <w:vAlign w:val="center"/>
          </w:tcPr>
          <w:p w14:paraId="0939D87C">
            <w:pPr>
              <w:pStyle w:val="22"/>
              <w:bidi w:val="0"/>
              <w:rPr>
                <w:b/>
                <w:bCs/>
                <w:color w:val="auto"/>
              </w:rPr>
            </w:pPr>
            <w:r>
              <w:rPr>
                <w:b/>
                <w:bCs/>
                <w:color w:val="auto"/>
              </w:rPr>
              <w:t>S</w:t>
            </w:r>
          </w:p>
        </w:tc>
        <w:tc>
          <w:tcPr>
            <w:tcW w:w="205" w:type="pct"/>
            <w:noWrap w:val="0"/>
            <w:vAlign w:val="center"/>
          </w:tcPr>
          <w:p w14:paraId="2C577833">
            <w:pPr>
              <w:pStyle w:val="22"/>
              <w:bidi w:val="0"/>
              <w:rPr>
                <w:b/>
                <w:bCs/>
                <w:color w:val="auto"/>
              </w:rPr>
            </w:pPr>
            <w:r>
              <w:rPr>
                <w:b/>
                <w:bCs/>
                <w:color w:val="auto"/>
              </w:rPr>
              <w:t>N</w:t>
            </w:r>
          </w:p>
        </w:tc>
        <w:tc>
          <w:tcPr>
            <w:tcW w:w="234" w:type="pct"/>
            <w:vMerge w:val="continue"/>
            <w:noWrap w:val="0"/>
            <w:vAlign w:val="center"/>
          </w:tcPr>
          <w:p w14:paraId="4FDA62CD">
            <w:pPr>
              <w:pStyle w:val="22"/>
              <w:bidi w:val="0"/>
              <w:rPr>
                <w:color w:val="auto"/>
              </w:rPr>
            </w:pPr>
          </w:p>
        </w:tc>
      </w:tr>
      <w:tr w14:paraId="1E47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330E8C0A">
            <w:pPr>
              <w:pStyle w:val="22"/>
              <w:bidi w:val="0"/>
              <w:rPr>
                <w:color w:val="auto"/>
              </w:rPr>
            </w:pPr>
            <w:r>
              <w:rPr>
                <w:color w:val="auto"/>
              </w:rPr>
              <w:t>1</w:t>
            </w:r>
          </w:p>
        </w:tc>
        <w:tc>
          <w:tcPr>
            <w:tcW w:w="173" w:type="pct"/>
            <w:vMerge w:val="restart"/>
            <w:noWrap w:val="0"/>
            <w:vAlign w:val="center"/>
          </w:tcPr>
          <w:p w14:paraId="6B2F63C0">
            <w:pPr>
              <w:pStyle w:val="22"/>
              <w:bidi w:val="0"/>
              <w:rPr>
                <w:rFonts w:hint="eastAsia"/>
                <w:color w:val="auto"/>
                <w:lang w:eastAsia="zh-CN"/>
              </w:rPr>
            </w:pPr>
            <w:r>
              <w:rPr>
                <w:color w:val="auto"/>
              </w:rPr>
              <w:t>生产</w:t>
            </w:r>
            <w:r>
              <w:rPr>
                <w:rFonts w:hint="eastAsia"/>
                <w:color w:val="auto"/>
                <w:lang w:val="en-US" w:eastAsia="zh-CN"/>
              </w:rPr>
              <w:t>车间</w:t>
            </w:r>
          </w:p>
        </w:tc>
        <w:tc>
          <w:tcPr>
            <w:tcW w:w="300" w:type="pct"/>
            <w:noWrap w:val="0"/>
            <w:vAlign w:val="center"/>
          </w:tcPr>
          <w:p w14:paraId="6FB29A31">
            <w:pPr>
              <w:pStyle w:val="22"/>
              <w:bidi w:val="0"/>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挤出机</w:t>
            </w:r>
          </w:p>
        </w:tc>
        <w:tc>
          <w:tcPr>
            <w:tcW w:w="250" w:type="pct"/>
            <w:noWrap w:val="0"/>
            <w:vAlign w:val="center"/>
          </w:tcPr>
          <w:p w14:paraId="4A181970">
            <w:pPr>
              <w:pStyle w:val="22"/>
              <w:bidi w:val="0"/>
              <w:rPr>
                <w:rFonts w:hint="default"/>
                <w:color w:val="auto"/>
                <w:lang w:val="en-US" w:eastAsia="zh-CN"/>
              </w:rPr>
            </w:pPr>
            <w:r>
              <w:rPr>
                <w:rFonts w:hint="eastAsia"/>
                <w:color w:val="auto"/>
                <w:lang w:val="en-US" w:eastAsia="zh-CN"/>
              </w:rPr>
              <w:t>85</w:t>
            </w:r>
          </w:p>
        </w:tc>
        <w:tc>
          <w:tcPr>
            <w:tcW w:w="161" w:type="pct"/>
            <w:noWrap w:val="0"/>
            <w:vAlign w:val="center"/>
          </w:tcPr>
          <w:p w14:paraId="6B7990CC">
            <w:pPr>
              <w:pStyle w:val="22"/>
              <w:bidi w:val="0"/>
              <w:rPr>
                <w:rFonts w:hint="default"/>
                <w:color w:val="auto"/>
                <w:lang w:val="en-US" w:eastAsia="zh-CN"/>
              </w:rPr>
            </w:pPr>
            <w:r>
              <w:rPr>
                <w:rFonts w:hint="eastAsia"/>
                <w:color w:val="auto"/>
                <w:lang w:val="en-US" w:eastAsia="zh-CN"/>
              </w:rPr>
              <w:t>1</w:t>
            </w:r>
          </w:p>
        </w:tc>
        <w:tc>
          <w:tcPr>
            <w:tcW w:w="240" w:type="pct"/>
            <w:vMerge w:val="restart"/>
            <w:noWrap w:val="0"/>
            <w:vAlign w:val="center"/>
          </w:tcPr>
          <w:p w14:paraId="44883370">
            <w:pPr>
              <w:pStyle w:val="22"/>
              <w:bidi w:val="0"/>
              <w:rPr>
                <w:rFonts w:hint="default"/>
                <w:color w:val="auto"/>
                <w:lang w:val="en-US" w:eastAsia="zh-CN"/>
              </w:rPr>
            </w:pPr>
            <w:r>
              <w:rPr>
                <w:rFonts w:hint="eastAsia"/>
                <w:color w:val="auto"/>
                <w:lang w:val="en-US" w:eastAsia="zh-CN"/>
              </w:rPr>
              <w:t>厂房隔声</w:t>
            </w:r>
            <w:r>
              <w:rPr>
                <w:rFonts w:hint="eastAsia"/>
                <w:color w:val="auto"/>
              </w:rPr>
              <w:t>、</w:t>
            </w:r>
            <w:r>
              <w:rPr>
                <w:rFonts w:hint="eastAsia"/>
                <w:color w:val="auto"/>
                <w:lang w:val="en-US" w:eastAsia="zh-CN"/>
              </w:rPr>
              <w:t>设备基础</w:t>
            </w:r>
            <w:r>
              <w:rPr>
                <w:rFonts w:hint="eastAsia"/>
                <w:color w:val="auto"/>
              </w:rPr>
              <w:t>减震</w:t>
            </w:r>
            <w:r>
              <w:rPr>
                <w:rFonts w:hint="eastAsia"/>
                <w:color w:val="auto"/>
                <w:lang w:eastAsia="zh-CN"/>
              </w:rPr>
              <w:t>、</w:t>
            </w:r>
            <w:r>
              <w:rPr>
                <w:rFonts w:hint="eastAsia"/>
                <w:color w:val="auto"/>
                <w:lang w:val="en-US" w:eastAsia="zh-CN"/>
              </w:rPr>
              <w:t>选用低噪声设备</w:t>
            </w:r>
          </w:p>
        </w:tc>
        <w:tc>
          <w:tcPr>
            <w:tcW w:w="203" w:type="pct"/>
            <w:noWrap w:val="0"/>
            <w:vAlign w:val="center"/>
          </w:tcPr>
          <w:p w14:paraId="2EB1AEF2">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0.88</w:t>
            </w:r>
          </w:p>
        </w:tc>
        <w:tc>
          <w:tcPr>
            <w:tcW w:w="207" w:type="pct"/>
            <w:noWrap w:val="0"/>
            <w:vAlign w:val="center"/>
          </w:tcPr>
          <w:p w14:paraId="50A94FE4">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39.2</w:t>
            </w:r>
          </w:p>
        </w:tc>
        <w:tc>
          <w:tcPr>
            <w:tcW w:w="125" w:type="pct"/>
            <w:noWrap w:val="0"/>
            <w:vAlign w:val="center"/>
          </w:tcPr>
          <w:p w14:paraId="57163732">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w:t>
            </w:r>
          </w:p>
        </w:tc>
        <w:tc>
          <w:tcPr>
            <w:tcW w:w="221" w:type="pct"/>
            <w:noWrap w:val="0"/>
            <w:vAlign w:val="center"/>
          </w:tcPr>
          <w:p w14:paraId="2C44FCF1">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49.53</w:t>
            </w:r>
          </w:p>
        </w:tc>
        <w:tc>
          <w:tcPr>
            <w:tcW w:w="211" w:type="pct"/>
            <w:noWrap w:val="0"/>
            <w:vAlign w:val="center"/>
          </w:tcPr>
          <w:p w14:paraId="5DB15942">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39.28</w:t>
            </w:r>
          </w:p>
        </w:tc>
        <w:tc>
          <w:tcPr>
            <w:tcW w:w="225" w:type="pct"/>
            <w:noWrap w:val="0"/>
            <w:vAlign w:val="center"/>
          </w:tcPr>
          <w:p w14:paraId="0D494E7B">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5.78</w:t>
            </w:r>
          </w:p>
        </w:tc>
        <w:tc>
          <w:tcPr>
            <w:tcW w:w="252" w:type="pct"/>
            <w:noWrap w:val="0"/>
            <w:vAlign w:val="center"/>
          </w:tcPr>
          <w:p w14:paraId="332D4B98">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54.11</w:t>
            </w:r>
          </w:p>
        </w:tc>
        <w:tc>
          <w:tcPr>
            <w:tcW w:w="231" w:type="pct"/>
            <w:noWrap w:val="0"/>
            <w:vAlign w:val="center"/>
          </w:tcPr>
          <w:p w14:paraId="03933EE1">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41.10</w:t>
            </w:r>
          </w:p>
        </w:tc>
        <w:tc>
          <w:tcPr>
            <w:tcW w:w="217" w:type="pct"/>
            <w:noWrap w:val="0"/>
            <w:vAlign w:val="center"/>
          </w:tcPr>
          <w:p w14:paraId="2D91BD2C">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43.12</w:t>
            </w:r>
          </w:p>
        </w:tc>
        <w:tc>
          <w:tcPr>
            <w:tcW w:w="203" w:type="pct"/>
            <w:noWrap w:val="0"/>
            <w:vAlign w:val="center"/>
          </w:tcPr>
          <w:p w14:paraId="06A123CF">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59.77</w:t>
            </w:r>
          </w:p>
        </w:tc>
        <w:tc>
          <w:tcPr>
            <w:tcW w:w="216" w:type="pct"/>
            <w:noWrap w:val="0"/>
            <w:vAlign w:val="center"/>
          </w:tcPr>
          <w:p w14:paraId="4619FCCC">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40.33</w:t>
            </w:r>
          </w:p>
        </w:tc>
        <w:tc>
          <w:tcPr>
            <w:tcW w:w="140" w:type="pct"/>
            <w:vMerge w:val="restart"/>
            <w:noWrap w:val="0"/>
            <w:vAlign w:val="center"/>
          </w:tcPr>
          <w:p w14:paraId="3181974F">
            <w:pPr>
              <w:pStyle w:val="22"/>
              <w:bidi w:val="0"/>
              <w:rPr>
                <w:color w:val="auto"/>
              </w:rPr>
            </w:pPr>
            <w:r>
              <w:rPr>
                <w:rFonts w:hint="eastAsia"/>
                <w:color w:val="auto"/>
                <w:lang w:val="en-US" w:eastAsia="zh-CN"/>
              </w:rPr>
              <w:t>8</w:t>
            </w:r>
            <w:r>
              <w:rPr>
                <w:rFonts w:hint="eastAsia"/>
                <w:color w:val="auto"/>
              </w:rPr>
              <w:t>h</w:t>
            </w:r>
          </w:p>
        </w:tc>
        <w:tc>
          <w:tcPr>
            <w:tcW w:w="226" w:type="pct"/>
            <w:noWrap w:val="0"/>
            <w:vAlign w:val="center"/>
          </w:tcPr>
          <w:p w14:paraId="5804BF37">
            <w:pPr>
              <w:pStyle w:val="22"/>
              <w:bidi w:val="0"/>
              <w:rPr>
                <w:rFonts w:hint="default"/>
                <w:color w:val="auto"/>
                <w:lang w:val="en-US" w:eastAsia="zh-CN"/>
              </w:rPr>
            </w:pPr>
            <w:r>
              <w:rPr>
                <w:rFonts w:hint="eastAsia"/>
                <w:color w:val="auto"/>
              </w:rPr>
              <w:t>2</w:t>
            </w:r>
            <w:r>
              <w:rPr>
                <w:rFonts w:hint="eastAsia"/>
                <w:color w:val="auto"/>
                <w:lang w:val="en-US" w:eastAsia="zh-CN"/>
              </w:rPr>
              <w:t>0</w:t>
            </w:r>
          </w:p>
        </w:tc>
        <w:tc>
          <w:tcPr>
            <w:tcW w:w="213" w:type="pct"/>
            <w:noWrap w:val="0"/>
            <w:vAlign w:val="center"/>
          </w:tcPr>
          <w:p w14:paraId="17404ADB">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14.93</w:t>
            </w:r>
          </w:p>
        </w:tc>
        <w:tc>
          <w:tcPr>
            <w:tcW w:w="198" w:type="pct"/>
            <w:noWrap w:val="0"/>
            <w:vAlign w:val="center"/>
          </w:tcPr>
          <w:p w14:paraId="63477904">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16.90</w:t>
            </w:r>
          </w:p>
        </w:tc>
        <w:tc>
          <w:tcPr>
            <w:tcW w:w="198" w:type="pct"/>
            <w:noWrap w:val="0"/>
            <w:vAlign w:val="center"/>
          </w:tcPr>
          <w:p w14:paraId="49545354">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32.38</w:t>
            </w:r>
          </w:p>
        </w:tc>
        <w:tc>
          <w:tcPr>
            <w:tcW w:w="205" w:type="pct"/>
            <w:noWrap w:val="0"/>
            <w:vAlign w:val="center"/>
          </w:tcPr>
          <w:p w14:paraId="7BCF53A2">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14.17</w:t>
            </w:r>
          </w:p>
        </w:tc>
        <w:tc>
          <w:tcPr>
            <w:tcW w:w="234" w:type="pct"/>
            <w:noWrap w:val="0"/>
            <w:vAlign w:val="center"/>
          </w:tcPr>
          <w:p w14:paraId="0B1B622C">
            <w:pPr>
              <w:pStyle w:val="22"/>
              <w:bidi w:val="0"/>
              <w:rPr>
                <w:color w:val="auto"/>
              </w:rPr>
            </w:pPr>
            <w:r>
              <w:rPr>
                <w:rFonts w:hint="eastAsia"/>
                <w:color w:val="auto"/>
              </w:rPr>
              <w:t>1m</w:t>
            </w:r>
          </w:p>
        </w:tc>
      </w:tr>
      <w:tr w14:paraId="3C79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72928463">
            <w:pPr>
              <w:pStyle w:val="22"/>
              <w:bidi w:val="0"/>
              <w:rPr>
                <w:color w:val="auto"/>
              </w:rPr>
            </w:pPr>
            <w:r>
              <w:rPr>
                <w:rFonts w:hint="eastAsia"/>
                <w:color w:val="auto"/>
              </w:rPr>
              <w:t>2</w:t>
            </w:r>
          </w:p>
        </w:tc>
        <w:tc>
          <w:tcPr>
            <w:tcW w:w="173" w:type="pct"/>
            <w:vMerge w:val="continue"/>
            <w:noWrap w:val="0"/>
            <w:vAlign w:val="center"/>
          </w:tcPr>
          <w:p w14:paraId="4190262C">
            <w:pPr>
              <w:pStyle w:val="22"/>
              <w:bidi w:val="0"/>
              <w:rPr>
                <w:color w:val="auto"/>
              </w:rPr>
            </w:pPr>
          </w:p>
        </w:tc>
        <w:tc>
          <w:tcPr>
            <w:tcW w:w="300" w:type="pct"/>
            <w:noWrap w:val="0"/>
            <w:vAlign w:val="center"/>
          </w:tcPr>
          <w:p w14:paraId="497362C9">
            <w:pPr>
              <w:pStyle w:val="22"/>
              <w:bidi w:val="0"/>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挤出机</w:t>
            </w:r>
          </w:p>
        </w:tc>
        <w:tc>
          <w:tcPr>
            <w:tcW w:w="250" w:type="pct"/>
            <w:noWrap w:val="0"/>
            <w:vAlign w:val="center"/>
          </w:tcPr>
          <w:p w14:paraId="274592F6">
            <w:pPr>
              <w:pStyle w:val="22"/>
              <w:bidi w:val="0"/>
              <w:rPr>
                <w:rFonts w:hint="eastAsia"/>
                <w:color w:val="auto"/>
                <w:lang w:eastAsia="zh-CN"/>
              </w:rPr>
            </w:pPr>
            <w:r>
              <w:rPr>
                <w:rFonts w:hint="eastAsia"/>
                <w:color w:val="auto"/>
              </w:rPr>
              <w:t>8</w:t>
            </w:r>
            <w:r>
              <w:rPr>
                <w:rFonts w:hint="eastAsia"/>
                <w:color w:val="auto"/>
                <w:lang w:val="en-US" w:eastAsia="zh-CN"/>
              </w:rPr>
              <w:t>0</w:t>
            </w:r>
          </w:p>
        </w:tc>
        <w:tc>
          <w:tcPr>
            <w:tcW w:w="161" w:type="pct"/>
            <w:noWrap w:val="0"/>
            <w:vAlign w:val="center"/>
          </w:tcPr>
          <w:p w14:paraId="7E3C7966">
            <w:pPr>
              <w:pStyle w:val="22"/>
              <w:bidi w:val="0"/>
              <w:rPr>
                <w:rFonts w:hint="eastAsia"/>
                <w:color w:val="auto"/>
                <w:lang w:val="en-US" w:eastAsia="zh-CN"/>
              </w:rPr>
            </w:pPr>
            <w:r>
              <w:rPr>
                <w:rFonts w:hint="eastAsia"/>
                <w:color w:val="auto"/>
                <w:lang w:val="en-US" w:eastAsia="zh-CN"/>
              </w:rPr>
              <w:t>1</w:t>
            </w:r>
          </w:p>
        </w:tc>
        <w:tc>
          <w:tcPr>
            <w:tcW w:w="240" w:type="pct"/>
            <w:vMerge w:val="continue"/>
            <w:noWrap w:val="0"/>
            <w:vAlign w:val="center"/>
          </w:tcPr>
          <w:p w14:paraId="5E9F5C11">
            <w:pPr>
              <w:pStyle w:val="22"/>
              <w:bidi w:val="0"/>
              <w:rPr>
                <w:rFonts w:hint="eastAsia"/>
                <w:color w:val="auto"/>
              </w:rPr>
            </w:pPr>
          </w:p>
        </w:tc>
        <w:tc>
          <w:tcPr>
            <w:tcW w:w="203" w:type="pct"/>
            <w:noWrap w:val="0"/>
            <w:vAlign w:val="center"/>
          </w:tcPr>
          <w:p w14:paraId="419F9009">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5.28</w:t>
            </w:r>
          </w:p>
        </w:tc>
        <w:tc>
          <w:tcPr>
            <w:tcW w:w="207" w:type="pct"/>
            <w:noWrap w:val="0"/>
            <w:vAlign w:val="center"/>
          </w:tcPr>
          <w:p w14:paraId="029FE8DF">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39.7</w:t>
            </w:r>
          </w:p>
        </w:tc>
        <w:tc>
          <w:tcPr>
            <w:tcW w:w="125" w:type="pct"/>
            <w:noWrap w:val="0"/>
            <w:vAlign w:val="center"/>
          </w:tcPr>
          <w:p w14:paraId="74506A4B">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w:t>
            </w:r>
          </w:p>
        </w:tc>
        <w:tc>
          <w:tcPr>
            <w:tcW w:w="221" w:type="pct"/>
            <w:noWrap w:val="0"/>
            <w:vAlign w:val="center"/>
          </w:tcPr>
          <w:p w14:paraId="5693F653">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45.07</w:t>
            </w:r>
          </w:p>
        </w:tc>
        <w:tc>
          <w:tcPr>
            <w:tcW w:w="211" w:type="pct"/>
            <w:noWrap w:val="0"/>
            <w:vAlign w:val="center"/>
          </w:tcPr>
          <w:p w14:paraId="2A5D0E63">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39.25</w:t>
            </w:r>
          </w:p>
        </w:tc>
        <w:tc>
          <w:tcPr>
            <w:tcW w:w="225" w:type="pct"/>
            <w:noWrap w:val="0"/>
            <w:vAlign w:val="center"/>
          </w:tcPr>
          <w:p w14:paraId="201AFBE7">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10.24</w:t>
            </w:r>
          </w:p>
        </w:tc>
        <w:tc>
          <w:tcPr>
            <w:tcW w:w="252" w:type="pct"/>
            <w:noWrap w:val="0"/>
            <w:vAlign w:val="center"/>
          </w:tcPr>
          <w:p w14:paraId="02589C52">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54.14</w:t>
            </w:r>
          </w:p>
        </w:tc>
        <w:tc>
          <w:tcPr>
            <w:tcW w:w="231" w:type="pct"/>
            <w:noWrap w:val="0"/>
            <w:vAlign w:val="center"/>
          </w:tcPr>
          <w:p w14:paraId="01AD849D">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41.92</w:t>
            </w:r>
          </w:p>
        </w:tc>
        <w:tc>
          <w:tcPr>
            <w:tcW w:w="217" w:type="pct"/>
            <w:noWrap w:val="0"/>
            <w:vAlign w:val="center"/>
          </w:tcPr>
          <w:p w14:paraId="3FAA83B2">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43.12</w:t>
            </w:r>
          </w:p>
        </w:tc>
        <w:tc>
          <w:tcPr>
            <w:tcW w:w="203" w:type="pct"/>
            <w:noWrap w:val="0"/>
            <w:vAlign w:val="center"/>
          </w:tcPr>
          <w:p w14:paraId="3C205697">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54.80</w:t>
            </w:r>
          </w:p>
        </w:tc>
        <w:tc>
          <w:tcPr>
            <w:tcW w:w="216" w:type="pct"/>
            <w:noWrap w:val="0"/>
            <w:vAlign w:val="center"/>
          </w:tcPr>
          <w:p w14:paraId="28806E93">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40.33</w:t>
            </w:r>
          </w:p>
        </w:tc>
        <w:tc>
          <w:tcPr>
            <w:tcW w:w="140" w:type="pct"/>
            <w:vMerge w:val="continue"/>
            <w:noWrap w:val="0"/>
            <w:vAlign w:val="center"/>
          </w:tcPr>
          <w:p w14:paraId="27E009D1">
            <w:pPr>
              <w:pStyle w:val="22"/>
              <w:bidi w:val="0"/>
              <w:rPr>
                <w:rFonts w:hint="eastAsia"/>
                <w:color w:val="auto"/>
              </w:rPr>
            </w:pPr>
          </w:p>
        </w:tc>
        <w:tc>
          <w:tcPr>
            <w:tcW w:w="226" w:type="pct"/>
            <w:noWrap w:val="0"/>
            <w:vAlign w:val="center"/>
          </w:tcPr>
          <w:p w14:paraId="01A5FA3D">
            <w:pPr>
              <w:pStyle w:val="22"/>
              <w:bidi w:val="0"/>
              <w:rPr>
                <w:rFonts w:hint="default"/>
                <w:color w:val="auto"/>
                <w:lang w:val="en-US" w:eastAsia="zh-CN"/>
              </w:rPr>
            </w:pPr>
            <w:r>
              <w:rPr>
                <w:rFonts w:hint="eastAsia"/>
                <w:color w:val="auto"/>
                <w:lang w:val="en-US" w:eastAsia="zh-CN"/>
              </w:rPr>
              <w:t>20</w:t>
            </w:r>
          </w:p>
        </w:tc>
        <w:tc>
          <w:tcPr>
            <w:tcW w:w="213" w:type="pct"/>
            <w:noWrap w:val="0"/>
            <w:vAlign w:val="center"/>
          </w:tcPr>
          <w:p w14:paraId="6B8AEC77">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15.73</w:t>
            </w:r>
          </w:p>
        </w:tc>
        <w:tc>
          <w:tcPr>
            <w:tcW w:w="198" w:type="pct"/>
            <w:noWrap w:val="0"/>
            <w:vAlign w:val="center"/>
          </w:tcPr>
          <w:p w14:paraId="2131756F">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16.90</w:t>
            </w:r>
          </w:p>
        </w:tc>
        <w:tc>
          <w:tcPr>
            <w:tcW w:w="198" w:type="pct"/>
            <w:noWrap w:val="0"/>
            <w:vAlign w:val="center"/>
          </w:tcPr>
          <w:p w14:paraId="4786CA7D">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27.99</w:t>
            </w:r>
          </w:p>
        </w:tc>
        <w:tc>
          <w:tcPr>
            <w:tcW w:w="205" w:type="pct"/>
            <w:noWrap w:val="0"/>
            <w:vAlign w:val="center"/>
          </w:tcPr>
          <w:p w14:paraId="67E723BF">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14.17</w:t>
            </w:r>
          </w:p>
        </w:tc>
        <w:tc>
          <w:tcPr>
            <w:tcW w:w="234" w:type="pct"/>
            <w:noWrap w:val="0"/>
            <w:vAlign w:val="center"/>
          </w:tcPr>
          <w:p w14:paraId="74CCF207">
            <w:pPr>
              <w:pStyle w:val="22"/>
              <w:bidi w:val="0"/>
              <w:rPr>
                <w:rFonts w:hint="eastAsia"/>
                <w:color w:val="auto"/>
              </w:rPr>
            </w:pPr>
            <w:r>
              <w:rPr>
                <w:rFonts w:hint="eastAsia"/>
                <w:color w:val="auto"/>
              </w:rPr>
              <w:t>1m</w:t>
            </w:r>
          </w:p>
        </w:tc>
      </w:tr>
      <w:tr w14:paraId="56DBA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724F4E5F">
            <w:pPr>
              <w:pStyle w:val="22"/>
              <w:bidi w:val="0"/>
              <w:rPr>
                <w:rFonts w:hint="eastAsia"/>
                <w:color w:val="auto"/>
              </w:rPr>
            </w:pPr>
            <w:r>
              <w:rPr>
                <w:rFonts w:hint="eastAsia"/>
                <w:color w:val="auto"/>
              </w:rPr>
              <w:t>3</w:t>
            </w:r>
          </w:p>
        </w:tc>
        <w:tc>
          <w:tcPr>
            <w:tcW w:w="173" w:type="pct"/>
            <w:vMerge w:val="continue"/>
            <w:noWrap w:val="0"/>
            <w:vAlign w:val="center"/>
          </w:tcPr>
          <w:p w14:paraId="684BA02E">
            <w:pPr>
              <w:pStyle w:val="22"/>
              <w:bidi w:val="0"/>
              <w:rPr>
                <w:color w:val="auto"/>
              </w:rPr>
            </w:pPr>
          </w:p>
        </w:tc>
        <w:tc>
          <w:tcPr>
            <w:tcW w:w="300" w:type="pct"/>
            <w:noWrap w:val="0"/>
            <w:vAlign w:val="center"/>
          </w:tcPr>
          <w:p w14:paraId="4CDB9445">
            <w:pPr>
              <w:pStyle w:val="22"/>
              <w:bidi w:val="0"/>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挤出机</w:t>
            </w:r>
          </w:p>
        </w:tc>
        <w:tc>
          <w:tcPr>
            <w:tcW w:w="250" w:type="pct"/>
            <w:noWrap w:val="0"/>
            <w:vAlign w:val="center"/>
          </w:tcPr>
          <w:p w14:paraId="2B9E8E56">
            <w:pPr>
              <w:pStyle w:val="22"/>
              <w:bidi w:val="0"/>
              <w:rPr>
                <w:rFonts w:hint="default"/>
                <w:color w:val="auto"/>
                <w:lang w:val="en-US" w:eastAsia="zh-CN"/>
              </w:rPr>
            </w:pPr>
            <w:r>
              <w:rPr>
                <w:rFonts w:hint="eastAsia"/>
                <w:color w:val="auto"/>
                <w:lang w:val="en-US" w:eastAsia="zh-CN"/>
              </w:rPr>
              <w:t>75</w:t>
            </w:r>
          </w:p>
        </w:tc>
        <w:tc>
          <w:tcPr>
            <w:tcW w:w="161" w:type="pct"/>
            <w:noWrap w:val="0"/>
            <w:vAlign w:val="center"/>
          </w:tcPr>
          <w:p w14:paraId="47A806D8">
            <w:pPr>
              <w:pStyle w:val="22"/>
              <w:bidi w:val="0"/>
              <w:rPr>
                <w:rFonts w:hint="eastAsia"/>
                <w:color w:val="auto"/>
                <w:lang w:val="en-US" w:eastAsia="zh-CN"/>
              </w:rPr>
            </w:pPr>
            <w:r>
              <w:rPr>
                <w:rFonts w:hint="eastAsia"/>
                <w:color w:val="auto"/>
                <w:lang w:val="en-US" w:eastAsia="zh-CN"/>
              </w:rPr>
              <w:t>1</w:t>
            </w:r>
          </w:p>
        </w:tc>
        <w:tc>
          <w:tcPr>
            <w:tcW w:w="240" w:type="pct"/>
            <w:vMerge w:val="continue"/>
            <w:noWrap w:val="0"/>
            <w:vAlign w:val="center"/>
          </w:tcPr>
          <w:p w14:paraId="332A230E">
            <w:pPr>
              <w:pStyle w:val="22"/>
              <w:bidi w:val="0"/>
              <w:rPr>
                <w:rFonts w:hint="eastAsia"/>
                <w:color w:val="auto"/>
              </w:rPr>
            </w:pPr>
          </w:p>
        </w:tc>
        <w:tc>
          <w:tcPr>
            <w:tcW w:w="203" w:type="pct"/>
            <w:noWrap w:val="0"/>
            <w:vAlign w:val="center"/>
          </w:tcPr>
          <w:p w14:paraId="7D7F2CED">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9.8</w:t>
            </w:r>
          </w:p>
        </w:tc>
        <w:tc>
          <w:tcPr>
            <w:tcW w:w="207" w:type="pct"/>
            <w:noWrap w:val="0"/>
            <w:vAlign w:val="center"/>
          </w:tcPr>
          <w:p w14:paraId="55F9C885">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40.33</w:t>
            </w:r>
          </w:p>
        </w:tc>
        <w:tc>
          <w:tcPr>
            <w:tcW w:w="125" w:type="pct"/>
            <w:noWrap w:val="0"/>
            <w:vAlign w:val="center"/>
          </w:tcPr>
          <w:p w14:paraId="09BF2691">
            <w:pPr>
              <w:pStyle w:val="22"/>
              <w:bidi w:val="0"/>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w:t>
            </w:r>
          </w:p>
        </w:tc>
        <w:tc>
          <w:tcPr>
            <w:tcW w:w="221" w:type="pct"/>
            <w:noWrap w:val="0"/>
            <w:vAlign w:val="center"/>
          </w:tcPr>
          <w:p w14:paraId="4E0F7F19">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40.46</w:t>
            </w:r>
          </w:p>
        </w:tc>
        <w:tc>
          <w:tcPr>
            <w:tcW w:w="211" w:type="pct"/>
            <w:noWrap w:val="0"/>
            <w:vAlign w:val="center"/>
          </w:tcPr>
          <w:p w14:paraId="0EF7ACA4">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39.34</w:t>
            </w:r>
          </w:p>
        </w:tc>
        <w:tc>
          <w:tcPr>
            <w:tcW w:w="225" w:type="pct"/>
            <w:noWrap w:val="0"/>
            <w:vAlign w:val="center"/>
          </w:tcPr>
          <w:p w14:paraId="6042BF77">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14.83</w:t>
            </w:r>
          </w:p>
        </w:tc>
        <w:tc>
          <w:tcPr>
            <w:tcW w:w="252" w:type="pct"/>
            <w:noWrap w:val="0"/>
            <w:vAlign w:val="center"/>
          </w:tcPr>
          <w:p w14:paraId="43987DE0">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54.06</w:t>
            </w:r>
          </w:p>
        </w:tc>
        <w:tc>
          <w:tcPr>
            <w:tcW w:w="231" w:type="pct"/>
            <w:noWrap w:val="0"/>
            <w:vAlign w:val="center"/>
          </w:tcPr>
          <w:p w14:paraId="409D83FC">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42.86</w:t>
            </w:r>
          </w:p>
        </w:tc>
        <w:tc>
          <w:tcPr>
            <w:tcW w:w="217" w:type="pct"/>
            <w:noWrap w:val="0"/>
            <w:vAlign w:val="center"/>
          </w:tcPr>
          <w:p w14:paraId="2807E38C">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43.10</w:t>
            </w:r>
          </w:p>
        </w:tc>
        <w:tc>
          <w:tcPr>
            <w:tcW w:w="203" w:type="pct"/>
            <w:noWrap w:val="0"/>
            <w:vAlign w:val="center"/>
          </w:tcPr>
          <w:p w14:paraId="56C4D273">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51.57</w:t>
            </w:r>
          </w:p>
        </w:tc>
        <w:tc>
          <w:tcPr>
            <w:tcW w:w="216" w:type="pct"/>
            <w:noWrap w:val="0"/>
            <w:vAlign w:val="center"/>
          </w:tcPr>
          <w:p w14:paraId="372C97F5">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40.34</w:t>
            </w:r>
          </w:p>
        </w:tc>
        <w:tc>
          <w:tcPr>
            <w:tcW w:w="140" w:type="pct"/>
            <w:vMerge w:val="continue"/>
            <w:noWrap w:val="0"/>
            <w:vAlign w:val="center"/>
          </w:tcPr>
          <w:p w14:paraId="38CB04D7">
            <w:pPr>
              <w:pStyle w:val="22"/>
              <w:bidi w:val="0"/>
              <w:rPr>
                <w:rFonts w:hint="eastAsia"/>
                <w:color w:val="auto"/>
              </w:rPr>
            </w:pPr>
          </w:p>
        </w:tc>
        <w:tc>
          <w:tcPr>
            <w:tcW w:w="226" w:type="pct"/>
            <w:noWrap w:val="0"/>
            <w:vAlign w:val="center"/>
          </w:tcPr>
          <w:p w14:paraId="06B904D2">
            <w:pPr>
              <w:pStyle w:val="22"/>
              <w:bidi w:val="0"/>
              <w:rPr>
                <w:rFonts w:hint="default"/>
                <w:color w:val="auto"/>
                <w:lang w:val="en-US" w:eastAsia="zh-CN"/>
              </w:rPr>
            </w:pPr>
            <w:r>
              <w:rPr>
                <w:rFonts w:hint="eastAsia"/>
                <w:color w:val="auto"/>
                <w:lang w:val="en-US" w:eastAsia="zh-CN"/>
              </w:rPr>
              <w:t>20</w:t>
            </w:r>
          </w:p>
        </w:tc>
        <w:tc>
          <w:tcPr>
            <w:tcW w:w="213" w:type="pct"/>
            <w:noWrap w:val="0"/>
            <w:vAlign w:val="center"/>
          </w:tcPr>
          <w:p w14:paraId="64C24CB4">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16.65</w:t>
            </w:r>
          </w:p>
        </w:tc>
        <w:tc>
          <w:tcPr>
            <w:tcW w:w="198" w:type="pct"/>
            <w:noWrap w:val="0"/>
            <w:vAlign w:val="center"/>
          </w:tcPr>
          <w:p w14:paraId="11D15645">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16.88</w:t>
            </w:r>
          </w:p>
        </w:tc>
        <w:tc>
          <w:tcPr>
            <w:tcW w:w="198" w:type="pct"/>
            <w:noWrap w:val="0"/>
            <w:vAlign w:val="center"/>
          </w:tcPr>
          <w:p w14:paraId="51E54C79">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25.01</w:t>
            </w:r>
          </w:p>
        </w:tc>
        <w:tc>
          <w:tcPr>
            <w:tcW w:w="205" w:type="pct"/>
            <w:noWrap w:val="0"/>
            <w:vAlign w:val="center"/>
          </w:tcPr>
          <w:p w14:paraId="5F0C4AB5">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14.18</w:t>
            </w:r>
          </w:p>
        </w:tc>
        <w:tc>
          <w:tcPr>
            <w:tcW w:w="234" w:type="pct"/>
            <w:noWrap w:val="0"/>
            <w:vAlign w:val="center"/>
          </w:tcPr>
          <w:p w14:paraId="10024B9E">
            <w:pPr>
              <w:pStyle w:val="22"/>
              <w:bidi w:val="0"/>
              <w:rPr>
                <w:rFonts w:hint="eastAsia"/>
                <w:color w:val="auto"/>
              </w:rPr>
            </w:pPr>
            <w:r>
              <w:rPr>
                <w:rFonts w:hint="eastAsia"/>
                <w:color w:val="auto"/>
              </w:rPr>
              <w:t>1m</w:t>
            </w:r>
          </w:p>
        </w:tc>
      </w:tr>
      <w:tr w14:paraId="3B9DE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22A694A0">
            <w:pPr>
              <w:pStyle w:val="22"/>
              <w:bidi w:val="0"/>
              <w:rPr>
                <w:color w:val="auto"/>
              </w:rPr>
            </w:pPr>
            <w:r>
              <w:rPr>
                <w:rFonts w:hint="eastAsia"/>
                <w:color w:val="auto"/>
              </w:rPr>
              <w:t>4</w:t>
            </w:r>
          </w:p>
        </w:tc>
        <w:tc>
          <w:tcPr>
            <w:tcW w:w="173" w:type="pct"/>
            <w:vMerge w:val="continue"/>
            <w:noWrap w:val="0"/>
            <w:vAlign w:val="center"/>
          </w:tcPr>
          <w:p w14:paraId="11C59A6E">
            <w:pPr>
              <w:pStyle w:val="22"/>
              <w:bidi w:val="0"/>
              <w:rPr>
                <w:color w:val="auto"/>
              </w:rPr>
            </w:pPr>
          </w:p>
        </w:tc>
        <w:tc>
          <w:tcPr>
            <w:tcW w:w="300" w:type="pct"/>
            <w:noWrap w:val="0"/>
            <w:vAlign w:val="center"/>
          </w:tcPr>
          <w:p w14:paraId="4F81FE06">
            <w:pPr>
              <w:pStyle w:val="22"/>
              <w:bidi w:val="0"/>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挤出机</w:t>
            </w:r>
          </w:p>
        </w:tc>
        <w:tc>
          <w:tcPr>
            <w:tcW w:w="250" w:type="pct"/>
            <w:noWrap w:val="0"/>
            <w:vAlign w:val="center"/>
          </w:tcPr>
          <w:p w14:paraId="77F0C188">
            <w:pPr>
              <w:pStyle w:val="22"/>
              <w:bidi w:val="0"/>
              <w:rPr>
                <w:rFonts w:hint="eastAsia"/>
                <w:color w:val="auto"/>
              </w:rPr>
            </w:pPr>
            <w:r>
              <w:rPr>
                <w:rFonts w:hint="eastAsia"/>
                <w:color w:val="auto"/>
              </w:rPr>
              <w:t>90</w:t>
            </w:r>
          </w:p>
        </w:tc>
        <w:tc>
          <w:tcPr>
            <w:tcW w:w="161" w:type="pct"/>
            <w:noWrap w:val="0"/>
            <w:vAlign w:val="center"/>
          </w:tcPr>
          <w:p w14:paraId="7F04C5AE">
            <w:pPr>
              <w:pStyle w:val="22"/>
              <w:bidi w:val="0"/>
              <w:rPr>
                <w:rFonts w:hint="eastAsia"/>
                <w:color w:val="auto"/>
                <w:lang w:val="en-US" w:eastAsia="zh-CN"/>
              </w:rPr>
            </w:pPr>
            <w:r>
              <w:rPr>
                <w:rFonts w:hint="eastAsia"/>
                <w:color w:val="auto"/>
                <w:lang w:val="en-US" w:eastAsia="zh-CN"/>
              </w:rPr>
              <w:t>1</w:t>
            </w:r>
          </w:p>
        </w:tc>
        <w:tc>
          <w:tcPr>
            <w:tcW w:w="240" w:type="pct"/>
            <w:vMerge w:val="continue"/>
            <w:noWrap w:val="0"/>
            <w:vAlign w:val="center"/>
          </w:tcPr>
          <w:p w14:paraId="1EA477DD">
            <w:pPr>
              <w:pStyle w:val="22"/>
              <w:bidi w:val="0"/>
              <w:rPr>
                <w:rFonts w:hint="eastAsia"/>
                <w:color w:val="auto"/>
              </w:rPr>
            </w:pPr>
          </w:p>
        </w:tc>
        <w:tc>
          <w:tcPr>
            <w:tcW w:w="203" w:type="pct"/>
            <w:noWrap w:val="0"/>
            <w:vAlign w:val="center"/>
          </w:tcPr>
          <w:p w14:paraId="6AF50427">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14.95</w:t>
            </w:r>
          </w:p>
        </w:tc>
        <w:tc>
          <w:tcPr>
            <w:tcW w:w="207" w:type="pct"/>
            <w:noWrap w:val="0"/>
            <w:vAlign w:val="center"/>
          </w:tcPr>
          <w:p w14:paraId="07FAB0A6">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40.96</w:t>
            </w:r>
          </w:p>
        </w:tc>
        <w:tc>
          <w:tcPr>
            <w:tcW w:w="125" w:type="pct"/>
            <w:noWrap w:val="0"/>
            <w:vAlign w:val="center"/>
          </w:tcPr>
          <w:p w14:paraId="3F2A1022">
            <w:pPr>
              <w:pStyle w:val="22"/>
              <w:bidi w:val="0"/>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w:t>
            </w:r>
          </w:p>
        </w:tc>
        <w:tc>
          <w:tcPr>
            <w:tcW w:w="221" w:type="pct"/>
            <w:noWrap w:val="0"/>
            <w:vAlign w:val="center"/>
          </w:tcPr>
          <w:p w14:paraId="37C8079D">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35.23</w:t>
            </w:r>
          </w:p>
        </w:tc>
        <w:tc>
          <w:tcPr>
            <w:tcW w:w="211" w:type="pct"/>
            <w:noWrap w:val="0"/>
            <w:vAlign w:val="center"/>
          </w:tcPr>
          <w:p w14:paraId="74EE6CE1">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39.36</w:t>
            </w:r>
          </w:p>
        </w:tc>
        <w:tc>
          <w:tcPr>
            <w:tcW w:w="225" w:type="pct"/>
            <w:noWrap w:val="0"/>
            <w:vAlign w:val="center"/>
          </w:tcPr>
          <w:p w14:paraId="78D82329">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20.06</w:t>
            </w:r>
          </w:p>
        </w:tc>
        <w:tc>
          <w:tcPr>
            <w:tcW w:w="252" w:type="pct"/>
            <w:noWrap w:val="0"/>
            <w:vAlign w:val="center"/>
          </w:tcPr>
          <w:p w14:paraId="39A6F300">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54.06</w:t>
            </w:r>
          </w:p>
        </w:tc>
        <w:tc>
          <w:tcPr>
            <w:tcW w:w="231" w:type="pct"/>
            <w:noWrap w:val="0"/>
            <w:vAlign w:val="center"/>
          </w:tcPr>
          <w:p w14:paraId="1C7ACC60">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44.06</w:t>
            </w:r>
          </w:p>
        </w:tc>
        <w:tc>
          <w:tcPr>
            <w:tcW w:w="217" w:type="pct"/>
            <w:noWrap w:val="0"/>
            <w:vAlign w:val="center"/>
          </w:tcPr>
          <w:p w14:paraId="35E4683C">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43.10</w:t>
            </w:r>
          </w:p>
        </w:tc>
        <w:tc>
          <w:tcPr>
            <w:tcW w:w="203" w:type="pct"/>
            <w:noWrap w:val="0"/>
            <w:vAlign w:val="center"/>
          </w:tcPr>
          <w:p w14:paraId="23AC85C3">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48.95</w:t>
            </w:r>
          </w:p>
        </w:tc>
        <w:tc>
          <w:tcPr>
            <w:tcW w:w="216" w:type="pct"/>
            <w:noWrap w:val="0"/>
            <w:vAlign w:val="center"/>
          </w:tcPr>
          <w:p w14:paraId="3A784DA1">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40.34</w:t>
            </w:r>
          </w:p>
        </w:tc>
        <w:tc>
          <w:tcPr>
            <w:tcW w:w="140" w:type="pct"/>
            <w:vMerge w:val="continue"/>
            <w:noWrap w:val="0"/>
            <w:vAlign w:val="center"/>
          </w:tcPr>
          <w:p w14:paraId="5AD32015">
            <w:pPr>
              <w:pStyle w:val="22"/>
              <w:bidi w:val="0"/>
              <w:rPr>
                <w:rFonts w:hint="eastAsia"/>
                <w:color w:val="auto"/>
              </w:rPr>
            </w:pPr>
          </w:p>
        </w:tc>
        <w:tc>
          <w:tcPr>
            <w:tcW w:w="226" w:type="pct"/>
            <w:noWrap w:val="0"/>
            <w:vAlign w:val="center"/>
          </w:tcPr>
          <w:p w14:paraId="78F6D779">
            <w:pPr>
              <w:pStyle w:val="22"/>
              <w:bidi w:val="0"/>
              <w:rPr>
                <w:rFonts w:hint="eastAsia"/>
                <w:color w:val="auto"/>
                <w:lang w:eastAsia="zh-CN"/>
              </w:rPr>
            </w:pPr>
            <w:r>
              <w:rPr>
                <w:rFonts w:hint="eastAsia"/>
                <w:color w:val="auto"/>
              </w:rPr>
              <w:t>2</w:t>
            </w:r>
            <w:r>
              <w:rPr>
                <w:rFonts w:hint="eastAsia"/>
                <w:color w:val="auto"/>
                <w:lang w:val="en-US" w:eastAsia="zh-CN"/>
              </w:rPr>
              <w:t>0</w:t>
            </w:r>
          </w:p>
        </w:tc>
        <w:tc>
          <w:tcPr>
            <w:tcW w:w="213" w:type="pct"/>
            <w:noWrap w:val="0"/>
            <w:vAlign w:val="center"/>
          </w:tcPr>
          <w:p w14:paraId="06F869D0">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17.82</w:t>
            </w:r>
          </w:p>
        </w:tc>
        <w:tc>
          <w:tcPr>
            <w:tcW w:w="198" w:type="pct"/>
            <w:noWrap w:val="0"/>
            <w:vAlign w:val="center"/>
          </w:tcPr>
          <w:p w14:paraId="197C4CBD">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16.88</w:t>
            </w:r>
          </w:p>
        </w:tc>
        <w:tc>
          <w:tcPr>
            <w:tcW w:w="198" w:type="pct"/>
            <w:noWrap w:val="0"/>
            <w:vAlign w:val="center"/>
          </w:tcPr>
          <w:p w14:paraId="0EF7751A">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22.53</w:t>
            </w:r>
          </w:p>
        </w:tc>
        <w:tc>
          <w:tcPr>
            <w:tcW w:w="205" w:type="pct"/>
            <w:noWrap w:val="0"/>
            <w:vAlign w:val="center"/>
          </w:tcPr>
          <w:p w14:paraId="1D251BD4">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14.18</w:t>
            </w:r>
          </w:p>
        </w:tc>
        <w:tc>
          <w:tcPr>
            <w:tcW w:w="234" w:type="pct"/>
            <w:noWrap w:val="0"/>
            <w:vAlign w:val="center"/>
          </w:tcPr>
          <w:p w14:paraId="3FBE9864">
            <w:pPr>
              <w:pStyle w:val="22"/>
              <w:bidi w:val="0"/>
              <w:rPr>
                <w:rFonts w:hint="eastAsia"/>
                <w:color w:val="auto"/>
              </w:rPr>
            </w:pPr>
            <w:r>
              <w:rPr>
                <w:rFonts w:hint="eastAsia"/>
                <w:color w:val="auto"/>
              </w:rPr>
              <w:t>1m</w:t>
            </w:r>
          </w:p>
        </w:tc>
      </w:tr>
      <w:tr w14:paraId="20E51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31F6F682">
            <w:pPr>
              <w:pStyle w:val="22"/>
              <w:bidi w:val="0"/>
              <w:rPr>
                <w:rFonts w:hint="eastAsia"/>
                <w:color w:val="auto"/>
              </w:rPr>
            </w:pPr>
            <w:r>
              <w:rPr>
                <w:rFonts w:hint="eastAsia"/>
                <w:color w:val="auto"/>
              </w:rPr>
              <w:t>5</w:t>
            </w:r>
          </w:p>
        </w:tc>
        <w:tc>
          <w:tcPr>
            <w:tcW w:w="173" w:type="pct"/>
            <w:vMerge w:val="continue"/>
            <w:noWrap w:val="0"/>
            <w:vAlign w:val="center"/>
          </w:tcPr>
          <w:p w14:paraId="7B488BF2">
            <w:pPr>
              <w:pStyle w:val="22"/>
              <w:bidi w:val="0"/>
              <w:rPr>
                <w:color w:val="auto"/>
              </w:rPr>
            </w:pPr>
          </w:p>
        </w:tc>
        <w:tc>
          <w:tcPr>
            <w:tcW w:w="300" w:type="pct"/>
            <w:noWrap w:val="0"/>
            <w:vAlign w:val="center"/>
          </w:tcPr>
          <w:p w14:paraId="4F7E2A1F">
            <w:pPr>
              <w:pStyle w:val="22"/>
              <w:bidi w:val="0"/>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集中上料系统</w:t>
            </w:r>
          </w:p>
        </w:tc>
        <w:tc>
          <w:tcPr>
            <w:tcW w:w="250" w:type="pct"/>
            <w:noWrap w:val="0"/>
            <w:vAlign w:val="center"/>
          </w:tcPr>
          <w:p w14:paraId="32C15585">
            <w:pPr>
              <w:pStyle w:val="22"/>
              <w:bidi w:val="0"/>
              <w:rPr>
                <w:rFonts w:hint="default"/>
                <w:color w:val="auto"/>
                <w:lang w:val="en-US" w:eastAsia="zh-CN"/>
              </w:rPr>
            </w:pPr>
            <w:r>
              <w:rPr>
                <w:rFonts w:hint="eastAsia"/>
                <w:color w:val="auto"/>
                <w:lang w:val="en-US" w:eastAsia="zh-CN"/>
              </w:rPr>
              <w:t>85</w:t>
            </w:r>
          </w:p>
        </w:tc>
        <w:tc>
          <w:tcPr>
            <w:tcW w:w="161" w:type="pct"/>
            <w:noWrap w:val="0"/>
            <w:vAlign w:val="center"/>
          </w:tcPr>
          <w:p w14:paraId="7A3AC921">
            <w:pPr>
              <w:pStyle w:val="22"/>
              <w:bidi w:val="0"/>
              <w:rPr>
                <w:rFonts w:hint="default"/>
                <w:color w:val="auto"/>
                <w:lang w:val="en-US" w:eastAsia="zh-CN"/>
              </w:rPr>
            </w:pPr>
            <w:r>
              <w:rPr>
                <w:rFonts w:hint="eastAsia"/>
                <w:color w:val="auto"/>
                <w:lang w:val="en-US" w:eastAsia="zh-CN"/>
              </w:rPr>
              <w:t>1</w:t>
            </w:r>
          </w:p>
        </w:tc>
        <w:tc>
          <w:tcPr>
            <w:tcW w:w="240" w:type="pct"/>
            <w:vMerge w:val="continue"/>
            <w:noWrap w:val="0"/>
            <w:vAlign w:val="center"/>
          </w:tcPr>
          <w:p w14:paraId="32DE0AB2">
            <w:pPr>
              <w:pStyle w:val="22"/>
              <w:bidi w:val="0"/>
              <w:rPr>
                <w:rFonts w:hint="eastAsia"/>
                <w:color w:val="auto"/>
              </w:rPr>
            </w:pPr>
          </w:p>
        </w:tc>
        <w:tc>
          <w:tcPr>
            <w:tcW w:w="203" w:type="pct"/>
            <w:noWrap w:val="0"/>
            <w:vAlign w:val="center"/>
          </w:tcPr>
          <w:p w14:paraId="411FAA95">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11.81</w:t>
            </w:r>
          </w:p>
        </w:tc>
        <w:tc>
          <w:tcPr>
            <w:tcW w:w="207" w:type="pct"/>
            <w:noWrap w:val="0"/>
            <w:vAlign w:val="center"/>
          </w:tcPr>
          <w:p w14:paraId="1E343419">
            <w:pPr>
              <w:pStyle w:val="22"/>
              <w:bidi w:val="0"/>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12.94</w:t>
            </w:r>
          </w:p>
        </w:tc>
        <w:tc>
          <w:tcPr>
            <w:tcW w:w="125" w:type="pct"/>
            <w:noWrap w:val="0"/>
            <w:vAlign w:val="center"/>
          </w:tcPr>
          <w:p w14:paraId="779A17B3">
            <w:pPr>
              <w:pStyle w:val="22"/>
              <w:bidi w:val="0"/>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w:t>
            </w:r>
          </w:p>
        </w:tc>
        <w:tc>
          <w:tcPr>
            <w:tcW w:w="221" w:type="pct"/>
            <w:noWrap w:val="0"/>
            <w:vAlign w:val="center"/>
          </w:tcPr>
          <w:p w14:paraId="444F09FD">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41.80</w:t>
            </w:r>
          </w:p>
        </w:tc>
        <w:tc>
          <w:tcPr>
            <w:tcW w:w="211" w:type="pct"/>
            <w:noWrap w:val="0"/>
            <w:vAlign w:val="center"/>
          </w:tcPr>
          <w:p w14:paraId="2B5256CF">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11.82</w:t>
            </w:r>
          </w:p>
        </w:tc>
        <w:tc>
          <w:tcPr>
            <w:tcW w:w="225" w:type="pct"/>
            <w:noWrap w:val="0"/>
            <w:vAlign w:val="center"/>
          </w:tcPr>
          <w:p w14:paraId="3C9A2A54">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13.72</w:t>
            </w:r>
          </w:p>
        </w:tc>
        <w:tc>
          <w:tcPr>
            <w:tcW w:w="252" w:type="pct"/>
            <w:noWrap w:val="0"/>
            <w:vAlign w:val="center"/>
          </w:tcPr>
          <w:p w14:paraId="53803D3E">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81.59</w:t>
            </w:r>
          </w:p>
        </w:tc>
        <w:tc>
          <w:tcPr>
            <w:tcW w:w="231" w:type="pct"/>
            <w:noWrap w:val="0"/>
            <w:vAlign w:val="center"/>
          </w:tcPr>
          <w:p w14:paraId="10515661">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52.58</w:t>
            </w:r>
          </w:p>
        </w:tc>
        <w:tc>
          <w:tcPr>
            <w:tcW w:w="217" w:type="pct"/>
            <w:noWrap w:val="0"/>
            <w:vAlign w:val="center"/>
          </w:tcPr>
          <w:p w14:paraId="1D3D5633">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63.55</w:t>
            </w:r>
          </w:p>
        </w:tc>
        <w:tc>
          <w:tcPr>
            <w:tcW w:w="203" w:type="pct"/>
            <w:noWrap w:val="0"/>
            <w:vAlign w:val="center"/>
          </w:tcPr>
          <w:p w14:paraId="5FD71172">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62.25</w:t>
            </w:r>
          </w:p>
        </w:tc>
        <w:tc>
          <w:tcPr>
            <w:tcW w:w="216" w:type="pct"/>
            <w:noWrap w:val="0"/>
            <w:vAlign w:val="center"/>
          </w:tcPr>
          <w:p w14:paraId="08683922">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46.77</w:t>
            </w:r>
          </w:p>
        </w:tc>
        <w:tc>
          <w:tcPr>
            <w:tcW w:w="140" w:type="pct"/>
            <w:vMerge w:val="continue"/>
            <w:noWrap w:val="0"/>
            <w:vAlign w:val="center"/>
          </w:tcPr>
          <w:p w14:paraId="69C54152">
            <w:pPr>
              <w:pStyle w:val="22"/>
              <w:bidi w:val="0"/>
              <w:rPr>
                <w:rFonts w:hint="eastAsia"/>
                <w:color w:val="auto"/>
              </w:rPr>
            </w:pPr>
          </w:p>
        </w:tc>
        <w:tc>
          <w:tcPr>
            <w:tcW w:w="226" w:type="pct"/>
            <w:noWrap w:val="0"/>
            <w:vAlign w:val="center"/>
          </w:tcPr>
          <w:p w14:paraId="0C9082AF">
            <w:pPr>
              <w:pStyle w:val="22"/>
              <w:bidi w:val="0"/>
              <w:rPr>
                <w:rFonts w:hint="eastAsia"/>
                <w:color w:val="auto"/>
                <w:lang w:eastAsia="zh-CN"/>
              </w:rPr>
            </w:pPr>
            <w:r>
              <w:rPr>
                <w:rFonts w:hint="eastAsia"/>
                <w:color w:val="auto"/>
              </w:rPr>
              <w:t>2</w:t>
            </w:r>
            <w:r>
              <w:rPr>
                <w:rFonts w:hint="eastAsia"/>
                <w:color w:val="auto"/>
                <w:lang w:val="en-US" w:eastAsia="zh-CN"/>
              </w:rPr>
              <w:t>0</w:t>
            </w:r>
          </w:p>
        </w:tc>
        <w:tc>
          <w:tcPr>
            <w:tcW w:w="213" w:type="pct"/>
            <w:noWrap w:val="0"/>
            <w:vAlign w:val="center"/>
          </w:tcPr>
          <w:p w14:paraId="3AEB2F68">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26.37</w:t>
            </w:r>
          </w:p>
        </w:tc>
        <w:tc>
          <w:tcPr>
            <w:tcW w:w="198" w:type="pct"/>
            <w:noWrap w:val="0"/>
            <w:vAlign w:val="center"/>
          </w:tcPr>
          <w:p w14:paraId="0090371F">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36.84</w:t>
            </w:r>
          </w:p>
        </w:tc>
        <w:tc>
          <w:tcPr>
            <w:tcW w:w="198" w:type="pct"/>
            <w:noWrap w:val="0"/>
            <w:vAlign w:val="center"/>
          </w:tcPr>
          <w:p w14:paraId="6546AF8C">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35.64</w:t>
            </w:r>
          </w:p>
        </w:tc>
        <w:tc>
          <w:tcPr>
            <w:tcW w:w="205" w:type="pct"/>
            <w:noWrap w:val="0"/>
            <w:vAlign w:val="center"/>
          </w:tcPr>
          <w:p w14:paraId="79E8B282">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20.66</w:t>
            </w:r>
          </w:p>
        </w:tc>
        <w:tc>
          <w:tcPr>
            <w:tcW w:w="234" w:type="pct"/>
            <w:noWrap w:val="0"/>
            <w:vAlign w:val="center"/>
          </w:tcPr>
          <w:p w14:paraId="0F8B4A21">
            <w:pPr>
              <w:pStyle w:val="22"/>
              <w:bidi w:val="0"/>
              <w:rPr>
                <w:rFonts w:hint="eastAsia"/>
                <w:color w:val="auto"/>
              </w:rPr>
            </w:pPr>
            <w:r>
              <w:rPr>
                <w:rFonts w:hint="eastAsia"/>
                <w:color w:val="auto"/>
              </w:rPr>
              <w:t>1m</w:t>
            </w:r>
          </w:p>
        </w:tc>
      </w:tr>
      <w:tr w14:paraId="6D4E4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669BECAF">
            <w:pPr>
              <w:pStyle w:val="22"/>
              <w:bidi w:val="0"/>
              <w:rPr>
                <w:rFonts w:hint="eastAsia"/>
                <w:color w:val="auto"/>
              </w:rPr>
            </w:pPr>
            <w:r>
              <w:rPr>
                <w:rFonts w:hint="eastAsia"/>
                <w:color w:val="auto"/>
                <w:lang w:val="en-US" w:eastAsia="zh-CN"/>
              </w:rPr>
              <w:t>6</w:t>
            </w:r>
          </w:p>
        </w:tc>
        <w:tc>
          <w:tcPr>
            <w:tcW w:w="173" w:type="pct"/>
            <w:vMerge w:val="continue"/>
            <w:noWrap w:val="0"/>
            <w:vAlign w:val="center"/>
          </w:tcPr>
          <w:p w14:paraId="4674B2FC">
            <w:pPr>
              <w:pStyle w:val="22"/>
              <w:bidi w:val="0"/>
              <w:rPr>
                <w:color w:val="auto"/>
              </w:rPr>
            </w:pPr>
          </w:p>
        </w:tc>
        <w:tc>
          <w:tcPr>
            <w:tcW w:w="839" w:type="dxa"/>
            <w:noWrap w:val="0"/>
            <w:vAlign w:val="center"/>
          </w:tcPr>
          <w:p w14:paraId="7A33372F">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破碎机</w:t>
            </w:r>
          </w:p>
        </w:tc>
        <w:tc>
          <w:tcPr>
            <w:tcW w:w="250" w:type="pct"/>
            <w:noWrap w:val="0"/>
            <w:vAlign w:val="center"/>
          </w:tcPr>
          <w:p w14:paraId="56274A26">
            <w:pPr>
              <w:pStyle w:val="22"/>
              <w:bidi w:val="0"/>
              <w:rPr>
                <w:rFonts w:hint="eastAsia"/>
                <w:color w:val="auto"/>
                <w:lang w:val="en-US" w:eastAsia="zh-CN"/>
              </w:rPr>
            </w:pPr>
            <w:r>
              <w:rPr>
                <w:rFonts w:hint="eastAsia"/>
                <w:color w:val="auto"/>
                <w:lang w:val="en-US" w:eastAsia="zh-CN"/>
              </w:rPr>
              <w:t>85</w:t>
            </w:r>
          </w:p>
        </w:tc>
        <w:tc>
          <w:tcPr>
            <w:tcW w:w="161" w:type="pct"/>
            <w:noWrap w:val="0"/>
            <w:vAlign w:val="center"/>
          </w:tcPr>
          <w:p w14:paraId="0672A5C1">
            <w:pPr>
              <w:pStyle w:val="22"/>
              <w:bidi w:val="0"/>
              <w:rPr>
                <w:rFonts w:hint="default"/>
                <w:color w:val="auto"/>
                <w:lang w:val="en-US" w:eastAsia="zh-CN"/>
              </w:rPr>
            </w:pPr>
            <w:r>
              <w:rPr>
                <w:rFonts w:hint="eastAsia"/>
                <w:color w:val="auto"/>
                <w:lang w:val="en-US" w:eastAsia="zh-CN"/>
              </w:rPr>
              <w:t>1</w:t>
            </w:r>
          </w:p>
        </w:tc>
        <w:tc>
          <w:tcPr>
            <w:tcW w:w="240" w:type="pct"/>
            <w:vMerge w:val="continue"/>
            <w:noWrap w:val="0"/>
            <w:vAlign w:val="center"/>
          </w:tcPr>
          <w:p w14:paraId="0BBC3864">
            <w:pPr>
              <w:pStyle w:val="22"/>
              <w:bidi w:val="0"/>
              <w:rPr>
                <w:rFonts w:hint="eastAsia"/>
                <w:color w:val="auto"/>
              </w:rPr>
            </w:pPr>
          </w:p>
        </w:tc>
        <w:tc>
          <w:tcPr>
            <w:tcW w:w="569" w:type="dxa"/>
            <w:noWrap w:val="0"/>
            <w:vAlign w:val="center"/>
          </w:tcPr>
          <w:p w14:paraId="2C1D0F37">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16.18</w:t>
            </w:r>
          </w:p>
        </w:tc>
        <w:tc>
          <w:tcPr>
            <w:tcW w:w="579" w:type="dxa"/>
            <w:noWrap w:val="0"/>
            <w:vAlign w:val="center"/>
          </w:tcPr>
          <w:p w14:paraId="1E639711">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13.62</w:t>
            </w:r>
          </w:p>
        </w:tc>
        <w:tc>
          <w:tcPr>
            <w:tcW w:w="352" w:type="dxa"/>
            <w:noWrap w:val="0"/>
            <w:vAlign w:val="center"/>
          </w:tcPr>
          <w:p w14:paraId="44D30280">
            <w:pPr>
              <w:pStyle w:val="22"/>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p>
        </w:tc>
        <w:tc>
          <w:tcPr>
            <w:tcW w:w="620" w:type="dxa"/>
            <w:noWrap w:val="0"/>
            <w:vAlign w:val="center"/>
          </w:tcPr>
          <w:p w14:paraId="2210CA8C">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37.32</w:t>
            </w:r>
          </w:p>
        </w:tc>
        <w:tc>
          <w:tcPr>
            <w:tcW w:w="590" w:type="dxa"/>
            <w:noWrap w:val="0"/>
            <w:vAlign w:val="center"/>
          </w:tcPr>
          <w:p w14:paraId="4DDF0D44">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11.92</w:t>
            </w:r>
          </w:p>
        </w:tc>
        <w:tc>
          <w:tcPr>
            <w:tcW w:w="631" w:type="dxa"/>
            <w:noWrap w:val="0"/>
            <w:vAlign w:val="center"/>
          </w:tcPr>
          <w:p w14:paraId="7984B5D6">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18.19</w:t>
            </w:r>
          </w:p>
        </w:tc>
        <w:tc>
          <w:tcPr>
            <w:tcW w:w="705" w:type="dxa"/>
            <w:noWrap w:val="0"/>
            <w:vAlign w:val="center"/>
          </w:tcPr>
          <w:p w14:paraId="466B2912">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81.49</w:t>
            </w:r>
          </w:p>
        </w:tc>
        <w:tc>
          <w:tcPr>
            <w:tcW w:w="646" w:type="dxa"/>
            <w:noWrap w:val="0"/>
            <w:vAlign w:val="center"/>
          </w:tcPr>
          <w:p w14:paraId="6F5034C4">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53.56</w:t>
            </w:r>
          </w:p>
        </w:tc>
        <w:tc>
          <w:tcPr>
            <w:tcW w:w="608" w:type="dxa"/>
            <w:noWrap w:val="0"/>
            <w:vAlign w:val="center"/>
          </w:tcPr>
          <w:p w14:paraId="4189C654">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63.47</w:t>
            </w:r>
          </w:p>
        </w:tc>
        <w:tc>
          <w:tcPr>
            <w:tcW w:w="568" w:type="dxa"/>
            <w:noWrap w:val="0"/>
            <w:vAlign w:val="center"/>
          </w:tcPr>
          <w:p w14:paraId="19C53196">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59.80</w:t>
            </w:r>
          </w:p>
        </w:tc>
        <w:tc>
          <w:tcPr>
            <w:tcW w:w="605" w:type="dxa"/>
            <w:noWrap w:val="0"/>
            <w:vAlign w:val="center"/>
          </w:tcPr>
          <w:p w14:paraId="6590A9D7">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46.78</w:t>
            </w:r>
          </w:p>
        </w:tc>
        <w:tc>
          <w:tcPr>
            <w:tcW w:w="140" w:type="pct"/>
            <w:vMerge w:val="continue"/>
            <w:noWrap w:val="0"/>
            <w:vAlign w:val="center"/>
          </w:tcPr>
          <w:p w14:paraId="251F921A">
            <w:pPr>
              <w:pStyle w:val="22"/>
              <w:bidi w:val="0"/>
              <w:rPr>
                <w:rFonts w:hint="eastAsia"/>
                <w:color w:val="auto"/>
              </w:rPr>
            </w:pPr>
          </w:p>
        </w:tc>
        <w:tc>
          <w:tcPr>
            <w:tcW w:w="226" w:type="pct"/>
            <w:noWrap w:val="0"/>
            <w:vAlign w:val="center"/>
          </w:tcPr>
          <w:p w14:paraId="401B8473">
            <w:pPr>
              <w:pStyle w:val="22"/>
              <w:bidi w:val="0"/>
              <w:rPr>
                <w:rFonts w:hint="eastAsia"/>
                <w:color w:val="auto"/>
              </w:rPr>
            </w:pPr>
            <w:r>
              <w:rPr>
                <w:rFonts w:hint="eastAsia"/>
                <w:color w:val="auto"/>
              </w:rPr>
              <w:t>2</w:t>
            </w:r>
            <w:r>
              <w:rPr>
                <w:rFonts w:hint="eastAsia"/>
                <w:color w:val="auto"/>
                <w:lang w:val="en-US" w:eastAsia="zh-CN"/>
              </w:rPr>
              <w:t>0</w:t>
            </w:r>
          </w:p>
        </w:tc>
        <w:tc>
          <w:tcPr>
            <w:tcW w:w="598" w:type="dxa"/>
            <w:noWrap w:val="0"/>
            <w:vAlign w:val="center"/>
          </w:tcPr>
          <w:p w14:paraId="55B553D3">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27.33</w:t>
            </w:r>
          </w:p>
        </w:tc>
        <w:tc>
          <w:tcPr>
            <w:tcW w:w="554" w:type="dxa"/>
            <w:noWrap w:val="0"/>
            <w:vAlign w:val="center"/>
          </w:tcPr>
          <w:p w14:paraId="1867FD1A">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36.77</w:t>
            </w:r>
          </w:p>
        </w:tc>
        <w:tc>
          <w:tcPr>
            <w:tcW w:w="554" w:type="dxa"/>
            <w:noWrap w:val="0"/>
            <w:vAlign w:val="center"/>
          </w:tcPr>
          <w:p w14:paraId="29AE2E2D">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33.34</w:t>
            </w:r>
          </w:p>
        </w:tc>
        <w:tc>
          <w:tcPr>
            <w:tcW w:w="576" w:type="dxa"/>
            <w:noWrap w:val="0"/>
            <w:vAlign w:val="center"/>
          </w:tcPr>
          <w:p w14:paraId="12034352">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20.67</w:t>
            </w:r>
          </w:p>
        </w:tc>
        <w:tc>
          <w:tcPr>
            <w:tcW w:w="234" w:type="pct"/>
            <w:noWrap w:val="0"/>
            <w:vAlign w:val="center"/>
          </w:tcPr>
          <w:p w14:paraId="0AAAA96D">
            <w:pPr>
              <w:pStyle w:val="22"/>
              <w:bidi w:val="0"/>
              <w:rPr>
                <w:rFonts w:hint="eastAsia"/>
                <w:color w:val="auto"/>
              </w:rPr>
            </w:pPr>
            <w:r>
              <w:rPr>
                <w:rFonts w:hint="eastAsia"/>
                <w:color w:val="auto"/>
              </w:rPr>
              <w:t>1m</w:t>
            </w:r>
          </w:p>
        </w:tc>
      </w:tr>
      <w:tr w14:paraId="6423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31611615">
            <w:pPr>
              <w:pStyle w:val="22"/>
              <w:bidi w:val="0"/>
              <w:rPr>
                <w:rFonts w:hint="eastAsia" w:eastAsia="宋体"/>
                <w:color w:val="auto"/>
                <w:lang w:val="en-US" w:eastAsia="zh-CN"/>
              </w:rPr>
            </w:pPr>
            <w:r>
              <w:rPr>
                <w:rFonts w:hint="eastAsia"/>
                <w:color w:val="auto"/>
                <w:lang w:val="en-US" w:eastAsia="zh-CN"/>
              </w:rPr>
              <w:t>7</w:t>
            </w:r>
          </w:p>
        </w:tc>
        <w:tc>
          <w:tcPr>
            <w:tcW w:w="173" w:type="pct"/>
            <w:vMerge w:val="continue"/>
            <w:noWrap w:val="0"/>
            <w:vAlign w:val="center"/>
          </w:tcPr>
          <w:p w14:paraId="531CBC60">
            <w:pPr>
              <w:pStyle w:val="22"/>
              <w:bidi w:val="0"/>
              <w:rPr>
                <w:color w:val="auto"/>
              </w:rPr>
            </w:pPr>
          </w:p>
        </w:tc>
        <w:tc>
          <w:tcPr>
            <w:tcW w:w="839" w:type="dxa"/>
            <w:noWrap w:val="0"/>
            <w:vAlign w:val="center"/>
          </w:tcPr>
          <w:p w14:paraId="00A0E69B">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撕碎机</w:t>
            </w:r>
          </w:p>
        </w:tc>
        <w:tc>
          <w:tcPr>
            <w:tcW w:w="250" w:type="pct"/>
            <w:noWrap w:val="0"/>
            <w:vAlign w:val="center"/>
          </w:tcPr>
          <w:p w14:paraId="3D3C05A8">
            <w:pPr>
              <w:pStyle w:val="22"/>
              <w:bidi w:val="0"/>
              <w:rPr>
                <w:rFonts w:hint="eastAsia"/>
                <w:color w:val="auto"/>
                <w:lang w:val="en-US" w:eastAsia="zh-CN"/>
              </w:rPr>
            </w:pPr>
            <w:r>
              <w:rPr>
                <w:rFonts w:hint="eastAsia"/>
                <w:color w:val="auto"/>
                <w:lang w:val="en-US" w:eastAsia="zh-CN"/>
              </w:rPr>
              <w:t>85</w:t>
            </w:r>
          </w:p>
        </w:tc>
        <w:tc>
          <w:tcPr>
            <w:tcW w:w="161" w:type="pct"/>
            <w:noWrap w:val="0"/>
            <w:vAlign w:val="center"/>
          </w:tcPr>
          <w:p w14:paraId="57C0B742">
            <w:pPr>
              <w:pStyle w:val="22"/>
              <w:bidi w:val="0"/>
              <w:rPr>
                <w:rFonts w:hint="default"/>
                <w:color w:val="auto"/>
                <w:lang w:val="en-US" w:eastAsia="zh-CN"/>
              </w:rPr>
            </w:pPr>
            <w:r>
              <w:rPr>
                <w:rFonts w:hint="eastAsia"/>
                <w:color w:val="auto"/>
                <w:lang w:val="en-US" w:eastAsia="zh-CN"/>
              </w:rPr>
              <w:t>1</w:t>
            </w:r>
          </w:p>
        </w:tc>
        <w:tc>
          <w:tcPr>
            <w:tcW w:w="240" w:type="pct"/>
            <w:vMerge w:val="continue"/>
            <w:noWrap w:val="0"/>
            <w:vAlign w:val="center"/>
          </w:tcPr>
          <w:p w14:paraId="47046BC0">
            <w:pPr>
              <w:pStyle w:val="22"/>
              <w:bidi w:val="0"/>
              <w:rPr>
                <w:rFonts w:hint="eastAsia"/>
                <w:color w:val="auto"/>
              </w:rPr>
            </w:pPr>
          </w:p>
        </w:tc>
        <w:tc>
          <w:tcPr>
            <w:tcW w:w="569" w:type="dxa"/>
            <w:noWrap w:val="0"/>
            <w:vAlign w:val="center"/>
          </w:tcPr>
          <w:p w14:paraId="29AE0BAE">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25.38</w:t>
            </w:r>
          </w:p>
        </w:tc>
        <w:tc>
          <w:tcPr>
            <w:tcW w:w="579" w:type="dxa"/>
            <w:noWrap w:val="0"/>
            <w:vAlign w:val="center"/>
          </w:tcPr>
          <w:p w14:paraId="1141B787">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14.7</w:t>
            </w:r>
          </w:p>
        </w:tc>
        <w:tc>
          <w:tcPr>
            <w:tcW w:w="352" w:type="dxa"/>
            <w:noWrap w:val="0"/>
            <w:vAlign w:val="center"/>
          </w:tcPr>
          <w:p w14:paraId="53EAB769">
            <w:pPr>
              <w:pStyle w:val="22"/>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p>
        </w:tc>
        <w:tc>
          <w:tcPr>
            <w:tcW w:w="620" w:type="dxa"/>
            <w:noWrap w:val="0"/>
            <w:vAlign w:val="center"/>
          </w:tcPr>
          <w:p w14:paraId="2C528879">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28.00</w:t>
            </w:r>
          </w:p>
        </w:tc>
        <w:tc>
          <w:tcPr>
            <w:tcW w:w="590" w:type="dxa"/>
            <w:noWrap w:val="0"/>
            <w:vAlign w:val="center"/>
          </w:tcPr>
          <w:p w14:paraId="71A8AEFD">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11.96</w:t>
            </w:r>
          </w:p>
        </w:tc>
        <w:tc>
          <w:tcPr>
            <w:tcW w:w="631" w:type="dxa"/>
            <w:noWrap w:val="0"/>
            <w:vAlign w:val="center"/>
          </w:tcPr>
          <w:p w14:paraId="674B5FC3">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27.50</w:t>
            </w:r>
          </w:p>
        </w:tc>
        <w:tc>
          <w:tcPr>
            <w:tcW w:w="705" w:type="dxa"/>
            <w:noWrap w:val="0"/>
            <w:vAlign w:val="center"/>
          </w:tcPr>
          <w:p w14:paraId="4FFC9601">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81.47</w:t>
            </w:r>
          </w:p>
        </w:tc>
        <w:tc>
          <w:tcPr>
            <w:tcW w:w="646" w:type="dxa"/>
            <w:noWrap w:val="0"/>
            <w:vAlign w:val="center"/>
          </w:tcPr>
          <w:p w14:paraId="17CD0830">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56.06</w:t>
            </w:r>
          </w:p>
        </w:tc>
        <w:tc>
          <w:tcPr>
            <w:tcW w:w="608" w:type="dxa"/>
            <w:noWrap w:val="0"/>
            <w:vAlign w:val="center"/>
          </w:tcPr>
          <w:p w14:paraId="56B1C412">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63.45</w:t>
            </w:r>
          </w:p>
        </w:tc>
        <w:tc>
          <w:tcPr>
            <w:tcW w:w="568" w:type="dxa"/>
            <w:noWrap w:val="0"/>
            <w:vAlign w:val="center"/>
          </w:tcPr>
          <w:p w14:paraId="6CD80146">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56.21</w:t>
            </w:r>
          </w:p>
        </w:tc>
        <w:tc>
          <w:tcPr>
            <w:tcW w:w="605" w:type="dxa"/>
            <w:noWrap w:val="0"/>
            <w:vAlign w:val="center"/>
          </w:tcPr>
          <w:p w14:paraId="28592FF4">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46.78</w:t>
            </w:r>
          </w:p>
        </w:tc>
        <w:tc>
          <w:tcPr>
            <w:tcW w:w="140" w:type="pct"/>
            <w:vMerge w:val="continue"/>
            <w:noWrap w:val="0"/>
            <w:vAlign w:val="center"/>
          </w:tcPr>
          <w:p w14:paraId="2ABCB6D1">
            <w:pPr>
              <w:pStyle w:val="22"/>
              <w:bidi w:val="0"/>
              <w:rPr>
                <w:rFonts w:hint="eastAsia"/>
                <w:color w:val="auto"/>
              </w:rPr>
            </w:pPr>
          </w:p>
        </w:tc>
        <w:tc>
          <w:tcPr>
            <w:tcW w:w="226" w:type="pct"/>
            <w:noWrap w:val="0"/>
            <w:vAlign w:val="center"/>
          </w:tcPr>
          <w:p w14:paraId="1B2F0ACA">
            <w:pPr>
              <w:pStyle w:val="22"/>
              <w:bidi w:val="0"/>
              <w:rPr>
                <w:rFonts w:hint="eastAsia"/>
                <w:color w:val="auto"/>
              </w:rPr>
            </w:pPr>
            <w:r>
              <w:rPr>
                <w:rFonts w:hint="eastAsia"/>
                <w:color w:val="auto"/>
              </w:rPr>
              <w:t>2</w:t>
            </w:r>
            <w:r>
              <w:rPr>
                <w:rFonts w:hint="eastAsia"/>
                <w:color w:val="auto"/>
                <w:lang w:val="en-US" w:eastAsia="zh-CN"/>
              </w:rPr>
              <w:t>0</w:t>
            </w:r>
          </w:p>
        </w:tc>
        <w:tc>
          <w:tcPr>
            <w:tcW w:w="598" w:type="dxa"/>
            <w:noWrap w:val="0"/>
            <w:vAlign w:val="center"/>
          </w:tcPr>
          <w:p w14:paraId="3A7230A4">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29.75</w:t>
            </w:r>
          </w:p>
        </w:tc>
        <w:tc>
          <w:tcPr>
            <w:tcW w:w="554" w:type="dxa"/>
            <w:noWrap w:val="0"/>
            <w:vAlign w:val="center"/>
          </w:tcPr>
          <w:p w14:paraId="3EC553D6">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36.75</w:t>
            </w:r>
          </w:p>
        </w:tc>
        <w:tc>
          <w:tcPr>
            <w:tcW w:w="554" w:type="dxa"/>
            <w:noWrap w:val="0"/>
            <w:vAlign w:val="center"/>
          </w:tcPr>
          <w:p w14:paraId="05E69CEB">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29.90</w:t>
            </w:r>
          </w:p>
        </w:tc>
        <w:tc>
          <w:tcPr>
            <w:tcW w:w="576" w:type="dxa"/>
            <w:noWrap w:val="0"/>
            <w:vAlign w:val="center"/>
          </w:tcPr>
          <w:p w14:paraId="2FC3896B">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20.67</w:t>
            </w:r>
          </w:p>
        </w:tc>
        <w:tc>
          <w:tcPr>
            <w:tcW w:w="234" w:type="pct"/>
            <w:noWrap w:val="0"/>
            <w:vAlign w:val="center"/>
          </w:tcPr>
          <w:p w14:paraId="0E1D1BA1">
            <w:pPr>
              <w:pStyle w:val="22"/>
              <w:bidi w:val="0"/>
              <w:rPr>
                <w:rFonts w:hint="eastAsia"/>
                <w:color w:val="auto"/>
              </w:rPr>
            </w:pPr>
            <w:r>
              <w:rPr>
                <w:rFonts w:hint="eastAsia"/>
                <w:color w:val="auto"/>
              </w:rPr>
              <w:t>1m</w:t>
            </w:r>
          </w:p>
        </w:tc>
      </w:tr>
      <w:tr w14:paraId="6D35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01E39ACF">
            <w:pPr>
              <w:pStyle w:val="22"/>
              <w:bidi w:val="0"/>
              <w:rPr>
                <w:rFonts w:hint="default"/>
                <w:color w:val="auto"/>
                <w:lang w:val="en-US" w:eastAsia="zh-CN"/>
              </w:rPr>
            </w:pPr>
            <w:r>
              <w:rPr>
                <w:rFonts w:hint="eastAsia"/>
                <w:color w:val="auto"/>
                <w:lang w:val="en-US" w:eastAsia="zh-CN"/>
              </w:rPr>
              <w:t>8</w:t>
            </w:r>
          </w:p>
        </w:tc>
        <w:tc>
          <w:tcPr>
            <w:tcW w:w="173" w:type="pct"/>
            <w:vMerge w:val="continue"/>
            <w:noWrap w:val="0"/>
            <w:vAlign w:val="center"/>
          </w:tcPr>
          <w:p w14:paraId="7B566790">
            <w:pPr>
              <w:pStyle w:val="22"/>
              <w:bidi w:val="0"/>
              <w:rPr>
                <w:color w:val="auto"/>
              </w:rPr>
            </w:pPr>
          </w:p>
        </w:tc>
        <w:tc>
          <w:tcPr>
            <w:tcW w:w="300" w:type="pct"/>
            <w:noWrap w:val="0"/>
            <w:vAlign w:val="center"/>
          </w:tcPr>
          <w:p w14:paraId="2204A920">
            <w:pPr>
              <w:pStyle w:val="22"/>
              <w:bidi w:val="0"/>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空压机</w:t>
            </w:r>
          </w:p>
        </w:tc>
        <w:tc>
          <w:tcPr>
            <w:tcW w:w="250" w:type="pct"/>
            <w:noWrap w:val="0"/>
            <w:vAlign w:val="center"/>
          </w:tcPr>
          <w:p w14:paraId="00306FDD">
            <w:pPr>
              <w:pStyle w:val="22"/>
              <w:bidi w:val="0"/>
              <w:rPr>
                <w:rFonts w:hint="eastAsia"/>
                <w:color w:val="auto"/>
              </w:rPr>
            </w:pPr>
            <w:r>
              <w:rPr>
                <w:rFonts w:hint="eastAsia"/>
                <w:color w:val="auto"/>
              </w:rPr>
              <w:t>9</w:t>
            </w:r>
            <w:r>
              <w:rPr>
                <w:rFonts w:hint="eastAsia"/>
                <w:color w:val="auto"/>
                <w:lang w:val="en-US" w:eastAsia="zh-CN"/>
              </w:rPr>
              <w:t>0</w:t>
            </w:r>
          </w:p>
        </w:tc>
        <w:tc>
          <w:tcPr>
            <w:tcW w:w="161" w:type="pct"/>
            <w:noWrap w:val="0"/>
            <w:vAlign w:val="center"/>
          </w:tcPr>
          <w:p w14:paraId="50A03957">
            <w:pPr>
              <w:pStyle w:val="22"/>
              <w:bidi w:val="0"/>
              <w:rPr>
                <w:rFonts w:hint="eastAsia"/>
                <w:color w:val="auto"/>
                <w:lang w:val="en-US" w:eastAsia="zh-CN"/>
              </w:rPr>
            </w:pPr>
            <w:r>
              <w:rPr>
                <w:rFonts w:hint="eastAsia"/>
                <w:color w:val="auto"/>
                <w:lang w:val="en-US" w:eastAsia="zh-CN"/>
              </w:rPr>
              <w:t>1</w:t>
            </w:r>
          </w:p>
        </w:tc>
        <w:tc>
          <w:tcPr>
            <w:tcW w:w="240" w:type="pct"/>
            <w:vMerge w:val="continue"/>
            <w:noWrap w:val="0"/>
            <w:vAlign w:val="center"/>
          </w:tcPr>
          <w:p w14:paraId="236ACA9B">
            <w:pPr>
              <w:pStyle w:val="22"/>
              <w:bidi w:val="0"/>
              <w:rPr>
                <w:color w:val="auto"/>
              </w:rPr>
            </w:pPr>
          </w:p>
        </w:tc>
        <w:tc>
          <w:tcPr>
            <w:tcW w:w="203" w:type="pct"/>
            <w:noWrap w:val="0"/>
            <w:vAlign w:val="center"/>
          </w:tcPr>
          <w:p w14:paraId="5A0D6EDC">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21.36</w:t>
            </w:r>
          </w:p>
        </w:tc>
        <w:tc>
          <w:tcPr>
            <w:tcW w:w="207" w:type="pct"/>
            <w:noWrap w:val="0"/>
            <w:vAlign w:val="center"/>
          </w:tcPr>
          <w:p w14:paraId="1E75428D">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6.03</w:t>
            </w:r>
          </w:p>
        </w:tc>
        <w:tc>
          <w:tcPr>
            <w:tcW w:w="125" w:type="pct"/>
            <w:noWrap w:val="0"/>
            <w:vAlign w:val="center"/>
          </w:tcPr>
          <w:p w14:paraId="70183BD3">
            <w:pPr>
              <w:pStyle w:val="22"/>
              <w:bidi w:val="0"/>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w:t>
            </w:r>
          </w:p>
        </w:tc>
        <w:tc>
          <w:tcPr>
            <w:tcW w:w="221" w:type="pct"/>
            <w:noWrap w:val="0"/>
            <w:vAlign w:val="center"/>
          </w:tcPr>
          <w:p w14:paraId="0B49FBAA">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32.02</w:t>
            </w:r>
          </w:p>
        </w:tc>
        <w:tc>
          <w:tcPr>
            <w:tcW w:w="211" w:type="pct"/>
            <w:noWrap w:val="0"/>
            <w:vAlign w:val="center"/>
          </w:tcPr>
          <w:p w14:paraId="688C023E">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3.80</w:t>
            </w:r>
          </w:p>
        </w:tc>
        <w:tc>
          <w:tcPr>
            <w:tcW w:w="225" w:type="pct"/>
            <w:noWrap w:val="0"/>
            <w:vAlign w:val="center"/>
          </w:tcPr>
          <w:p w14:paraId="23483C2D">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22.49</w:t>
            </w:r>
          </w:p>
        </w:tc>
        <w:tc>
          <w:tcPr>
            <w:tcW w:w="252" w:type="pct"/>
            <w:noWrap w:val="0"/>
            <w:vAlign w:val="center"/>
          </w:tcPr>
          <w:p w14:paraId="32033FA1">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89.62</w:t>
            </w:r>
          </w:p>
        </w:tc>
        <w:tc>
          <w:tcPr>
            <w:tcW w:w="231" w:type="pct"/>
            <w:noWrap w:val="0"/>
            <w:vAlign w:val="center"/>
          </w:tcPr>
          <w:p w14:paraId="1AAF6D33">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59.89</w:t>
            </w:r>
          </w:p>
        </w:tc>
        <w:tc>
          <w:tcPr>
            <w:tcW w:w="217" w:type="pct"/>
            <w:noWrap w:val="0"/>
            <w:vAlign w:val="center"/>
          </w:tcPr>
          <w:p w14:paraId="4AFEBDCA">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78.40</w:t>
            </w:r>
          </w:p>
        </w:tc>
        <w:tc>
          <w:tcPr>
            <w:tcW w:w="203" w:type="pct"/>
            <w:noWrap w:val="0"/>
            <w:vAlign w:val="center"/>
          </w:tcPr>
          <w:p w14:paraId="0002E6AC">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62.96</w:t>
            </w:r>
          </w:p>
        </w:tc>
        <w:tc>
          <w:tcPr>
            <w:tcW w:w="216" w:type="pct"/>
            <w:noWrap w:val="0"/>
            <w:vAlign w:val="center"/>
          </w:tcPr>
          <w:p w14:paraId="0672E6FA">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50.95</w:t>
            </w:r>
          </w:p>
        </w:tc>
        <w:tc>
          <w:tcPr>
            <w:tcW w:w="140" w:type="pct"/>
            <w:vMerge w:val="continue"/>
            <w:noWrap w:val="0"/>
            <w:vAlign w:val="center"/>
          </w:tcPr>
          <w:p w14:paraId="426736F4">
            <w:pPr>
              <w:pStyle w:val="22"/>
              <w:bidi w:val="0"/>
              <w:rPr>
                <w:color w:val="auto"/>
                <w:lang w:val="en-US" w:eastAsia="zh-CN"/>
              </w:rPr>
            </w:pPr>
          </w:p>
        </w:tc>
        <w:tc>
          <w:tcPr>
            <w:tcW w:w="226" w:type="pct"/>
            <w:noWrap w:val="0"/>
            <w:vAlign w:val="center"/>
          </w:tcPr>
          <w:p w14:paraId="66FE9BD8">
            <w:pPr>
              <w:pStyle w:val="22"/>
              <w:bidi w:val="0"/>
              <w:rPr>
                <w:rFonts w:hint="eastAsia"/>
                <w:color w:val="auto"/>
                <w:lang w:val="en-US" w:eastAsia="zh-CN"/>
              </w:rPr>
            </w:pPr>
            <w:r>
              <w:rPr>
                <w:rFonts w:hint="eastAsia"/>
                <w:color w:val="auto"/>
              </w:rPr>
              <w:t>2</w:t>
            </w:r>
            <w:r>
              <w:rPr>
                <w:rFonts w:hint="eastAsia"/>
                <w:color w:val="auto"/>
                <w:lang w:val="en-US" w:eastAsia="zh-CN"/>
              </w:rPr>
              <w:t>0</w:t>
            </w:r>
          </w:p>
        </w:tc>
        <w:tc>
          <w:tcPr>
            <w:tcW w:w="213" w:type="pct"/>
            <w:noWrap w:val="0"/>
            <w:vAlign w:val="center"/>
          </w:tcPr>
          <w:p w14:paraId="3FD60A0D">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33.63</w:t>
            </w:r>
          </w:p>
        </w:tc>
        <w:tc>
          <w:tcPr>
            <w:tcW w:w="198" w:type="pct"/>
            <w:noWrap w:val="0"/>
            <w:vAlign w:val="center"/>
          </w:tcPr>
          <w:p w14:paraId="1EF5B18D">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50.37</w:t>
            </w:r>
          </w:p>
        </w:tc>
        <w:tc>
          <w:tcPr>
            <w:tcW w:w="198" w:type="pct"/>
            <w:noWrap w:val="0"/>
            <w:vAlign w:val="center"/>
          </w:tcPr>
          <w:p w14:paraId="4AC269B2">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36.58</w:t>
            </w:r>
          </w:p>
        </w:tc>
        <w:tc>
          <w:tcPr>
            <w:tcW w:w="205" w:type="pct"/>
            <w:noWrap w:val="0"/>
            <w:vAlign w:val="center"/>
          </w:tcPr>
          <w:p w14:paraId="3E7910C4">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24.86</w:t>
            </w:r>
          </w:p>
        </w:tc>
        <w:tc>
          <w:tcPr>
            <w:tcW w:w="234" w:type="pct"/>
            <w:noWrap w:val="0"/>
            <w:vAlign w:val="center"/>
          </w:tcPr>
          <w:p w14:paraId="6A75C2CB">
            <w:pPr>
              <w:pStyle w:val="22"/>
              <w:bidi w:val="0"/>
              <w:rPr>
                <w:rFonts w:hint="eastAsia"/>
                <w:color w:val="auto"/>
                <w:lang w:val="en-US" w:eastAsia="zh-CN"/>
              </w:rPr>
            </w:pPr>
            <w:r>
              <w:rPr>
                <w:rFonts w:hint="eastAsia"/>
                <w:color w:val="auto"/>
              </w:rPr>
              <w:t>1m</w:t>
            </w:r>
          </w:p>
        </w:tc>
      </w:tr>
      <w:tr w14:paraId="42AFB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000" w:type="pct"/>
            <w:gridSpan w:val="24"/>
            <w:noWrap w:val="0"/>
            <w:vAlign w:val="center"/>
          </w:tcPr>
          <w:p w14:paraId="1A0A3DD1">
            <w:pPr>
              <w:pStyle w:val="26"/>
              <w:bidi w:val="0"/>
              <w:rPr>
                <w:rFonts w:hint="eastAsia"/>
                <w:color w:val="auto"/>
              </w:rPr>
            </w:pPr>
            <w:r>
              <w:rPr>
                <w:rFonts w:hint="eastAsia"/>
                <w:color w:val="auto"/>
              </w:rPr>
              <w:t>注：</w:t>
            </w:r>
            <w:r>
              <w:rPr>
                <w:rFonts w:hint="eastAsia"/>
                <w:color w:val="auto"/>
                <w:lang w:val="en-US" w:eastAsia="zh-CN"/>
              </w:rPr>
              <w:t>空压机均位于车间内设置独立操作间或隔声房内。</w:t>
            </w:r>
          </w:p>
        </w:tc>
      </w:tr>
    </w:tbl>
    <w:p w14:paraId="0DC89293">
      <w:pPr>
        <w:pStyle w:val="21"/>
        <w:bidi w:val="0"/>
        <w:rPr>
          <w:color w:val="auto"/>
        </w:rPr>
      </w:pPr>
      <w:r>
        <w:rPr>
          <w:rFonts w:hint="eastAsia"/>
          <w:color w:val="auto"/>
          <w:lang w:val="en-GB"/>
        </w:rPr>
        <w:t>表4</w:t>
      </w:r>
      <w:r>
        <w:rPr>
          <w:rFonts w:hint="eastAsia"/>
          <w:color w:val="auto"/>
          <w:lang w:val="en-US" w:eastAsia="zh-CN"/>
        </w:rPr>
        <w:t xml:space="preserve">-12  </w:t>
      </w:r>
      <w:r>
        <w:rPr>
          <w:rFonts w:hint="eastAsia"/>
          <w:color w:val="auto"/>
          <w:lang w:val="en-GB"/>
        </w:rPr>
        <w:t>设备</w:t>
      </w:r>
      <w:r>
        <w:rPr>
          <w:rFonts w:hint="eastAsia"/>
          <w:color w:val="auto"/>
        </w:rPr>
        <w:t>噪声源强调查清单（室外声源）</w:t>
      </w:r>
    </w:p>
    <w:tbl>
      <w:tblPr>
        <w:tblStyle w:val="12"/>
        <w:tblW w:w="52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70"/>
        <w:gridCol w:w="2801"/>
        <w:gridCol w:w="1555"/>
        <w:gridCol w:w="1471"/>
        <w:gridCol w:w="1756"/>
        <w:gridCol w:w="2142"/>
        <w:gridCol w:w="2664"/>
        <w:gridCol w:w="902"/>
      </w:tblGrid>
      <w:tr w14:paraId="02B41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40" w:type="pct"/>
            <w:vMerge w:val="restart"/>
            <w:noWrap/>
            <w:vAlign w:val="center"/>
          </w:tcPr>
          <w:p w14:paraId="64E7A42F">
            <w:pPr>
              <w:pStyle w:val="22"/>
              <w:bidi w:val="0"/>
              <w:rPr>
                <w:rFonts w:hint="default"/>
                <w:b/>
                <w:bCs/>
                <w:color w:val="auto"/>
              </w:rPr>
            </w:pPr>
            <w:r>
              <w:rPr>
                <w:b/>
                <w:bCs/>
                <w:color w:val="auto"/>
              </w:rPr>
              <w:t>序号</w:t>
            </w:r>
          </w:p>
        </w:tc>
        <w:tc>
          <w:tcPr>
            <w:tcW w:w="1003" w:type="pct"/>
            <w:vMerge w:val="restart"/>
            <w:noWrap/>
            <w:vAlign w:val="center"/>
          </w:tcPr>
          <w:p w14:paraId="3FFD0544">
            <w:pPr>
              <w:pStyle w:val="22"/>
              <w:bidi w:val="0"/>
              <w:rPr>
                <w:rFonts w:hint="default"/>
                <w:b/>
                <w:bCs/>
                <w:color w:val="auto"/>
              </w:rPr>
            </w:pPr>
            <w:r>
              <w:rPr>
                <w:b/>
                <w:bCs/>
                <w:color w:val="auto"/>
              </w:rPr>
              <w:t>声源名称</w:t>
            </w:r>
          </w:p>
        </w:tc>
        <w:tc>
          <w:tcPr>
            <w:tcW w:w="1713" w:type="pct"/>
            <w:gridSpan w:val="3"/>
            <w:noWrap/>
            <w:vAlign w:val="center"/>
          </w:tcPr>
          <w:p w14:paraId="457A36C7">
            <w:pPr>
              <w:pStyle w:val="22"/>
              <w:bidi w:val="0"/>
              <w:rPr>
                <w:rFonts w:hint="default"/>
                <w:b/>
                <w:bCs/>
                <w:color w:val="auto"/>
              </w:rPr>
            </w:pPr>
            <w:r>
              <w:rPr>
                <w:b/>
                <w:bCs/>
                <w:color w:val="auto"/>
              </w:rPr>
              <w:t>空间相对位置/m</w:t>
            </w:r>
          </w:p>
        </w:tc>
        <w:tc>
          <w:tcPr>
            <w:tcW w:w="767" w:type="pct"/>
            <w:noWrap/>
            <w:vAlign w:val="center"/>
          </w:tcPr>
          <w:p w14:paraId="03A3B87F">
            <w:pPr>
              <w:pStyle w:val="22"/>
              <w:bidi w:val="0"/>
              <w:rPr>
                <w:rFonts w:hint="default"/>
                <w:b/>
                <w:bCs/>
                <w:color w:val="auto"/>
              </w:rPr>
            </w:pPr>
            <w:r>
              <w:rPr>
                <w:b/>
                <w:bCs/>
                <w:color w:val="auto"/>
              </w:rPr>
              <w:t>声源源强</w:t>
            </w:r>
          </w:p>
        </w:tc>
        <w:tc>
          <w:tcPr>
            <w:tcW w:w="954" w:type="pct"/>
            <w:vMerge w:val="restart"/>
            <w:noWrap/>
            <w:vAlign w:val="center"/>
          </w:tcPr>
          <w:p w14:paraId="3DE4BC28">
            <w:pPr>
              <w:pStyle w:val="22"/>
              <w:bidi w:val="0"/>
              <w:rPr>
                <w:rFonts w:hint="default"/>
                <w:b/>
                <w:bCs/>
                <w:color w:val="auto"/>
              </w:rPr>
            </w:pPr>
            <w:r>
              <w:rPr>
                <w:b/>
                <w:bCs/>
                <w:color w:val="auto"/>
              </w:rPr>
              <w:t>声源控制措施</w:t>
            </w:r>
          </w:p>
        </w:tc>
        <w:tc>
          <w:tcPr>
            <w:tcW w:w="321" w:type="pct"/>
            <w:vMerge w:val="restart"/>
            <w:noWrap/>
            <w:vAlign w:val="center"/>
          </w:tcPr>
          <w:p w14:paraId="6266E91E">
            <w:pPr>
              <w:pStyle w:val="22"/>
              <w:bidi w:val="0"/>
              <w:rPr>
                <w:rFonts w:hint="default"/>
                <w:b/>
                <w:bCs/>
                <w:color w:val="auto"/>
              </w:rPr>
            </w:pPr>
            <w:r>
              <w:rPr>
                <w:b/>
                <w:bCs/>
                <w:color w:val="auto"/>
              </w:rPr>
              <w:t>运行</w:t>
            </w:r>
          </w:p>
          <w:p w14:paraId="6B282CC3">
            <w:pPr>
              <w:pStyle w:val="22"/>
              <w:bidi w:val="0"/>
              <w:rPr>
                <w:rFonts w:hint="default"/>
                <w:b/>
                <w:bCs/>
                <w:color w:val="auto"/>
              </w:rPr>
            </w:pPr>
            <w:r>
              <w:rPr>
                <w:b/>
                <w:bCs/>
                <w:color w:val="auto"/>
              </w:rPr>
              <w:t>时段</w:t>
            </w:r>
          </w:p>
        </w:tc>
      </w:tr>
      <w:tr w14:paraId="415CC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40" w:type="pct"/>
            <w:vMerge w:val="continue"/>
            <w:noWrap/>
            <w:vAlign w:val="center"/>
          </w:tcPr>
          <w:p w14:paraId="7732945E">
            <w:pPr>
              <w:pStyle w:val="22"/>
              <w:bidi w:val="0"/>
              <w:rPr>
                <w:rFonts w:hint="default"/>
                <w:color w:val="auto"/>
              </w:rPr>
            </w:pPr>
          </w:p>
        </w:tc>
        <w:tc>
          <w:tcPr>
            <w:tcW w:w="1003" w:type="pct"/>
            <w:vMerge w:val="continue"/>
            <w:noWrap/>
            <w:vAlign w:val="center"/>
          </w:tcPr>
          <w:p w14:paraId="5607D2E0">
            <w:pPr>
              <w:pStyle w:val="22"/>
              <w:bidi w:val="0"/>
              <w:rPr>
                <w:rFonts w:hint="default"/>
                <w:color w:val="auto"/>
              </w:rPr>
            </w:pPr>
          </w:p>
        </w:tc>
        <w:tc>
          <w:tcPr>
            <w:tcW w:w="557" w:type="pct"/>
            <w:noWrap/>
            <w:vAlign w:val="center"/>
          </w:tcPr>
          <w:p w14:paraId="29599E5C">
            <w:pPr>
              <w:pStyle w:val="22"/>
              <w:bidi w:val="0"/>
              <w:rPr>
                <w:rFonts w:hint="default"/>
                <w:b/>
                <w:bCs/>
                <w:color w:val="auto"/>
              </w:rPr>
            </w:pPr>
            <w:r>
              <w:rPr>
                <w:b/>
                <w:bCs/>
                <w:color w:val="auto"/>
              </w:rPr>
              <w:t>X</w:t>
            </w:r>
          </w:p>
        </w:tc>
        <w:tc>
          <w:tcPr>
            <w:tcW w:w="527" w:type="pct"/>
            <w:noWrap/>
            <w:vAlign w:val="center"/>
          </w:tcPr>
          <w:p w14:paraId="2BA71D90">
            <w:pPr>
              <w:pStyle w:val="22"/>
              <w:bidi w:val="0"/>
              <w:rPr>
                <w:rFonts w:hint="default"/>
                <w:b/>
                <w:bCs/>
                <w:color w:val="auto"/>
              </w:rPr>
            </w:pPr>
            <w:r>
              <w:rPr>
                <w:b/>
                <w:bCs/>
                <w:color w:val="auto"/>
              </w:rPr>
              <w:t>Y</w:t>
            </w:r>
          </w:p>
        </w:tc>
        <w:tc>
          <w:tcPr>
            <w:tcW w:w="628" w:type="pct"/>
            <w:noWrap/>
            <w:vAlign w:val="center"/>
          </w:tcPr>
          <w:p w14:paraId="5812A7A9">
            <w:pPr>
              <w:pStyle w:val="22"/>
              <w:bidi w:val="0"/>
              <w:rPr>
                <w:rFonts w:hint="default"/>
                <w:b/>
                <w:bCs/>
                <w:color w:val="auto"/>
              </w:rPr>
            </w:pPr>
            <w:r>
              <w:rPr>
                <w:b/>
                <w:bCs/>
                <w:color w:val="auto"/>
              </w:rPr>
              <w:t>Z</w:t>
            </w:r>
          </w:p>
        </w:tc>
        <w:tc>
          <w:tcPr>
            <w:tcW w:w="767" w:type="pct"/>
            <w:noWrap/>
            <w:vAlign w:val="center"/>
          </w:tcPr>
          <w:p w14:paraId="048FC276">
            <w:pPr>
              <w:pStyle w:val="22"/>
              <w:bidi w:val="0"/>
              <w:rPr>
                <w:rFonts w:hint="default"/>
                <w:b/>
                <w:bCs/>
                <w:color w:val="auto"/>
              </w:rPr>
            </w:pPr>
            <w:r>
              <w:rPr>
                <w:b/>
                <w:bCs/>
                <w:color w:val="auto"/>
              </w:rPr>
              <w:t>声功率级/dB(A)</w:t>
            </w:r>
          </w:p>
        </w:tc>
        <w:tc>
          <w:tcPr>
            <w:tcW w:w="954" w:type="pct"/>
            <w:vMerge w:val="continue"/>
            <w:noWrap/>
            <w:vAlign w:val="center"/>
          </w:tcPr>
          <w:p w14:paraId="236A2829">
            <w:pPr>
              <w:pStyle w:val="22"/>
              <w:bidi w:val="0"/>
              <w:rPr>
                <w:rFonts w:hint="default"/>
                <w:color w:val="auto"/>
              </w:rPr>
            </w:pPr>
          </w:p>
        </w:tc>
        <w:tc>
          <w:tcPr>
            <w:tcW w:w="321" w:type="pct"/>
            <w:vMerge w:val="continue"/>
            <w:noWrap/>
            <w:vAlign w:val="center"/>
          </w:tcPr>
          <w:p w14:paraId="4B274BA9">
            <w:pPr>
              <w:pStyle w:val="22"/>
              <w:bidi w:val="0"/>
              <w:rPr>
                <w:rFonts w:hint="default"/>
                <w:color w:val="auto"/>
              </w:rPr>
            </w:pPr>
          </w:p>
        </w:tc>
      </w:tr>
      <w:tr w14:paraId="4680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4" w:hRule="atLeast"/>
          <w:jc w:val="center"/>
        </w:trPr>
        <w:tc>
          <w:tcPr>
            <w:tcW w:w="240" w:type="pct"/>
            <w:noWrap/>
            <w:vAlign w:val="center"/>
          </w:tcPr>
          <w:p w14:paraId="67CCDA27">
            <w:pPr>
              <w:pStyle w:val="22"/>
              <w:bidi w:val="0"/>
              <w:rPr>
                <w:rFonts w:hint="default"/>
                <w:color w:val="auto"/>
              </w:rPr>
            </w:pPr>
            <w:r>
              <w:rPr>
                <w:color w:val="auto"/>
              </w:rPr>
              <w:t>1</w:t>
            </w:r>
          </w:p>
        </w:tc>
        <w:tc>
          <w:tcPr>
            <w:tcW w:w="1003" w:type="pct"/>
            <w:noWrap/>
            <w:vAlign w:val="center"/>
          </w:tcPr>
          <w:p w14:paraId="11D6F2EC">
            <w:pPr>
              <w:pStyle w:val="22"/>
              <w:bidi w:val="0"/>
              <w:rPr>
                <w:rFonts w:hint="default"/>
                <w:color w:val="auto"/>
              </w:rPr>
            </w:pPr>
            <w:r>
              <w:rPr>
                <w:color w:val="auto"/>
              </w:rPr>
              <w:t>风机</w:t>
            </w:r>
          </w:p>
        </w:tc>
        <w:tc>
          <w:tcPr>
            <w:tcW w:w="1555" w:type="dxa"/>
            <w:noWrap/>
            <w:vAlign w:val="center"/>
          </w:tcPr>
          <w:p w14:paraId="036EC65E">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-3.89</w:t>
            </w:r>
          </w:p>
        </w:tc>
        <w:tc>
          <w:tcPr>
            <w:tcW w:w="1471" w:type="dxa"/>
            <w:noWrap/>
            <w:vAlign w:val="center"/>
          </w:tcPr>
          <w:p w14:paraId="716126E3">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18.47</w:t>
            </w:r>
          </w:p>
        </w:tc>
        <w:tc>
          <w:tcPr>
            <w:tcW w:w="1756" w:type="dxa"/>
            <w:noWrap/>
            <w:vAlign w:val="center"/>
          </w:tcPr>
          <w:p w14:paraId="2F6BC6B9">
            <w:pPr>
              <w:pStyle w:val="22"/>
              <w:bidi w:val="0"/>
              <w:rPr>
                <w:rFonts w:hint="default" w:ascii="Times New Roman" w:hAnsi="Times New Roman" w:eastAsia="宋体" w:cs="Times New Roman"/>
                <w:color w:val="auto"/>
                <w:lang w:val="en-US" w:eastAsia="zh-CN"/>
              </w:rPr>
            </w:pPr>
            <w:r>
              <w:rPr>
                <w:rFonts w:hint="eastAsia"/>
                <w:color w:val="auto"/>
                <w:lang w:val="en-US" w:eastAsia="zh-CN"/>
              </w:rPr>
              <w:t>1.5</w:t>
            </w:r>
          </w:p>
        </w:tc>
        <w:tc>
          <w:tcPr>
            <w:tcW w:w="767" w:type="pct"/>
            <w:noWrap/>
            <w:vAlign w:val="center"/>
          </w:tcPr>
          <w:p w14:paraId="7ADB6EE4">
            <w:pPr>
              <w:pStyle w:val="22"/>
              <w:bidi w:val="0"/>
              <w:rPr>
                <w:rFonts w:hint="default"/>
                <w:color w:val="auto"/>
                <w:lang w:val="en-US" w:eastAsia="zh-CN"/>
              </w:rPr>
            </w:pPr>
            <w:r>
              <w:rPr>
                <w:rFonts w:hint="eastAsia"/>
                <w:color w:val="auto"/>
                <w:lang w:val="en-US" w:eastAsia="zh-CN"/>
              </w:rPr>
              <w:t>80</w:t>
            </w:r>
          </w:p>
        </w:tc>
        <w:tc>
          <w:tcPr>
            <w:tcW w:w="954" w:type="pct"/>
            <w:vMerge w:val="restart"/>
            <w:noWrap/>
            <w:vAlign w:val="center"/>
          </w:tcPr>
          <w:p w14:paraId="6ACC60F5">
            <w:pPr>
              <w:pStyle w:val="22"/>
              <w:bidi w:val="0"/>
              <w:rPr>
                <w:rFonts w:hint="default"/>
                <w:color w:val="auto"/>
                <w:lang w:val="en-US" w:eastAsia="zh-CN"/>
              </w:rPr>
            </w:pPr>
            <w:r>
              <w:rPr>
                <w:color w:val="auto"/>
              </w:rPr>
              <w:t>设备基础安装减震垫</w:t>
            </w:r>
            <w:r>
              <w:rPr>
                <w:rFonts w:hint="eastAsia"/>
                <w:color w:val="auto"/>
                <w:lang w:eastAsia="zh-CN"/>
              </w:rPr>
              <w:t>、</w:t>
            </w:r>
            <w:r>
              <w:rPr>
                <w:rFonts w:hint="eastAsia"/>
                <w:color w:val="auto"/>
                <w:lang w:val="en-US" w:eastAsia="zh-CN"/>
              </w:rPr>
              <w:t>隔声</w:t>
            </w:r>
          </w:p>
        </w:tc>
        <w:tc>
          <w:tcPr>
            <w:tcW w:w="321" w:type="pct"/>
            <w:vMerge w:val="restart"/>
            <w:noWrap/>
            <w:vAlign w:val="center"/>
          </w:tcPr>
          <w:p w14:paraId="0EDE1108">
            <w:pPr>
              <w:pStyle w:val="22"/>
              <w:bidi w:val="0"/>
              <w:rPr>
                <w:rFonts w:hint="default"/>
                <w:color w:val="auto"/>
                <w:lang w:val="en-US" w:eastAsia="zh-CN"/>
              </w:rPr>
            </w:pPr>
            <w:r>
              <w:rPr>
                <w:rFonts w:hint="eastAsia"/>
                <w:color w:val="auto"/>
                <w:lang w:val="en-US" w:eastAsia="zh-CN"/>
              </w:rPr>
              <w:t>昼间</w:t>
            </w:r>
          </w:p>
        </w:tc>
      </w:tr>
      <w:tr w14:paraId="718A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9" w:hRule="atLeast"/>
          <w:jc w:val="center"/>
        </w:trPr>
        <w:tc>
          <w:tcPr>
            <w:tcW w:w="240" w:type="pct"/>
            <w:noWrap/>
            <w:vAlign w:val="center"/>
          </w:tcPr>
          <w:p w14:paraId="2A6F912E">
            <w:pPr>
              <w:pStyle w:val="22"/>
              <w:bidi w:val="0"/>
              <w:rPr>
                <w:rFonts w:hint="eastAsia" w:eastAsia="宋体"/>
                <w:color w:val="auto"/>
                <w:lang w:val="en-US" w:eastAsia="zh-CN"/>
              </w:rPr>
            </w:pPr>
            <w:r>
              <w:rPr>
                <w:rFonts w:hint="eastAsia"/>
                <w:color w:val="auto"/>
                <w:lang w:val="en-US" w:eastAsia="zh-CN"/>
              </w:rPr>
              <w:t>2</w:t>
            </w:r>
          </w:p>
        </w:tc>
        <w:tc>
          <w:tcPr>
            <w:tcW w:w="1003" w:type="pct"/>
            <w:noWrap/>
            <w:vAlign w:val="center"/>
          </w:tcPr>
          <w:p w14:paraId="45833C6D">
            <w:pPr>
              <w:pStyle w:val="22"/>
              <w:bidi w:val="0"/>
              <w:rPr>
                <w:color w:val="auto"/>
              </w:rPr>
            </w:pPr>
            <w:r>
              <w:rPr>
                <w:color w:val="auto"/>
              </w:rPr>
              <w:t>风机</w:t>
            </w:r>
          </w:p>
        </w:tc>
        <w:tc>
          <w:tcPr>
            <w:tcW w:w="1555" w:type="dxa"/>
            <w:noWrap/>
            <w:vAlign w:val="center"/>
          </w:tcPr>
          <w:p w14:paraId="43E6111E">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27.01</w:t>
            </w:r>
          </w:p>
        </w:tc>
        <w:tc>
          <w:tcPr>
            <w:tcW w:w="1471" w:type="dxa"/>
            <w:noWrap/>
            <w:vAlign w:val="center"/>
          </w:tcPr>
          <w:p w14:paraId="7DB70884">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1.63</w:t>
            </w:r>
          </w:p>
        </w:tc>
        <w:tc>
          <w:tcPr>
            <w:tcW w:w="1756" w:type="dxa"/>
            <w:noWrap/>
            <w:vAlign w:val="center"/>
          </w:tcPr>
          <w:p w14:paraId="2D9EFE37">
            <w:pPr>
              <w:pStyle w:val="22"/>
              <w:bidi w:val="0"/>
              <w:rPr>
                <w:rFonts w:hint="default" w:ascii="Times New Roman" w:hAnsi="Times New Roman" w:eastAsia="宋体" w:cs="Times New Roman"/>
                <w:color w:val="auto"/>
                <w:lang w:val="en-US" w:eastAsia="zh-CN"/>
              </w:rPr>
            </w:pPr>
            <w:r>
              <w:rPr>
                <w:rFonts w:hint="eastAsia"/>
                <w:color w:val="auto"/>
                <w:lang w:val="en-US" w:eastAsia="zh-CN"/>
              </w:rPr>
              <w:t>1.5</w:t>
            </w:r>
          </w:p>
        </w:tc>
        <w:tc>
          <w:tcPr>
            <w:tcW w:w="767" w:type="pct"/>
            <w:noWrap/>
            <w:vAlign w:val="center"/>
          </w:tcPr>
          <w:p w14:paraId="3404DA13">
            <w:pPr>
              <w:pStyle w:val="22"/>
              <w:bidi w:val="0"/>
              <w:rPr>
                <w:rFonts w:hint="default"/>
                <w:color w:val="auto"/>
                <w:lang w:val="en-US" w:eastAsia="zh-CN"/>
              </w:rPr>
            </w:pPr>
            <w:r>
              <w:rPr>
                <w:rFonts w:hint="eastAsia"/>
                <w:color w:val="auto"/>
                <w:lang w:val="en-US" w:eastAsia="zh-CN"/>
              </w:rPr>
              <w:t>80</w:t>
            </w:r>
          </w:p>
        </w:tc>
        <w:tc>
          <w:tcPr>
            <w:tcW w:w="954" w:type="pct"/>
            <w:vMerge w:val="continue"/>
            <w:noWrap/>
            <w:vAlign w:val="center"/>
          </w:tcPr>
          <w:p w14:paraId="123535AC">
            <w:pPr>
              <w:pStyle w:val="22"/>
              <w:bidi w:val="0"/>
              <w:rPr>
                <w:color w:val="auto"/>
              </w:rPr>
            </w:pPr>
          </w:p>
        </w:tc>
        <w:tc>
          <w:tcPr>
            <w:tcW w:w="321" w:type="pct"/>
            <w:vMerge w:val="continue"/>
            <w:noWrap/>
            <w:vAlign w:val="center"/>
          </w:tcPr>
          <w:p w14:paraId="489D706F">
            <w:pPr>
              <w:pStyle w:val="22"/>
              <w:bidi w:val="0"/>
              <w:rPr>
                <w:rFonts w:hint="eastAsia"/>
                <w:color w:val="auto"/>
                <w:lang w:val="en-US" w:eastAsia="zh-CN"/>
              </w:rPr>
            </w:pPr>
          </w:p>
        </w:tc>
      </w:tr>
      <w:tr w14:paraId="4AF39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4" w:hRule="atLeast"/>
          <w:jc w:val="center"/>
        </w:trPr>
        <w:tc>
          <w:tcPr>
            <w:tcW w:w="240" w:type="pct"/>
            <w:noWrap/>
            <w:vAlign w:val="center"/>
          </w:tcPr>
          <w:p w14:paraId="5476F24B">
            <w:pPr>
              <w:pStyle w:val="22"/>
              <w:bidi w:val="0"/>
              <w:rPr>
                <w:rFonts w:hint="eastAsia"/>
                <w:color w:val="auto"/>
                <w:lang w:val="en-US" w:eastAsia="zh-CN"/>
              </w:rPr>
            </w:pPr>
            <w:r>
              <w:rPr>
                <w:rFonts w:hint="eastAsia"/>
                <w:color w:val="auto"/>
                <w:lang w:val="en-US" w:eastAsia="zh-CN"/>
              </w:rPr>
              <w:t>3</w:t>
            </w:r>
          </w:p>
        </w:tc>
        <w:tc>
          <w:tcPr>
            <w:tcW w:w="1003" w:type="pct"/>
            <w:noWrap/>
            <w:vAlign w:val="center"/>
          </w:tcPr>
          <w:p w14:paraId="744EC0C1">
            <w:pPr>
              <w:pStyle w:val="22"/>
              <w:bidi w:val="0"/>
              <w:rPr>
                <w:rFonts w:hint="default"/>
                <w:color w:val="auto"/>
                <w:lang w:val="en-US" w:eastAsia="zh-CN"/>
              </w:rPr>
            </w:pPr>
            <w:r>
              <w:rPr>
                <w:rFonts w:hint="eastAsia"/>
                <w:color w:val="auto"/>
                <w:lang w:val="en-US" w:eastAsia="zh-CN"/>
              </w:rPr>
              <w:t>冷却塔</w:t>
            </w:r>
          </w:p>
        </w:tc>
        <w:tc>
          <w:tcPr>
            <w:tcW w:w="1555" w:type="dxa"/>
            <w:noWrap/>
            <w:vAlign w:val="center"/>
          </w:tcPr>
          <w:p w14:paraId="45413101">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-6.03</w:t>
            </w:r>
          </w:p>
        </w:tc>
        <w:tc>
          <w:tcPr>
            <w:tcW w:w="1471" w:type="dxa"/>
            <w:noWrap/>
            <w:vAlign w:val="center"/>
          </w:tcPr>
          <w:p w14:paraId="692113EC">
            <w:pPr>
              <w:pStyle w:val="2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28.39</w:t>
            </w:r>
          </w:p>
        </w:tc>
        <w:tc>
          <w:tcPr>
            <w:tcW w:w="628" w:type="pct"/>
            <w:noWrap/>
            <w:vAlign w:val="center"/>
          </w:tcPr>
          <w:p w14:paraId="05C5E5FE">
            <w:pPr>
              <w:pStyle w:val="22"/>
              <w:bidi w:val="0"/>
              <w:rPr>
                <w:rFonts w:hint="default"/>
                <w:color w:val="auto"/>
                <w:lang w:val="en-US" w:eastAsia="zh-CN"/>
              </w:rPr>
            </w:pPr>
            <w:r>
              <w:rPr>
                <w:rFonts w:hint="eastAsia"/>
                <w:color w:val="auto"/>
                <w:lang w:val="en-US" w:eastAsia="zh-CN"/>
              </w:rPr>
              <w:t>1.5</w:t>
            </w:r>
          </w:p>
        </w:tc>
        <w:tc>
          <w:tcPr>
            <w:tcW w:w="767" w:type="pct"/>
            <w:noWrap/>
            <w:vAlign w:val="center"/>
          </w:tcPr>
          <w:p w14:paraId="149C5ABD">
            <w:pPr>
              <w:pStyle w:val="22"/>
              <w:bidi w:val="0"/>
              <w:rPr>
                <w:rFonts w:hint="default"/>
                <w:color w:val="auto"/>
                <w:lang w:val="en-US" w:eastAsia="zh-CN"/>
              </w:rPr>
            </w:pPr>
            <w:r>
              <w:rPr>
                <w:rFonts w:hint="eastAsia"/>
                <w:color w:val="auto"/>
                <w:lang w:val="en-US" w:eastAsia="zh-CN"/>
              </w:rPr>
              <w:t>80</w:t>
            </w:r>
          </w:p>
        </w:tc>
        <w:tc>
          <w:tcPr>
            <w:tcW w:w="954" w:type="pct"/>
            <w:vMerge w:val="continue"/>
            <w:noWrap/>
            <w:vAlign w:val="center"/>
          </w:tcPr>
          <w:p w14:paraId="1D8DC43E">
            <w:pPr>
              <w:pStyle w:val="22"/>
              <w:bidi w:val="0"/>
              <w:rPr>
                <w:color w:val="auto"/>
              </w:rPr>
            </w:pPr>
          </w:p>
        </w:tc>
        <w:tc>
          <w:tcPr>
            <w:tcW w:w="321" w:type="pct"/>
            <w:vMerge w:val="continue"/>
            <w:noWrap/>
            <w:vAlign w:val="center"/>
          </w:tcPr>
          <w:p w14:paraId="15D9F75E">
            <w:pPr>
              <w:pStyle w:val="22"/>
              <w:bidi w:val="0"/>
              <w:rPr>
                <w:rFonts w:hint="eastAsia"/>
                <w:color w:val="auto"/>
                <w:lang w:val="en-US" w:eastAsia="zh-CN"/>
              </w:rPr>
            </w:pPr>
          </w:p>
        </w:tc>
      </w:tr>
      <w:tr w14:paraId="537DC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000" w:type="pct"/>
            <w:gridSpan w:val="8"/>
            <w:noWrap/>
            <w:vAlign w:val="center"/>
          </w:tcPr>
          <w:p w14:paraId="1206B814">
            <w:pPr>
              <w:pStyle w:val="26"/>
              <w:bidi w:val="0"/>
              <w:rPr>
                <w:rFonts w:hint="eastAsia"/>
                <w:color w:val="0000FF"/>
                <w:lang w:val="en-US" w:eastAsia="zh-CN"/>
              </w:rPr>
            </w:pPr>
            <w:r>
              <w:rPr>
                <w:rFonts w:hint="eastAsia"/>
                <w:color w:val="auto"/>
                <w:lang w:val="en-US" w:eastAsia="zh-CN"/>
              </w:rPr>
              <w:t>备注：①厂房西南点为原点</w:t>
            </w:r>
          </w:p>
        </w:tc>
      </w:tr>
    </w:tbl>
    <w:p w14:paraId="77EFEB15">
      <w:pPr>
        <w:bidi w:val="0"/>
        <w:rPr>
          <w:rFonts w:hint="default"/>
          <w:color w:val="0000FF"/>
          <w:lang w:val="en-US" w:eastAsia="zh-CN"/>
        </w:rPr>
        <w:sectPr>
          <w:pgSz w:w="16840" w:h="11907" w:orient="landscape"/>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tbl>
      <w:tblPr>
        <w:tblStyle w:val="12"/>
        <w:tblW w:w="543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9"/>
        <w:gridCol w:w="8557"/>
      </w:tblGrid>
      <w:tr w14:paraId="0201B0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7" w:type="pct"/>
            <w:noWrap w:val="0"/>
            <w:tcMar>
              <w:left w:w="28" w:type="dxa"/>
              <w:right w:w="28" w:type="dxa"/>
            </w:tcMar>
            <w:vAlign w:val="center"/>
          </w:tcPr>
          <w:p w14:paraId="7C1DE4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FF"/>
              </w:rPr>
            </w:pPr>
            <w:r>
              <w:rPr>
                <w:color w:val="auto"/>
              </w:rPr>
              <w:t>运营期环境影响和保护措施</w:t>
            </w:r>
          </w:p>
        </w:tc>
        <w:tc>
          <w:tcPr>
            <w:tcW w:w="4662" w:type="pct"/>
            <w:noWrap w:val="0"/>
            <w:vAlign w:val="center"/>
          </w:tcPr>
          <w:p w14:paraId="125C0255">
            <w:pPr>
              <w:bidi w:val="0"/>
              <w:rPr>
                <w:b/>
                <w:bCs/>
                <w:color w:val="auto"/>
                <w:lang w:val="en-US" w:eastAsia="zh-CN"/>
              </w:rPr>
            </w:pPr>
            <w:r>
              <w:rPr>
                <w:b/>
                <w:bCs/>
                <w:color w:val="auto"/>
              </w:rPr>
              <w:t>（2）</w:t>
            </w:r>
            <w:r>
              <w:rPr>
                <w:rFonts w:hint="eastAsia"/>
                <w:b/>
                <w:bCs/>
                <w:color w:val="auto"/>
                <w:lang w:val="en-US" w:eastAsia="zh-CN"/>
              </w:rPr>
              <w:t>预测模式：</w:t>
            </w:r>
          </w:p>
          <w:p w14:paraId="30C17FC0">
            <w:pPr>
              <w:bidi w:val="0"/>
              <w:rPr>
                <w:rFonts w:hint="eastAsia"/>
                <w:color w:val="auto"/>
              </w:rPr>
            </w:pPr>
            <w:r>
              <w:rPr>
                <w:rFonts w:hint="eastAsia"/>
                <w:color w:val="auto"/>
                <w:lang w:val="en-US" w:eastAsia="zh-CN"/>
              </w:rPr>
              <w:t>1</w:t>
            </w:r>
            <w:r>
              <w:rPr>
                <w:rFonts w:hint="eastAsia"/>
                <w:color w:val="auto"/>
              </w:rPr>
              <w:t>、影响预测</w:t>
            </w:r>
          </w:p>
          <w:p w14:paraId="40D4DD07">
            <w:pPr>
              <w:bidi w:val="0"/>
              <w:rPr>
                <w:color w:val="auto"/>
              </w:rPr>
            </w:pPr>
            <w:r>
              <w:rPr>
                <w:rFonts w:hint="eastAsia"/>
                <w:color w:val="auto"/>
              </w:rPr>
              <w:t>①预测内容和预测因子</w:t>
            </w:r>
          </w:p>
          <w:p w14:paraId="0CD5DFBA">
            <w:pPr>
              <w:bidi w:val="0"/>
              <w:rPr>
                <w:color w:val="auto"/>
              </w:rPr>
            </w:pPr>
            <w:r>
              <w:rPr>
                <w:rFonts w:hint="eastAsia"/>
                <w:color w:val="auto"/>
              </w:rPr>
              <w:t>预测内容：项目厂区东、西、南、北厂界。</w:t>
            </w:r>
          </w:p>
          <w:p w14:paraId="108617D9">
            <w:pPr>
              <w:bidi w:val="0"/>
              <w:rPr>
                <w:rFonts w:hint="eastAsia"/>
                <w:color w:val="auto"/>
              </w:rPr>
            </w:pPr>
            <w:r>
              <w:rPr>
                <w:rFonts w:hint="eastAsia"/>
                <w:color w:val="auto"/>
              </w:rPr>
              <w:t>预测因子：昼、夜间等效声级</w:t>
            </w:r>
            <w:r>
              <w:rPr>
                <w:color w:val="auto"/>
              </w:rPr>
              <w:t>L</w:t>
            </w:r>
            <w:r>
              <w:rPr>
                <w:color w:val="auto"/>
                <w:vertAlign w:val="subscript"/>
              </w:rPr>
              <w:t>d</w:t>
            </w:r>
            <w:r>
              <w:rPr>
                <w:rFonts w:hint="eastAsia"/>
                <w:color w:val="auto"/>
              </w:rPr>
              <w:t>、</w:t>
            </w:r>
            <w:r>
              <w:rPr>
                <w:color w:val="auto"/>
              </w:rPr>
              <w:t>L</w:t>
            </w:r>
            <w:r>
              <w:rPr>
                <w:color w:val="auto"/>
                <w:vertAlign w:val="subscript"/>
              </w:rPr>
              <w:t>n</w:t>
            </w:r>
            <w:r>
              <w:rPr>
                <w:rFonts w:hint="eastAsia"/>
                <w:color w:val="auto"/>
              </w:rPr>
              <w:t>。</w:t>
            </w:r>
          </w:p>
          <w:p w14:paraId="1D72363D">
            <w:pPr>
              <w:bidi w:val="0"/>
              <w:rPr>
                <w:color w:val="auto"/>
              </w:rPr>
            </w:pPr>
            <w:r>
              <w:rPr>
                <w:color w:val="auto"/>
              </w:rPr>
              <w:fldChar w:fldCharType="begin"/>
            </w:r>
            <w:r>
              <w:rPr>
                <w:color w:val="auto"/>
              </w:rPr>
              <w:instrText xml:space="preserve"> </w:instrText>
            </w:r>
            <w:r>
              <w:rPr>
                <w:rFonts w:hint="eastAsia"/>
                <w:color w:val="auto"/>
              </w:rPr>
              <w:instrText xml:space="preserve">= 2 \* GB3</w:instrText>
            </w:r>
            <w:r>
              <w:rPr>
                <w:color w:val="auto"/>
              </w:rPr>
              <w:instrText xml:space="preserve"> </w:instrText>
            </w:r>
            <w:r>
              <w:rPr>
                <w:color w:val="auto"/>
              </w:rPr>
              <w:fldChar w:fldCharType="separate"/>
            </w:r>
            <w:r>
              <w:rPr>
                <w:rFonts w:hint="eastAsia"/>
                <w:color w:val="auto"/>
              </w:rPr>
              <w:t>②</w:t>
            </w:r>
            <w:r>
              <w:rPr>
                <w:color w:val="auto"/>
              </w:rPr>
              <w:fldChar w:fldCharType="end"/>
            </w:r>
            <w:r>
              <w:rPr>
                <w:rFonts w:hint="eastAsia"/>
                <w:color w:val="auto"/>
              </w:rPr>
              <w:t>预测模式</w:t>
            </w:r>
          </w:p>
          <w:p w14:paraId="42AECB09">
            <w:pPr>
              <w:bidi w:val="0"/>
              <w:rPr>
                <w:color w:val="auto"/>
              </w:rPr>
            </w:pPr>
            <w:r>
              <w:rPr>
                <w:rFonts w:hint="eastAsia"/>
                <w:color w:val="auto"/>
              </w:rPr>
              <w:t>根据建设单位提供资料，本项目的生产设备均设置在厂房内，根据《环境影响评价技术导则声环境》（HJ2.4-2021）对室内声源的预测方法，声源位于室内，室内声源可采用等效室外声源声功率级法进行计算。</w:t>
            </w:r>
            <w:r>
              <w:rPr>
                <w:color w:val="auto"/>
              </w:rPr>
              <w:t>设靠近开口处（或窗户）室内、室外某倍频带的声压级分别为L</w:t>
            </w:r>
            <w:r>
              <w:rPr>
                <w:color w:val="auto"/>
                <w:vertAlign w:val="subscript"/>
              </w:rPr>
              <w:t>p1</w:t>
            </w:r>
            <w:r>
              <w:rPr>
                <w:color w:val="auto"/>
              </w:rPr>
              <w:t>和L</w:t>
            </w:r>
            <w:r>
              <w:rPr>
                <w:color w:val="auto"/>
                <w:vertAlign w:val="subscript"/>
              </w:rPr>
              <w:t>p2</w:t>
            </w:r>
            <w:r>
              <w:rPr>
                <w:color w:val="auto"/>
              </w:rPr>
              <w:t>。若声源所在室内声场为近似扩散声场，则室外的倍频带声压级可按下式近似求出：</w:t>
            </w:r>
          </w:p>
          <w:p w14:paraId="73A75F94">
            <w:pPr>
              <w:bidi w:val="0"/>
              <w:ind w:left="0" w:leftChars="0" w:firstLine="0" w:firstLineChars="0"/>
              <w:jc w:val="center"/>
              <w:rPr>
                <w:color w:val="auto"/>
              </w:rPr>
            </w:pPr>
            <w:r>
              <w:rPr>
                <w:color w:val="auto"/>
                <w:position w:val="-14"/>
                <w:szCs w:val="21"/>
              </w:rPr>
              <w:object>
                <v:shape id="_x0000_i1025" o:spt="75" type="#_x0000_t75" style="height:20.05pt;width:92.05pt;" o:ole="t" filled="f" o:preferrelative="t" stroked="f" coordsize="21600,21600">
                  <v:path/>
                  <v:fill on="f" alignshape="1" focussize="0,0"/>
                  <v:stroke on="f"/>
                  <v:imagedata r:id="rId15" o:title=""/>
                  <o:lock v:ext="edit" aspectratio="t"/>
                  <w10:wrap type="none"/>
                  <w10:anchorlock/>
                </v:shape>
                <o:OLEObject Type="Embed" ProgID="Equation.DSMT4" ShapeID="_x0000_i1025" DrawAspect="Content" ObjectID="_1468075725" r:id="rId14">
                  <o:LockedField>false</o:LockedField>
                </o:OLEObject>
              </w:object>
            </w:r>
          </w:p>
          <w:p w14:paraId="2AC8FBF0">
            <w:pPr>
              <w:bidi w:val="0"/>
              <w:rPr>
                <w:color w:val="auto"/>
              </w:rPr>
            </w:pPr>
            <w:r>
              <w:rPr>
                <w:color w:val="auto"/>
              </w:rPr>
              <w:t>式中：</w:t>
            </w:r>
          </w:p>
          <w:p w14:paraId="5E21E243">
            <w:pPr>
              <w:bidi w:val="0"/>
              <w:rPr>
                <w:color w:val="auto"/>
              </w:rPr>
            </w:pPr>
            <w:r>
              <w:rPr>
                <w:color w:val="auto"/>
              </w:rPr>
              <w:t>TL——隔墙（或窗户）倍频带的隔声量，dB(A)。</w:t>
            </w:r>
          </w:p>
          <w:p w14:paraId="603AEFB6">
            <w:pPr>
              <w:spacing w:line="360" w:lineRule="auto"/>
              <w:ind w:left="0" w:leftChars="0" w:firstLine="0" w:firstLineChars="0"/>
              <w:jc w:val="center"/>
              <w:rPr>
                <w:rFonts w:eastAsia="黑体"/>
                <w:bCs/>
                <w:color w:val="auto"/>
                <w:szCs w:val="21"/>
              </w:rPr>
            </w:pPr>
            <w:r>
              <w:rPr>
                <w:color w:val="auto"/>
                <w:szCs w:val="21"/>
              </w:rPr>
              <w:drawing>
                <wp:inline distT="0" distB="0" distL="114300" distR="114300">
                  <wp:extent cx="3676650" cy="1438275"/>
                  <wp:effectExtent l="0" t="0" r="0" b="9525"/>
                  <wp:docPr id="7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61"/>
                          <pic:cNvPicPr>
                            <a:picLocks noChangeAspect="1"/>
                          </pic:cNvPicPr>
                        </pic:nvPicPr>
                        <pic:blipFill>
                          <a:blip r:embed="rId16"/>
                          <a:stretch>
                            <a:fillRect/>
                          </a:stretch>
                        </pic:blipFill>
                        <pic:spPr>
                          <a:xfrm>
                            <a:off x="0" y="0"/>
                            <a:ext cx="3676650" cy="1438275"/>
                          </a:xfrm>
                          <a:prstGeom prst="rect">
                            <a:avLst/>
                          </a:prstGeom>
                          <a:noFill/>
                          <a:ln>
                            <a:noFill/>
                          </a:ln>
                        </pic:spPr>
                      </pic:pic>
                    </a:graphicData>
                  </a:graphic>
                </wp:inline>
              </w:drawing>
            </w:r>
          </w:p>
          <w:p w14:paraId="056FF70D">
            <w:pPr>
              <w:pStyle w:val="21"/>
              <w:bidi w:val="0"/>
              <w:rPr>
                <w:rFonts w:hint="eastAsia"/>
                <w:color w:val="auto"/>
              </w:rPr>
            </w:pPr>
            <w:r>
              <w:rPr>
                <w:rFonts w:hint="eastAsia"/>
                <w:color w:val="auto"/>
              </w:rPr>
              <w:t>图</w:t>
            </w:r>
            <w:r>
              <w:rPr>
                <w:rFonts w:hint="eastAsia"/>
                <w:color w:val="auto"/>
                <w:lang w:val="en-US" w:eastAsia="zh-CN"/>
              </w:rPr>
              <w:t>4-1</w:t>
            </w:r>
            <w:r>
              <w:rPr>
                <w:rFonts w:hint="eastAsia"/>
                <w:color w:val="auto"/>
              </w:rPr>
              <w:t xml:space="preserve"> </w:t>
            </w:r>
            <w:r>
              <w:rPr>
                <w:rFonts w:hint="eastAsia"/>
                <w:color w:val="auto"/>
                <w:lang w:val="en-US" w:eastAsia="zh-CN"/>
              </w:rPr>
              <w:t xml:space="preserve"> </w:t>
            </w:r>
            <w:r>
              <w:rPr>
                <w:rFonts w:hint="eastAsia"/>
                <w:color w:val="auto"/>
              </w:rPr>
              <w:t>室内声源等效为室外声源图例</w:t>
            </w:r>
          </w:p>
          <w:p w14:paraId="40AAA3CD">
            <w:pPr>
              <w:bidi w:val="0"/>
              <w:rPr>
                <w:color w:val="auto"/>
              </w:rPr>
            </w:pPr>
            <w:r>
              <w:rPr>
                <w:color w:val="auto"/>
              </w:rPr>
              <w:t>也可按下式计算某一室内声源靠近围护结构处产生的倍频带声压级：</w:t>
            </w:r>
          </w:p>
          <w:p w14:paraId="233DAB93">
            <w:pPr>
              <w:spacing w:line="360" w:lineRule="auto"/>
              <w:ind w:left="0" w:leftChars="0" w:firstLine="0" w:firstLineChars="0"/>
              <w:jc w:val="center"/>
              <w:rPr>
                <w:color w:val="auto"/>
                <w:szCs w:val="21"/>
              </w:rPr>
            </w:pPr>
            <w:r>
              <w:rPr>
                <w:color w:val="auto"/>
                <w:position w:val="-28"/>
                <w:szCs w:val="21"/>
              </w:rPr>
              <w:object>
                <v:shape id="_x0000_i1026" o:spt="75" type="#_x0000_t75" style="height:34.1pt;width:135.65pt;" o:ole="t" filled="f" o:preferrelative="t" stroked="f" coordsize="21600,21600">
                  <v:path/>
                  <v:fill on="f" alignshape="1" focussize="0,0"/>
                  <v:stroke on="f"/>
                  <v:imagedata r:id="rId18" o:title=""/>
                  <o:lock v:ext="edit" aspectratio="t"/>
                  <w10:wrap type="none"/>
                  <w10:anchorlock/>
                </v:shape>
                <o:OLEObject Type="Embed" ProgID="Equation.DSMT4" ShapeID="_x0000_i1026" DrawAspect="Content" ObjectID="_1468075726" r:id="rId17">
                  <o:LockedField>false</o:LockedField>
                </o:OLEObject>
              </w:object>
            </w:r>
          </w:p>
          <w:p w14:paraId="6EB008AD">
            <w:pPr>
              <w:bidi w:val="0"/>
              <w:rPr>
                <w:color w:val="auto"/>
              </w:rPr>
            </w:pPr>
            <w:r>
              <w:rPr>
                <w:color w:val="auto"/>
              </w:rPr>
              <w:t>式中：</w:t>
            </w:r>
          </w:p>
          <w:p w14:paraId="389B8EA9">
            <w:pPr>
              <w:bidi w:val="0"/>
              <w:rPr>
                <w:color w:val="auto"/>
              </w:rPr>
            </w:pPr>
            <w:r>
              <w:rPr>
                <w:color w:val="auto"/>
              </w:rPr>
              <w:t>Q——指向性因数，通常对无指向性声源，当声源放在房间中心时，Q=1；当放在一面墙的中心时，Q=2；当放在两面墙夹角处时，Q=4；当放在三面墙夹角处时，Q=8；</w:t>
            </w:r>
          </w:p>
          <w:p w14:paraId="7EA8351D">
            <w:pPr>
              <w:bidi w:val="0"/>
              <w:rPr>
                <w:color w:val="auto"/>
              </w:rPr>
            </w:pPr>
            <w:r>
              <w:rPr>
                <w:color w:val="auto"/>
              </w:rPr>
              <w:t>R——房间常数，R=Sα/（1-α），S为房间内表面面积，</w:t>
            </w:r>
            <w:r>
              <w:rPr>
                <w:rFonts w:hint="default"/>
                <w:color w:val="auto"/>
                <w:lang w:val="en-US" w:eastAsia="zh-CN"/>
              </w:rPr>
              <w:t>m</w:t>
            </w:r>
            <w:r>
              <w:rPr>
                <w:rFonts w:hint="default"/>
                <w:color w:val="auto"/>
                <w:vertAlign w:val="superscript"/>
                <w:lang w:val="en-US" w:eastAsia="zh-CN"/>
              </w:rPr>
              <w:t>2</w:t>
            </w:r>
            <w:r>
              <w:rPr>
                <w:color w:val="auto"/>
              </w:rPr>
              <w:t>，α为平均吸声系数；</w:t>
            </w:r>
          </w:p>
          <w:p w14:paraId="5E654E23">
            <w:pPr>
              <w:bidi w:val="0"/>
              <w:rPr>
                <w:color w:val="auto"/>
              </w:rPr>
            </w:pPr>
            <w:r>
              <w:rPr>
                <w:color w:val="auto"/>
              </w:rPr>
              <w:t>r——声源到靠近围护结构某点处的距离，m。</w:t>
            </w:r>
          </w:p>
          <w:p w14:paraId="4A0314B2">
            <w:pPr>
              <w:bidi w:val="0"/>
              <w:rPr>
                <w:color w:val="auto"/>
              </w:rPr>
            </w:pPr>
            <w:r>
              <w:rPr>
                <w:color w:val="auto"/>
              </w:rPr>
              <w:t>然后按下式计算出所有室内声源在围护结构处产生的i倍频带叠加声压级：</w:t>
            </w:r>
          </w:p>
          <w:p w14:paraId="49DECD0A">
            <w:pPr>
              <w:spacing w:line="360" w:lineRule="auto"/>
              <w:ind w:left="0" w:leftChars="0" w:firstLine="0" w:firstLineChars="0"/>
              <w:jc w:val="center"/>
              <w:rPr>
                <w:color w:val="auto"/>
                <w:szCs w:val="21"/>
              </w:rPr>
            </w:pPr>
            <w:r>
              <w:rPr>
                <w:color w:val="auto"/>
                <w:position w:val="-32"/>
                <w:szCs w:val="21"/>
              </w:rPr>
              <w:object>
                <v:shape id="_x0000_i1027" o:spt="75" type="#_x0000_t75" style="height:38.1pt;width:133.65pt;" o:ole="t" filled="f" o:preferrelative="t" stroked="f" coordsize="21600,21600">
                  <v:path/>
                  <v:fill on="f" alignshape="1" focussize="0,0"/>
                  <v:stroke on="f"/>
                  <v:imagedata r:id="rId20" o:title=""/>
                  <o:lock v:ext="edit" aspectratio="t"/>
                  <w10:wrap type="none"/>
                  <w10:anchorlock/>
                </v:shape>
                <o:OLEObject Type="Embed" ProgID="Equation.DSMT4" ShapeID="_x0000_i1027" DrawAspect="Content" ObjectID="_1468075727" r:id="rId19">
                  <o:LockedField>false</o:LockedField>
                </o:OLEObject>
              </w:object>
            </w:r>
          </w:p>
          <w:p w14:paraId="5A146840">
            <w:pPr>
              <w:bidi w:val="0"/>
              <w:rPr>
                <w:color w:val="auto"/>
              </w:rPr>
            </w:pPr>
            <w:r>
              <w:rPr>
                <w:color w:val="auto"/>
              </w:rPr>
              <w:t>式中：</w:t>
            </w:r>
          </w:p>
          <w:p w14:paraId="096A7C81">
            <w:pPr>
              <w:bidi w:val="0"/>
              <w:rPr>
                <w:color w:val="auto"/>
              </w:rPr>
            </w:pPr>
            <w:r>
              <w:rPr>
                <w:color w:val="auto"/>
              </w:rPr>
              <w:t>Lp1i(T)——靠近围护结构处室内N个声源i倍频带的叠加声压级，dB；</w:t>
            </w:r>
          </w:p>
          <w:p w14:paraId="130C6802">
            <w:pPr>
              <w:bidi w:val="0"/>
              <w:rPr>
                <w:color w:val="auto"/>
              </w:rPr>
            </w:pPr>
            <w:r>
              <w:rPr>
                <w:color w:val="auto"/>
              </w:rPr>
              <w:t>Lp1ij——室内j声源i倍频带的声压级，dB；</w:t>
            </w:r>
          </w:p>
          <w:p w14:paraId="4146BB66">
            <w:pPr>
              <w:bidi w:val="0"/>
              <w:rPr>
                <w:color w:val="auto"/>
              </w:rPr>
            </w:pPr>
            <w:r>
              <w:rPr>
                <w:color w:val="auto"/>
              </w:rPr>
              <w:t>N——室内声源总数。</w:t>
            </w:r>
          </w:p>
          <w:p w14:paraId="58CED13C">
            <w:pPr>
              <w:bidi w:val="0"/>
              <w:rPr>
                <w:color w:val="auto"/>
                <w:kern w:val="0"/>
                <w:szCs w:val="21"/>
              </w:rPr>
            </w:pPr>
            <w:r>
              <w:rPr>
                <w:color w:val="auto"/>
              </w:rPr>
              <w:t>在室内近似为扩散声场时，按下式计算出靠近室外围护结构处的声压级：</w:t>
            </w:r>
          </w:p>
          <w:p w14:paraId="2714506F">
            <w:pPr>
              <w:tabs>
                <w:tab w:val="left" w:pos="0"/>
              </w:tabs>
              <w:spacing w:line="360" w:lineRule="auto"/>
              <w:ind w:left="0" w:leftChars="0" w:right="-30" w:firstLine="0" w:firstLineChars="0"/>
              <w:jc w:val="center"/>
              <w:rPr>
                <w:color w:val="auto"/>
                <w:szCs w:val="21"/>
              </w:rPr>
            </w:pPr>
            <w:r>
              <w:rPr>
                <w:color w:val="auto"/>
                <w:position w:val="-14"/>
                <w:szCs w:val="21"/>
              </w:rPr>
              <w:object>
                <v:shape id="_x0000_i1028" o:spt="75" type="#_x0000_t75" style="height:20.05pt;width:135.65pt;" o:ole="t" filled="f" o:preferrelative="t" stroked="f" coordsize="21600,21600">
                  <v:path/>
                  <v:fill on="f" alignshape="1" focussize="0,0"/>
                  <v:stroke on="f"/>
                  <v:imagedata r:id="rId22" o:title=""/>
                  <o:lock v:ext="edit" aspectratio="t"/>
                  <w10:wrap type="none"/>
                  <w10:anchorlock/>
                </v:shape>
                <o:OLEObject Type="Embed" ProgID="Equation.DSMT4" ShapeID="_x0000_i1028" DrawAspect="Content" ObjectID="_1468075728" r:id="rId21">
                  <o:LockedField>false</o:LockedField>
                </o:OLEObject>
              </w:object>
            </w:r>
          </w:p>
          <w:p w14:paraId="2E9E0EB3">
            <w:pPr>
              <w:bidi w:val="0"/>
              <w:rPr>
                <w:color w:val="auto"/>
              </w:rPr>
            </w:pPr>
            <w:r>
              <w:rPr>
                <w:color w:val="auto"/>
              </w:rPr>
              <w:t>式中：</w:t>
            </w:r>
          </w:p>
          <w:p w14:paraId="4ED9D6C0">
            <w:pPr>
              <w:bidi w:val="0"/>
              <w:rPr>
                <w:color w:val="auto"/>
              </w:rPr>
            </w:pPr>
            <w:r>
              <w:rPr>
                <w:color w:val="auto"/>
              </w:rPr>
              <w:t>Lp2i(T)——靠近围护结构处室外N个声源i倍频带的叠加声压级，dB；</w:t>
            </w:r>
          </w:p>
          <w:p w14:paraId="53B8D2AD">
            <w:pPr>
              <w:bidi w:val="0"/>
              <w:rPr>
                <w:color w:val="auto"/>
              </w:rPr>
            </w:pPr>
            <w:r>
              <w:rPr>
                <w:color w:val="auto"/>
              </w:rPr>
              <w:t>TLi——围护结构i倍频带的隔声量，dB。</w:t>
            </w:r>
          </w:p>
          <w:p w14:paraId="1487F71D">
            <w:pPr>
              <w:bidi w:val="0"/>
              <w:rPr>
                <w:color w:val="auto"/>
              </w:rPr>
            </w:pPr>
            <w:r>
              <w:rPr>
                <w:color w:val="auto"/>
              </w:rPr>
              <w:t>然后按下式将室外声源的声压级和透过面积换算成等效的室外声源，计算出中心位置位于透声面积（S）处的等效声源的倍频带声功率级。</w:t>
            </w:r>
          </w:p>
          <w:p w14:paraId="39106DB4">
            <w:pPr>
              <w:tabs>
                <w:tab w:val="left" w:pos="0"/>
              </w:tabs>
              <w:spacing w:line="360" w:lineRule="auto"/>
              <w:ind w:left="0" w:leftChars="0" w:right="-30" w:firstLine="0" w:firstLineChars="0"/>
              <w:jc w:val="center"/>
              <w:rPr>
                <w:color w:val="auto"/>
                <w:szCs w:val="21"/>
              </w:rPr>
            </w:pPr>
            <w:r>
              <w:rPr>
                <w:color w:val="auto"/>
                <w:position w:val="-14"/>
                <w:szCs w:val="21"/>
              </w:rPr>
              <w:object>
                <v:shape id="_x0000_i1029" o:spt="75" type="#_x0000_t75" style="height:20.05pt;width:103.95pt;" o:ole="t" filled="f" o:preferrelative="t" stroked="f" coordsize="21600,21600">
                  <v:path/>
                  <v:fill on="f" alignshape="1" focussize="0,0"/>
                  <v:stroke on="f"/>
                  <v:imagedata r:id="rId24" o:title=""/>
                  <o:lock v:ext="edit" aspectratio="t"/>
                  <w10:wrap type="none"/>
                  <w10:anchorlock/>
                </v:shape>
                <o:OLEObject Type="Embed" ProgID="Equation.DSMT4" ShapeID="_x0000_i1029" DrawAspect="Content" ObjectID="_1468075729" r:id="rId23">
                  <o:LockedField>false</o:LockedField>
                </o:OLEObject>
              </w:object>
            </w:r>
          </w:p>
          <w:p w14:paraId="5F006CB4">
            <w:pPr>
              <w:bidi w:val="0"/>
              <w:rPr>
                <w:color w:val="auto"/>
              </w:rPr>
            </w:pPr>
            <w:r>
              <w:rPr>
                <w:color w:val="auto"/>
              </w:rPr>
              <w:t>然后按室外声源预测方法计算预测点处的A声级。</w:t>
            </w:r>
          </w:p>
          <w:p w14:paraId="5AD00602">
            <w:pPr>
              <w:keepNext w:val="0"/>
              <w:keepLines w:val="0"/>
              <w:suppressLineNumbers w:val="0"/>
              <w:bidi w:val="0"/>
              <w:spacing w:before="0" w:beforeAutospacing="0" w:after="0" w:afterAutospacing="0"/>
              <w:ind w:left="0" w:right="0"/>
              <w:rPr>
                <w:rFonts w:hint="eastAsia"/>
                <w:color w:val="auto"/>
              </w:rPr>
            </w:pPr>
            <w:r>
              <w:rPr>
                <w:rFonts w:hint="eastAsia"/>
                <w:color w:val="auto"/>
              </w:rPr>
              <w:t>根据上述的预测方法和模式，根据平面布置图、高噪声设备数量及距厂界距离，在考虑采取设备噪声隔声、减振、消声等措施的情况下，计算对距离最近的四个厂界的噪声贡献值</w:t>
            </w:r>
            <w:r>
              <w:rPr>
                <w:rFonts w:hint="eastAsia"/>
                <w:color w:val="auto"/>
                <w:lang w:eastAsia="zh-CN"/>
              </w:rPr>
              <w:t>（</w:t>
            </w:r>
            <w:r>
              <w:rPr>
                <w:rFonts w:hint="eastAsia"/>
                <w:color w:val="auto"/>
                <w:lang w:val="en-US" w:eastAsia="zh-CN"/>
              </w:rPr>
              <w:t>本项目以租赁厂房所在企业大厂界作为预测项目厂界</w:t>
            </w:r>
            <w:r>
              <w:rPr>
                <w:rFonts w:hint="eastAsia"/>
                <w:color w:val="auto"/>
                <w:lang w:eastAsia="zh-CN"/>
              </w:rPr>
              <w:t>）</w:t>
            </w:r>
            <w:r>
              <w:rPr>
                <w:rFonts w:hint="eastAsia"/>
                <w:color w:val="auto"/>
              </w:rPr>
              <w:t>。本项目预测结果详见下表：</w:t>
            </w:r>
          </w:p>
          <w:p w14:paraId="338149EA">
            <w:pPr>
              <w:pStyle w:val="21"/>
              <w:bidi w:val="0"/>
              <w:rPr>
                <w:rFonts w:hint="default"/>
                <w:color w:val="auto"/>
              </w:rPr>
            </w:pPr>
            <w:r>
              <w:rPr>
                <w:rFonts w:hint="default"/>
                <w:color w:val="auto"/>
              </w:rPr>
              <w:t>表4-</w:t>
            </w:r>
            <w:r>
              <w:rPr>
                <w:rFonts w:hint="default"/>
                <w:color w:val="auto"/>
                <w:lang w:val="en-US" w:eastAsia="zh-CN"/>
              </w:rPr>
              <w:t>1</w:t>
            </w:r>
            <w:r>
              <w:rPr>
                <w:rFonts w:hint="eastAsia"/>
                <w:color w:val="auto"/>
                <w:lang w:val="en-US" w:eastAsia="zh-CN"/>
              </w:rPr>
              <w:t>3</w:t>
            </w:r>
            <w:r>
              <w:rPr>
                <w:rFonts w:hint="default"/>
                <w:color w:val="auto"/>
              </w:rPr>
              <w:t xml:space="preserve"> </w:t>
            </w:r>
            <w:r>
              <w:rPr>
                <w:rFonts w:hint="default"/>
                <w:color w:val="auto"/>
                <w:lang w:val="en-US" w:eastAsia="zh-CN"/>
              </w:rPr>
              <w:t xml:space="preserve"> </w:t>
            </w:r>
            <w:r>
              <w:rPr>
                <w:rFonts w:hint="default"/>
                <w:color w:val="auto"/>
              </w:rPr>
              <w:t>项目厂界噪声预测结果一览表（单位：dB(A)）</w:t>
            </w:r>
          </w:p>
          <w:tbl>
            <w:tblPr>
              <w:tblStyle w:val="1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57"/>
              <w:gridCol w:w="1746"/>
              <w:gridCol w:w="1820"/>
              <w:gridCol w:w="1926"/>
              <w:gridCol w:w="1778"/>
            </w:tblGrid>
            <w:tr w14:paraId="05606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exact"/>
                <w:jc w:val="center"/>
              </w:trPr>
              <w:tc>
                <w:tcPr>
                  <w:tcW w:w="634" w:type="pct"/>
                  <w:noWrap w:val="0"/>
                  <w:vAlign w:val="center"/>
                </w:tcPr>
                <w:p w14:paraId="1D2C91BB">
                  <w:pPr>
                    <w:pStyle w:val="22"/>
                    <w:bidi w:val="0"/>
                    <w:rPr>
                      <w:b/>
                      <w:bCs/>
                      <w:color w:val="auto"/>
                    </w:rPr>
                  </w:pPr>
                  <w:r>
                    <w:rPr>
                      <w:rFonts w:hint="eastAsia"/>
                      <w:b/>
                      <w:bCs/>
                      <w:color w:val="auto"/>
                    </w:rPr>
                    <w:t>厂界名称</w:t>
                  </w:r>
                </w:p>
              </w:tc>
              <w:tc>
                <w:tcPr>
                  <w:tcW w:w="1048" w:type="pct"/>
                  <w:noWrap w:val="0"/>
                  <w:vAlign w:val="center"/>
                </w:tcPr>
                <w:p w14:paraId="6FC587A2">
                  <w:pPr>
                    <w:pStyle w:val="22"/>
                    <w:bidi w:val="0"/>
                    <w:rPr>
                      <w:rFonts w:hint="eastAsia"/>
                      <w:b/>
                      <w:bCs/>
                      <w:color w:val="auto"/>
                    </w:rPr>
                  </w:pPr>
                  <w:r>
                    <w:rPr>
                      <w:rFonts w:hint="eastAsia"/>
                      <w:b/>
                      <w:bCs/>
                      <w:color w:val="auto"/>
                    </w:rPr>
                    <w:t>东厂界</w:t>
                  </w:r>
                </w:p>
              </w:tc>
              <w:tc>
                <w:tcPr>
                  <w:tcW w:w="1092" w:type="pct"/>
                  <w:noWrap w:val="0"/>
                  <w:vAlign w:val="center"/>
                </w:tcPr>
                <w:p w14:paraId="6C814425">
                  <w:pPr>
                    <w:pStyle w:val="22"/>
                    <w:bidi w:val="0"/>
                    <w:rPr>
                      <w:rFonts w:hint="eastAsia"/>
                      <w:b/>
                      <w:bCs/>
                      <w:color w:val="auto"/>
                    </w:rPr>
                  </w:pPr>
                  <w:r>
                    <w:rPr>
                      <w:rFonts w:hint="eastAsia"/>
                      <w:b/>
                      <w:bCs/>
                      <w:color w:val="auto"/>
                    </w:rPr>
                    <w:t>南厂界</w:t>
                  </w:r>
                </w:p>
              </w:tc>
              <w:tc>
                <w:tcPr>
                  <w:tcW w:w="1156" w:type="pct"/>
                  <w:noWrap w:val="0"/>
                  <w:vAlign w:val="center"/>
                </w:tcPr>
                <w:p w14:paraId="0CE9CC54">
                  <w:pPr>
                    <w:pStyle w:val="22"/>
                    <w:bidi w:val="0"/>
                    <w:rPr>
                      <w:rFonts w:hint="eastAsia"/>
                      <w:b/>
                      <w:bCs/>
                      <w:color w:val="auto"/>
                    </w:rPr>
                  </w:pPr>
                  <w:r>
                    <w:rPr>
                      <w:rFonts w:hint="eastAsia"/>
                      <w:b/>
                      <w:bCs/>
                      <w:color w:val="auto"/>
                    </w:rPr>
                    <w:t>西厂界</w:t>
                  </w:r>
                </w:p>
              </w:tc>
              <w:tc>
                <w:tcPr>
                  <w:tcW w:w="1067" w:type="pct"/>
                  <w:noWrap w:val="0"/>
                  <w:vAlign w:val="center"/>
                </w:tcPr>
                <w:p w14:paraId="630BAAF8">
                  <w:pPr>
                    <w:pStyle w:val="22"/>
                    <w:bidi w:val="0"/>
                    <w:rPr>
                      <w:b/>
                      <w:bCs/>
                      <w:color w:val="auto"/>
                    </w:rPr>
                  </w:pPr>
                  <w:r>
                    <w:rPr>
                      <w:rFonts w:hint="eastAsia"/>
                      <w:b/>
                      <w:bCs/>
                      <w:color w:val="auto"/>
                    </w:rPr>
                    <w:t>北厂界</w:t>
                  </w:r>
                </w:p>
              </w:tc>
            </w:tr>
            <w:tr w14:paraId="4BB3E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exact"/>
                <w:jc w:val="center"/>
              </w:trPr>
              <w:tc>
                <w:tcPr>
                  <w:tcW w:w="634" w:type="pct"/>
                  <w:noWrap w:val="0"/>
                  <w:vAlign w:val="center"/>
                </w:tcPr>
                <w:p w14:paraId="407EC5F2">
                  <w:pPr>
                    <w:pStyle w:val="22"/>
                    <w:bidi w:val="0"/>
                    <w:rPr>
                      <w:color w:val="auto"/>
                    </w:rPr>
                  </w:pPr>
                  <w:r>
                    <w:rPr>
                      <w:rFonts w:hint="eastAsia"/>
                      <w:color w:val="auto"/>
                    </w:rPr>
                    <w:t>贡献值</w:t>
                  </w:r>
                </w:p>
              </w:tc>
              <w:tc>
                <w:tcPr>
                  <w:tcW w:w="1048" w:type="pct"/>
                  <w:noWrap w:val="0"/>
                  <w:vAlign w:val="center"/>
                </w:tcPr>
                <w:p w14:paraId="227ECD22">
                  <w:pPr>
                    <w:pStyle w:val="22"/>
                    <w:bidi w:val="0"/>
                    <w:rPr>
                      <w:rFonts w:hint="default"/>
                      <w:color w:val="auto"/>
                      <w:lang w:val="en-US" w:eastAsia="zh-CN"/>
                    </w:rPr>
                  </w:pPr>
                  <w:r>
                    <w:rPr>
                      <w:rFonts w:hint="eastAsia"/>
                      <w:color w:val="auto"/>
                      <w:lang w:val="en-US" w:eastAsia="zh-CN"/>
                    </w:rPr>
                    <w:t>27.08</w:t>
                  </w:r>
                </w:p>
              </w:tc>
              <w:tc>
                <w:tcPr>
                  <w:tcW w:w="1092" w:type="pct"/>
                  <w:noWrap w:val="0"/>
                  <w:vAlign w:val="center"/>
                </w:tcPr>
                <w:p w14:paraId="54CA46C9">
                  <w:pPr>
                    <w:pStyle w:val="22"/>
                    <w:bidi w:val="0"/>
                    <w:rPr>
                      <w:rFonts w:hint="default"/>
                      <w:color w:val="auto"/>
                      <w:lang w:val="en-US" w:eastAsia="zh-CN"/>
                    </w:rPr>
                  </w:pPr>
                  <w:r>
                    <w:rPr>
                      <w:rFonts w:hint="eastAsia"/>
                      <w:color w:val="auto"/>
                      <w:lang w:val="en-US" w:eastAsia="zh-CN"/>
                    </w:rPr>
                    <w:t>24.51</w:t>
                  </w:r>
                </w:p>
              </w:tc>
              <w:tc>
                <w:tcPr>
                  <w:tcW w:w="1156" w:type="pct"/>
                  <w:noWrap w:val="0"/>
                  <w:vAlign w:val="center"/>
                </w:tcPr>
                <w:p w14:paraId="7C6E0A2F">
                  <w:pPr>
                    <w:pStyle w:val="22"/>
                    <w:bidi w:val="0"/>
                    <w:rPr>
                      <w:rFonts w:hint="default"/>
                      <w:color w:val="auto"/>
                      <w:lang w:val="en-US" w:eastAsia="zh-CN"/>
                    </w:rPr>
                  </w:pPr>
                  <w:r>
                    <w:rPr>
                      <w:rFonts w:hint="eastAsia"/>
                      <w:color w:val="auto"/>
                      <w:lang w:val="en-US" w:eastAsia="zh-CN"/>
                    </w:rPr>
                    <w:t>43.72</w:t>
                  </w:r>
                </w:p>
              </w:tc>
              <w:tc>
                <w:tcPr>
                  <w:tcW w:w="1067" w:type="pct"/>
                  <w:noWrap w:val="0"/>
                  <w:vAlign w:val="center"/>
                </w:tcPr>
                <w:p w14:paraId="4819CEFA">
                  <w:pPr>
                    <w:pStyle w:val="22"/>
                    <w:bidi w:val="0"/>
                    <w:rPr>
                      <w:rFonts w:hint="default"/>
                      <w:color w:val="auto"/>
                      <w:lang w:val="en-US" w:eastAsia="zh-CN"/>
                    </w:rPr>
                  </w:pPr>
                  <w:r>
                    <w:rPr>
                      <w:rFonts w:hint="eastAsia"/>
                      <w:color w:val="auto"/>
                      <w:lang w:val="en-US" w:eastAsia="zh-CN"/>
                    </w:rPr>
                    <w:t>18.35</w:t>
                  </w:r>
                </w:p>
              </w:tc>
            </w:tr>
            <w:tr w14:paraId="7DEA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exact"/>
                <w:jc w:val="center"/>
              </w:trPr>
              <w:tc>
                <w:tcPr>
                  <w:tcW w:w="634" w:type="pct"/>
                  <w:noWrap w:val="0"/>
                  <w:vAlign w:val="center"/>
                </w:tcPr>
                <w:p w14:paraId="465B5869">
                  <w:pPr>
                    <w:pStyle w:val="22"/>
                    <w:bidi w:val="0"/>
                    <w:rPr>
                      <w:rFonts w:hint="eastAsia"/>
                      <w:color w:val="auto"/>
                    </w:rPr>
                  </w:pPr>
                  <w:r>
                    <w:rPr>
                      <w:rFonts w:hint="eastAsia"/>
                      <w:color w:val="auto"/>
                    </w:rPr>
                    <w:t>标准值</w:t>
                  </w:r>
                </w:p>
              </w:tc>
              <w:tc>
                <w:tcPr>
                  <w:tcW w:w="4365" w:type="pct"/>
                  <w:gridSpan w:val="4"/>
                  <w:noWrap w:val="0"/>
                  <w:vAlign w:val="center"/>
                </w:tcPr>
                <w:p w14:paraId="1804DEF6">
                  <w:pPr>
                    <w:pStyle w:val="22"/>
                    <w:bidi w:val="0"/>
                    <w:rPr>
                      <w:color w:val="auto"/>
                    </w:rPr>
                  </w:pPr>
                  <w:r>
                    <w:rPr>
                      <w:rFonts w:hint="eastAsia"/>
                      <w:color w:val="auto"/>
                    </w:rPr>
                    <w:t>GB12348-2008中3类标准，即昼：65</w:t>
                  </w:r>
                </w:p>
              </w:tc>
            </w:tr>
          </w:tbl>
          <w:p w14:paraId="3876E58B">
            <w:pPr>
              <w:spacing w:line="360" w:lineRule="auto"/>
              <w:ind w:firstLine="480" w:firstLineChars="200"/>
              <w:rPr>
                <w:rFonts w:hint="eastAsia" w:eastAsia="宋体"/>
                <w:color w:val="auto"/>
                <w:szCs w:val="21"/>
                <w:lang w:val="zh-CN"/>
              </w:rPr>
            </w:pPr>
            <w:r>
              <w:rPr>
                <w:rFonts w:hint="eastAsia" w:eastAsia="宋体"/>
                <w:color w:val="auto"/>
                <w:szCs w:val="21"/>
                <w:lang w:val="zh-CN"/>
              </w:rPr>
              <w:t>从上表可知，项目运营后采取合理减噪措施后，厂界噪声贡献值</w:t>
            </w:r>
            <w:r>
              <w:rPr>
                <w:rFonts w:hint="eastAsia" w:eastAsia="宋体"/>
                <w:color w:val="auto"/>
                <w:szCs w:val="21"/>
                <w:lang w:val="en-US" w:eastAsia="zh-CN"/>
              </w:rPr>
              <w:t>能满足达标排放要求，针对南厂界、西厂界，需合理安排生产节奏，避免高噪声设备同时启用，同时尽量避免高噪声设备如切割机等夜间工作</w:t>
            </w:r>
            <w:r>
              <w:rPr>
                <w:rFonts w:hint="eastAsia" w:eastAsia="宋体"/>
                <w:color w:val="auto"/>
                <w:szCs w:val="21"/>
                <w:lang w:val="zh-CN"/>
              </w:rPr>
              <w:t>，</w:t>
            </w:r>
            <w:r>
              <w:rPr>
                <w:rFonts w:hint="eastAsia" w:eastAsia="宋体"/>
                <w:color w:val="auto"/>
                <w:szCs w:val="21"/>
                <w:lang w:val="en-US" w:eastAsia="zh-CN"/>
              </w:rPr>
              <w:t>因此</w:t>
            </w:r>
            <w:r>
              <w:rPr>
                <w:rFonts w:hint="eastAsia" w:eastAsia="宋体"/>
                <w:color w:val="auto"/>
                <w:szCs w:val="21"/>
                <w:lang w:val="zh-CN"/>
              </w:rPr>
              <w:t>本项目建成运营期间厂界噪声贡献值</w:t>
            </w:r>
            <w:r>
              <w:rPr>
                <w:rFonts w:hint="eastAsia" w:eastAsia="宋体"/>
                <w:color w:val="auto"/>
                <w:szCs w:val="21"/>
                <w:lang w:val="en-US" w:eastAsia="zh-CN"/>
              </w:rPr>
              <w:t>昼间</w:t>
            </w:r>
            <w:r>
              <w:rPr>
                <w:rFonts w:hint="eastAsia" w:eastAsia="宋体"/>
                <w:color w:val="auto"/>
                <w:szCs w:val="21"/>
                <w:lang w:val="zh-CN"/>
              </w:rPr>
              <w:t>可以达到《工业企业厂界环境噪声排放标准》（GB12348-2008）中3类标准，即昼间≤65</w:t>
            </w:r>
            <w:r>
              <w:rPr>
                <w:rFonts w:hint="eastAsia" w:eastAsia="宋体"/>
                <w:color w:val="auto"/>
                <w:szCs w:val="21"/>
              </w:rPr>
              <w:t>dB(A)</w:t>
            </w:r>
            <w:r>
              <w:rPr>
                <w:rFonts w:hint="eastAsia" w:eastAsia="宋体"/>
                <w:color w:val="auto"/>
                <w:szCs w:val="21"/>
                <w:lang w:val="zh-CN"/>
              </w:rPr>
              <w:t>）</w:t>
            </w:r>
            <w:r>
              <w:rPr>
                <w:rFonts w:hint="eastAsia"/>
                <w:color w:val="auto"/>
                <w:szCs w:val="21"/>
                <w:lang w:val="zh-CN"/>
              </w:rPr>
              <w:t>（</w:t>
            </w:r>
            <w:r>
              <w:rPr>
                <w:rFonts w:hint="eastAsia" w:eastAsia="宋体"/>
                <w:color w:val="auto"/>
                <w:szCs w:val="21"/>
                <w:lang w:val="en-US" w:eastAsia="zh-CN"/>
              </w:rPr>
              <w:t>夜间不生产</w:t>
            </w:r>
            <w:r>
              <w:rPr>
                <w:rFonts w:hint="eastAsia"/>
                <w:color w:val="auto"/>
                <w:szCs w:val="21"/>
                <w:lang w:val="zh-CN"/>
              </w:rPr>
              <w:t>）</w:t>
            </w:r>
            <w:r>
              <w:rPr>
                <w:rFonts w:hint="eastAsia" w:eastAsia="宋体"/>
                <w:color w:val="auto"/>
                <w:szCs w:val="21"/>
                <w:lang w:val="zh-CN"/>
              </w:rPr>
              <w:t>。本项目采取隔声措施后，经过厂区厂房隔声措施效果，能够确保达标，不得影响周边环境。</w:t>
            </w:r>
          </w:p>
          <w:p w14:paraId="779CD0C7">
            <w:pPr>
              <w:bidi w:val="0"/>
              <w:rPr>
                <w:rFonts w:hint="eastAsia"/>
                <w:b/>
                <w:bCs/>
                <w:color w:val="auto"/>
                <w:lang w:val="en-US" w:eastAsia="zh-CN"/>
              </w:rPr>
            </w:pPr>
            <w:r>
              <w:rPr>
                <w:b/>
                <w:bCs/>
                <w:color w:val="auto"/>
                <w:lang w:val="en-US" w:eastAsia="zh-CN"/>
              </w:rPr>
              <w:t>（</w:t>
            </w:r>
            <w:r>
              <w:rPr>
                <w:rFonts w:hint="eastAsia"/>
                <w:b/>
                <w:bCs/>
                <w:color w:val="auto"/>
                <w:lang w:val="en-US" w:eastAsia="zh-CN"/>
              </w:rPr>
              <w:t>3</w:t>
            </w:r>
            <w:r>
              <w:rPr>
                <w:b/>
                <w:bCs/>
                <w:color w:val="auto"/>
                <w:lang w:val="en-US" w:eastAsia="zh-CN"/>
              </w:rPr>
              <w:t>）噪声污染防治措施</w:t>
            </w:r>
          </w:p>
          <w:p w14:paraId="7FED884B">
            <w:pPr>
              <w:bidi w:val="0"/>
              <w:rPr>
                <w:color w:val="auto"/>
                <w:lang w:val="en-US" w:eastAsia="zh-CN"/>
              </w:rPr>
            </w:pPr>
            <w:r>
              <w:rPr>
                <w:color w:val="auto"/>
                <w:lang w:val="en-US" w:eastAsia="zh-CN"/>
              </w:rPr>
              <w:t>本项目位于工业厂区，</w:t>
            </w:r>
            <w:r>
              <w:rPr>
                <w:rFonts w:hint="eastAsia"/>
                <w:color w:val="auto"/>
                <w:lang w:val="en-US" w:eastAsia="zh-CN"/>
              </w:rPr>
              <w:t>厂区周边50m范围内</w:t>
            </w:r>
            <w:r>
              <w:rPr>
                <w:color w:val="auto"/>
                <w:lang w:val="en-US" w:eastAsia="zh-CN"/>
              </w:rPr>
              <w:t>没有声环境敏感点，项目拟采取的相关噪声治理措施有：</w:t>
            </w:r>
          </w:p>
          <w:p w14:paraId="32278D07">
            <w:pPr>
              <w:bidi w:val="0"/>
              <w:rPr>
                <w:color w:val="auto"/>
                <w:lang w:val="en-US" w:eastAsia="zh-CN"/>
              </w:rPr>
            </w:pPr>
            <w:r>
              <w:rPr>
                <w:rFonts w:hint="eastAsia"/>
                <w:color w:val="auto"/>
                <w:lang w:val="en-US" w:eastAsia="zh-CN"/>
              </w:rPr>
              <w:t>①</w:t>
            </w:r>
            <w:r>
              <w:rPr>
                <w:color w:val="auto"/>
                <w:lang w:val="en-US" w:eastAsia="zh-CN"/>
              </w:rPr>
              <w:t>从噪声源入手，在满足工艺要求的前提下，选择低噪声的设备；</w:t>
            </w:r>
          </w:p>
          <w:p w14:paraId="4691E6D1">
            <w:pPr>
              <w:bidi w:val="0"/>
              <w:rPr>
                <w:color w:val="auto"/>
                <w:lang w:val="en-US" w:eastAsia="zh-CN"/>
              </w:rPr>
            </w:pPr>
            <w:r>
              <w:rPr>
                <w:rFonts w:hint="eastAsia"/>
                <w:color w:val="auto"/>
                <w:lang w:val="en-US" w:eastAsia="zh-CN"/>
              </w:rPr>
              <w:t>②</w:t>
            </w:r>
            <w:r>
              <w:rPr>
                <w:color w:val="auto"/>
                <w:lang w:val="en-US" w:eastAsia="zh-CN"/>
              </w:rPr>
              <w:t>合理布局，各高噪声设备采取相应的降噪、减振措施；</w:t>
            </w:r>
          </w:p>
          <w:p w14:paraId="307B97DD">
            <w:pPr>
              <w:bidi w:val="0"/>
              <w:rPr>
                <w:color w:val="auto"/>
                <w:lang w:val="en-US" w:eastAsia="zh-CN"/>
              </w:rPr>
            </w:pPr>
            <w:r>
              <w:rPr>
                <w:rFonts w:hint="eastAsia"/>
                <w:color w:val="auto"/>
                <w:lang w:val="en-US" w:eastAsia="zh-CN"/>
              </w:rPr>
              <w:t>③</w:t>
            </w:r>
            <w:r>
              <w:rPr>
                <w:color w:val="auto"/>
                <w:lang w:val="en-US" w:eastAsia="zh-CN"/>
              </w:rPr>
              <w:t>设备运行过程中避免设备空开、空转现象，重视日常维护、保养工作；</w:t>
            </w:r>
          </w:p>
          <w:p w14:paraId="6DE0BA67">
            <w:pPr>
              <w:bidi w:val="0"/>
              <w:rPr>
                <w:color w:val="auto"/>
                <w:lang w:val="en-US" w:eastAsia="zh-CN"/>
              </w:rPr>
            </w:pPr>
            <w:r>
              <w:rPr>
                <w:rFonts w:hint="eastAsia"/>
                <w:color w:val="auto"/>
                <w:lang w:val="en-US" w:eastAsia="zh-CN"/>
              </w:rPr>
              <w:t>④</w:t>
            </w:r>
            <w:r>
              <w:rPr>
                <w:color w:val="auto"/>
                <w:lang w:val="en-US" w:eastAsia="zh-CN"/>
              </w:rPr>
              <w:t>风机对进出风口采取消声措施，并在风机与管道连接部分做软连接，管道采取包扎措施等；</w:t>
            </w:r>
          </w:p>
          <w:p w14:paraId="6B4E2E9F">
            <w:pPr>
              <w:bidi w:val="0"/>
              <w:rPr>
                <w:b/>
                <w:bCs/>
                <w:color w:val="auto"/>
                <w:lang w:val="en-US" w:eastAsia="zh-CN"/>
              </w:rPr>
            </w:pPr>
            <w:r>
              <w:rPr>
                <w:rFonts w:hint="eastAsia"/>
                <w:color w:val="auto"/>
                <w:lang w:val="en-US" w:eastAsia="zh-CN"/>
              </w:rPr>
              <w:t>⑤对高噪声设备裁床、切割机等尽量安排在昼间进行生产加工，避开夜间。</w:t>
            </w:r>
            <w:r>
              <w:rPr>
                <w:rFonts w:hint="eastAsia"/>
                <w:b/>
                <w:bCs/>
                <w:color w:val="auto"/>
                <w:lang w:val="en-US" w:eastAsia="zh-CN"/>
              </w:rPr>
              <w:t>（4）声环境监测计划</w:t>
            </w:r>
          </w:p>
          <w:p w14:paraId="7B262E30">
            <w:pPr>
              <w:bidi w:val="0"/>
              <w:rPr>
                <w:color w:val="auto"/>
                <w:lang w:val="en-US" w:eastAsia="zh-CN"/>
              </w:rPr>
            </w:pPr>
            <w:r>
              <w:rPr>
                <w:rFonts w:hint="eastAsia"/>
                <w:color w:val="auto"/>
                <w:lang w:val="en-US" w:eastAsia="zh-CN"/>
              </w:rPr>
              <w:t>根据《排污单位自行监测技术指南 总则》（</w:t>
            </w:r>
            <w:r>
              <w:rPr>
                <w:color w:val="auto"/>
                <w:lang w:val="en-US" w:eastAsia="zh-CN"/>
              </w:rPr>
              <w:t>HJ819-2017</w:t>
            </w:r>
            <w:r>
              <w:rPr>
                <w:rFonts w:hint="eastAsia"/>
                <w:color w:val="auto"/>
                <w:lang w:val="en-US" w:eastAsia="zh-CN"/>
              </w:rPr>
              <w:t>）、《排污许可证申请与核发技术规范 工业噪声》（HJ1301—2023），对厂界噪声监测情况如下：</w:t>
            </w:r>
          </w:p>
          <w:p w14:paraId="48C6AF25">
            <w:pPr>
              <w:pStyle w:val="21"/>
              <w:bidi w:val="0"/>
              <w:rPr>
                <w:color w:val="auto"/>
              </w:rPr>
            </w:pPr>
            <w:r>
              <w:rPr>
                <w:rFonts w:hint="eastAsia"/>
                <w:color w:val="auto"/>
              </w:rPr>
              <w:t>表4-1</w:t>
            </w:r>
            <w:r>
              <w:rPr>
                <w:rFonts w:hint="eastAsia"/>
                <w:color w:val="auto"/>
                <w:lang w:val="en-US" w:eastAsia="zh-CN"/>
              </w:rPr>
              <w:t>4</w:t>
            </w:r>
            <w:r>
              <w:rPr>
                <w:rFonts w:hint="eastAsia"/>
                <w:color w:val="auto"/>
              </w:rPr>
              <w:t xml:space="preserve"> </w:t>
            </w:r>
            <w:r>
              <w:rPr>
                <w:rFonts w:hint="eastAsia"/>
                <w:color w:val="auto"/>
                <w:lang w:val="en-US" w:eastAsia="zh-CN"/>
              </w:rPr>
              <w:t xml:space="preserve"> </w:t>
            </w:r>
            <w:r>
              <w:rPr>
                <w:b/>
                <w:color w:val="auto"/>
                <w:szCs w:val="21"/>
              </w:rPr>
              <w:t>噪声</w:t>
            </w:r>
            <w:r>
              <w:rPr>
                <w:rFonts w:hint="eastAsia"/>
                <w:color w:val="auto"/>
              </w:rPr>
              <w:t>监测计划一览表</w:t>
            </w:r>
          </w:p>
          <w:tbl>
            <w:tblPr>
              <w:tblStyle w:val="12"/>
              <w:tblW w:w="4994"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62"/>
              <w:gridCol w:w="1622"/>
              <w:gridCol w:w="1201"/>
              <w:gridCol w:w="787"/>
              <w:gridCol w:w="1195"/>
              <w:gridCol w:w="2749"/>
            </w:tblGrid>
            <w:tr w14:paraId="71F295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458" w:type="pct"/>
                  <w:noWrap w:val="0"/>
                  <w:vAlign w:val="center"/>
                </w:tcPr>
                <w:p w14:paraId="237549A4">
                  <w:pPr>
                    <w:pStyle w:val="22"/>
                    <w:bidi w:val="0"/>
                    <w:rPr>
                      <w:b/>
                      <w:bCs/>
                      <w:color w:val="auto"/>
                      <w:lang w:val="en-US" w:eastAsia="zh-CN"/>
                    </w:rPr>
                  </w:pPr>
                  <w:r>
                    <w:rPr>
                      <w:b/>
                      <w:bCs/>
                      <w:color w:val="auto"/>
                      <w:lang w:val="en-US" w:eastAsia="zh-CN"/>
                    </w:rPr>
                    <w:t>序号</w:t>
                  </w:r>
                </w:p>
              </w:tc>
              <w:tc>
                <w:tcPr>
                  <w:tcW w:w="975" w:type="pct"/>
                  <w:noWrap w:val="0"/>
                  <w:vAlign w:val="center"/>
                </w:tcPr>
                <w:p w14:paraId="3ABE317E">
                  <w:pPr>
                    <w:pStyle w:val="22"/>
                    <w:bidi w:val="0"/>
                    <w:rPr>
                      <w:b/>
                      <w:bCs/>
                      <w:color w:val="auto"/>
                      <w:lang w:val="en-US" w:eastAsia="zh-CN"/>
                    </w:rPr>
                  </w:pPr>
                  <w:r>
                    <w:rPr>
                      <w:b/>
                      <w:bCs/>
                      <w:color w:val="auto"/>
                      <w:lang w:val="en-US" w:eastAsia="zh-CN"/>
                    </w:rPr>
                    <w:t>监测点位</w:t>
                  </w:r>
                </w:p>
              </w:tc>
              <w:tc>
                <w:tcPr>
                  <w:tcW w:w="721" w:type="pct"/>
                  <w:noWrap w:val="0"/>
                  <w:vAlign w:val="center"/>
                </w:tcPr>
                <w:p w14:paraId="5F8F8335">
                  <w:pPr>
                    <w:pStyle w:val="22"/>
                    <w:bidi w:val="0"/>
                    <w:rPr>
                      <w:b/>
                      <w:bCs/>
                      <w:color w:val="auto"/>
                      <w:lang w:val="en-US" w:eastAsia="zh-CN"/>
                    </w:rPr>
                  </w:pPr>
                  <w:r>
                    <w:rPr>
                      <w:b/>
                      <w:bCs/>
                      <w:color w:val="auto"/>
                      <w:lang w:val="en-US" w:eastAsia="zh-CN"/>
                    </w:rPr>
                    <w:t>监测项目</w:t>
                  </w:r>
                </w:p>
              </w:tc>
              <w:tc>
                <w:tcPr>
                  <w:tcW w:w="473" w:type="pct"/>
                  <w:noWrap w:val="0"/>
                  <w:vAlign w:val="center"/>
                </w:tcPr>
                <w:p w14:paraId="7545802A">
                  <w:pPr>
                    <w:pStyle w:val="22"/>
                    <w:bidi w:val="0"/>
                    <w:rPr>
                      <w:b/>
                      <w:bCs/>
                      <w:color w:val="auto"/>
                      <w:lang w:val="en-US" w:eastAsia="zh-CN"/>
                    </w:rPr>
                  </w:pPr>
                  <w:r>
                    <w:rPr>
                      <w:b/>
                      <w:bCs/>
                      <w:color w:val="auto"/>
                      <w:lang w:val="en-US" w:eastAsia="zh-CN"/>
                    </w:rPr>
                    <w:t>频率</w:t>
                  </w:r>
                </w:p>
              </w:tc>
              <w:tc>
                <w:tcPr>
                  <w:tcW w:w="718" w:type="pct"/>
                  <w:tcBorders>
                    <w:bottom w:val="single" w:color="auto" w:sz="4" w:space="0"/>
                  </w:tcBorders>
                  <w:noWrap w:val="0"/>
                  <w:vAlign w:val="center"/>
                </w:tcPr>
                <w:p w14:paraId="5E0EC58E">
                  <w:pPr>
                    <w:pStyle w:val="22"/>
                    <w:bidi w:val="0"/>
                    <w:rPr>
                      <w:b/>
                      <w:bCs/>
                      <w:color w:val="auto"/>
                      <w:lang w:val="en-US" w:eastAsia="zh-CN"/>
                    </w:rPr>
                  </w:pPr>
                  <w:r>
                    <w:rPr>
                      <w:b/>
                      <w:bCs/>
                      <w:color w:val="auto"/>
                      <w:lang w:val="en-US" w:eastAsia="zh-CN"/>
                    </w:rPr>
                    <w:t>实施单位</w:t>
                  </w:r>
                </w:p>
              </w:tc>
              <w:tc>
                <w:tcPr>
                  <w:tcW w:w="1653" w:type="pct"/>
                  <w:tcBorders>
                    <w:bottom w:val="single" w:color="auto" w:sz="4" w:space="0"/>
                  </w:tcBorders>
                  <w:noWrap w:val="0"/>
                  <w:vAlign w:val="center"/>
                </w:tcPr>
                <w:p w14:paraId="2D9192B0">
                  <w:pPr>
                    <w:pStyle w:val="22"/>
                    <w:bidi w:val="0"/>
                    <w:rPr>
                      <w:b/>
                      <w:bCs/>
                      <w:color w:val="auto"/>
                      <w:lang w:val="en-US" w:eastAsia="zh-CN"/>
                    </w:rPr>
                  </w:pPr>
                  <w:r>
                    <w:rPr>
                      <w:b/>
                      <w:bCs/>
                      <w:color w:val="auto"/>
                      <w:lang w:val="en-US" w:eastAsia="zh-CN"/>
                    </w:rPr>
                    <w:t>执行标准</w:t>
                  </w:r>
                </w:p>
              </w:tc>
            </w:tr>
            <w:tr w14:paraId="463384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458" w:type="pct"/>
                  <w:noWrap w:val="0"/>
                  <w:vAlign w:val="center"/>
                </w:tcPr>
                <w:p w14:paraId="163A639F">
                  <w:pPr>
                    <w:pStyle w:val="22"/>
                    <w:bidi w:val="0"/>
                    <w:rPr>
                      <w:color w:val="auto"/>
                      <w:lang w:val="en-US" w:eastAsia="zh-CN"/>
                    </w:rPr>
                  </w:pPr>
                  <w:r>
                    <w:rPr>
                      <w:color w:val="auto"/>
                      <w:lang w:val="en-US" w:eastAsia="zh-CN"/>
                    </w:rPr>
                    <w:t>1</w:t>
                  </w:r>
                </w:p>
              </w:tc>
              <w:tc>
                <w:tcPr>
                  <w:tcW w:w="975" w:type="pct"/>
                  <w:noWrap w:val="0"/>
                  <w:vAlign w:val="center"/>
                </w:tcPr>
                <w:p w14:paraId="5952E329">
                  <w:pPr>
                    <w:pStyle w:val="22"/>
                    <w:bidi w:val="0"/>
                    <w:rPr>
                      <w:color w:val="auto"/>
                      <w:lang w:val="en-US" w:eastAsia="zh-CN"/>
                    </w:rPr>
                  </w:pPr>
                  <w:r>
                    <w:rPr>
                      <w:color w:val="auto"/>
                      <w:lang w:val="en-US" w:eastAsia="zh-CN"/>
                    </w:rPr>
                    <w:t>项目四周，东南西北各一个监测点</w:t>
                  </w:r>
                </w:p>
              </w:tc>
              <w:tc>
                <w:tcPr>
                  <w:tcW w:w="721" w:type="pct"/>
                  <w:noWrap w:val="0"/>
                  <w:vAlign w:val="center"/>
                </w:tcPr>
                <w:p w14:paraId="6247B76E">
                  <w:pPr>
                    <w:pStyle w:val="22"/>
                    <w:bidi w:val="0"/>
                    <w:rPr>
                      <w:color w:val="auto"/>
                      <w:lang w:val="en-US" w:eastAsia="zh-CN"/>
                    </w:rPr>
                  </w:pPr>
                  <w:r>
                    <w:rPr>
                      <w:color w:val="auto"/>
                      <w:lang w:val="en-US" w:eastAsia="zh-CN"/>
                    </w:rPr>
                    <w:t>昼夜间厂界噪声</w:t>
                  </w:r>
                </w:p>
              </w:tc>
              <w:tc>
                <w:tcPr>
                  <w:tcW w:w="473" w:type="pct"/>
                  <w:noWrap w:val="0"/>
                  <w:vAlign w:val="center"/>
                </w:tcPr>
                <w:p w14:paraId="0F52FBD3">
                  <w:pPr>
                    <w:pStyle w:val="22"/>
                    <w:bidi w:val="0"/>
                    <w:rPr>
                      <w:color w:val="auto"/>
                      <w:lang w:val="en-US" w:eastAsia="zh-CN"/>
                    </w:rPr>
                  </w:pPr>
                  <w:r>
                    <w:rPr>
                      <w:color w:val="auto"/>
                      <w:lang w:val="en-US" w:eastAsia="zh-CN"/>
                    </w:rPr>
                    <w:t>1次/季</w:t>
                  </w:r>
                </w:p>
              </w:tc>
              <w:tc>
                <w:tcPr>
                  <w:tcW w:w="718" w:type="pct"/>
                  <w:noWrap w:val="0"/>
                  <w:vAlign w:val="center"/>
                </w:tcPr>
                <w:p w14:paraId="5B461535">
                  <w:pPr>
                    <w:pStyle w:val="22"/>
                    <w:bidi w:val="0"/>
                    <w:rPr>
                      <w:color w:val="auto"/>
                      <w:lang w:val="en-US" w:eastAsia="zh-CN"/>
                    </w:rPr>
                  </w:pPr>
                  <w:r>
                    <w:rPr>
                      <w:color w:val="auto"/>
                      <w:lang w:val="en-US" w:eastAsia="zh-CN"/>
                    </w:rPr>
                    <w:t>有资质的监测单位</w:t>
                  </w:r>
                </w:p>
              </w:tc>
              <w:tc>
                <w:tcPr>
                  <w:tcW w:w="1653" w:type="pct"/>
                  <w:noWrap w:val="0"/>
                  <w:vAlign w:val="center"/>
                </w:tcPr>
                <w:p w14:paraId="5F6EAEC1">
                  <w:pPr>
                    <w:pStyle w:val="22"/>
                    <w:bidi w:val="0"/>
                    <w:rPr>
                      <w:color w:val="auto"/>
                      <w:lang w:val="en-US" w:eastAsia="zh-CN"/>
                    </w:rPr>
                  </w:pPr>
                  <w:r>
                    <w:rPr>
                      <w:color w:val="auto"/>
                      <w:lang w:val="en-US" w:eastAsia="zh-CN"/>
                    </w:rPr>
                    <w:t>《工业企业厂界环境噪声排放标准》（GB12348-2008）3类标准要求</w:t>
                  </w:r>
                </w:p>
              </w:tc>
            </w:tr>
          </w:tbl>
          <w:p w14:paraId="1A4317DA">
            <w:pPr>
              <w:bidi w:val="0"/>
              <w:rPr>
                <w:b/>
                <w:bCs/>
                <w:color w:val="auto"/>
              </w:rPr>
            </w:pPr>
            <w:r>
              <w:rPr>
                <w:rFonts w:hint="eastAsia"/>
                <w:b/>
                <w:bCs/>
                <w:color w:val="auto"/>
              </w:rPr>
              <w:t>四、</w:t>
            </w:r>
            <w:r>
              <w:rPr>
                <w:b/>
                <w:bCs/>
                <w:color w:val="auto"/>
              </w:rPr>
              <w:t>固体废物</w:t>
            </w:r>
          </w:p>
          <w:p w14:paraId="5A5D83BE">
            <w:pPr>
              <w:bidi w:val="0"/>
              <w:rPr>
                <w:color w:val="auto"/>
              </w:rPr>
            </w:pPr>
            <w:r>
              <w:rPr>
                <w:rFonts w:hint="eastAsia"/>
                <w:color w:val="auto"/>
              </w:rPr>
              <w:t>本项目产生的固体废弃物主要为</w:t>
            </w:r>
            <w:r>
              <w:rPr>
                <w:rFonts w:hint="eastAsia"/>
                <w:color w:val="auto"/>
                <w:lang w:val="en-US" w:eastAsia="zh-CN"/>
              </w:rPr>
              <w:t>一般固体废物、</w:t>
            </w:r>
            <w:r>
              <w:rPr>
                <w:rFonts w:hint="eastAsia"/>
                <w:color w:val="auto"/>
              </w:rPr>
              <w:t>危险废物</w:t>
            </w:r>
            <w:r>
              <w:rPr>
                <w:rFonts w:hint="eastAsia"/>
                <w:color w:val="auto"/>
                <w:lang w:val="en-US" w:eastAsia="zh-CN"/>
              </w:rPr>
              <w:t>和生活垃圾</w:t>
            </w:r>
            <w:r>
              <w:rPr>
                <w:rFonts w:hint="eastAsia"/>
                <w:color w:val="auto"/>
              </w:rPr>
              <w:t>，</w:t>
            </w:r>
            <w:r>
              <w:rPr>
                <w:rFonts w:hint="eastAsia"/>
                <w:color w:val="auto"/>
                <w:lang w:val="en-US" w:eastAsia="zh-CN"/>
              </w:rPr>
              <w:t>一般固废包括生产过程产生的</w:t>
            </w:r>
            <w:r>
              <w:rPr>
                <w:rFonts w:hint="eastAsia"/>
                <w:color w:val="auto"/>
              </w:rPr>
              <w:t>废</w:t>
            </w:r>
            <w:r>
              <w:rPr>
                <w:rFonts w:hint="eastAsia"/>
                <w:color w:val="auto"/>
                <w:lang w:val="en-US" w:eastAsia="zh-CN"/>
              </w:rPr>
              <w:t>包装材料</w:t>
            </w:r>
            <w:r>
              <w:rPr>
                <w:rFonts w:hint="eastAsia"/>
                <w:color w:val="auto"/>
              </w:rPr>
              <w:t>、</w:t>
            </w:r>
            <w:r>
              <w:rPr>
                <w:rFonts w:hint="eastAsia"/>
                <w:color w:val="auto"/>
                <w:lang w:val="en-US" w:eastAsia="zh-CN"/>
              </w:rPr>
              <w:t>边角料、废气收集粉尘、检验不合格品和滤网；</w:t>
            </w:r>
            <w:r>
              <w:rPr>
                <w:rFonts w:hint="eastAsia"/>
                <w:color w:val="auto"/>
              </w:rPr>
              <w:t>危险废物包括：</w:t>
            </w:r>
            <w:r>
              <w:rPr>
                <w:rFonts w:hint="eastAsia"/>
                <w:color w:val="auto"/>
                <w:lang w:val="en-US" w:eastAsia="zh-CN"/>
              </w:rPr>
              <w:t>废包装桶和废机油、含油抹布、手套、废活性炭</w:t>
            </w:r>
            <w:r>
              <w:rPr>
                <w:color w:val="auto"/>
              </w:rPr>
              <w:t>。</w:t>
            </w:r>
          </w:p>
          <w:p w14:paraId="008E915B">
            <w:pPr>
              <w:keepNext w:val="0"/>
              <w:keepLines w:val="0"/>
              <w:suppressLineNumbers w:val="0"/>
              <w:spacing w:before="24" w:beforeAutospacing="0" w:after="24" w:afterAutospacing="0"/>
              <w:ind w:left="0" w:right="0" w:firstLine="480"/>
              <w:rPr>
                <w:rFonts w:hint="default"/>
                <w:color w:val="auto"/>
                <w:highlight w:val="none"/>
                <w:lang w:val="en-US" w:eastAsia="zh-CN"/>
              </w:rPr>
            </w:pPr>
            <w:r>
              <w:rPr>
                <w:rFonts w:hint="eastAsia"/>
                <w:color w:val="auto"/>
                <w:lang w:val="en-US" w:eastAsia="zh-CN"/>
              </w:rPr>
              <w:t>检验不合格产品、切割边角料在产生部位直接返回至加工工序，不脱离产生点进行收集暂存使用，根据《固体废物鉴别标准 通则》（GB34330-2017）：“任何不需要修复和加工即可用于其原始用途的物质，或者在产生点经过修复和加工后满足国家、地方制定或行业通行的产品质量标准并且用于其原始用途的物质；”、“不经过贮存或堆积过程，而在现场直接返回到原生产过程或返回其产生过程的物质”，不合格产品、切割边角料不纳入固废管理。</w:t>
            </w:r>
          </w:p>
          <w:p w14:paraId="1F715FE2">
            <w:pPr>
              <w:bidi w:val="0"/>
              <w:rPr>
                <w:rFonts w:hint="eastAsia"/>
                <w:b/>
                <w:bCs/>
                <w:color w:val="auto"/>
              </w:rPr>
            </w:pPr>
            <w:r>
              <w:rPr>
                <w:rFonts w:hint="eastAsia"/>
                <w:b/>
                <w:bCs/>
                <w:color w:val="auto"/>
              </w:rPr>
              <w:t>（1）</w:t>
            </w:r>
            <w:r>
              <w:rPr>
                <w:rFonts w:hint="eastAsia"/>
                <w:b/>
                <w:bCs/>
                <w:color w:val="auto"/>
                <w:lang w:val="en-US" w:eastAsia="zh-CN"/>
              </w:rPr>
              <w:t>一般固体废物</w:t>
            </w:r>
            <w:r>
              <w:rPr>
                <w:rFonts w:hint="eastAsia"/>
                <w:b/>
                <w:bCs/>
                <w:color w:val="auto"/>
              </w:rPr>
              <w:t>产生及处置情况</w:t>
            </w:r>
          </w:p>
          <w:p w14:paraId="5B48F488">
            <w:pPr>
              <w:bidi w:val="0"/>
              <w:rPr>
                <w:rFonts w:hint="eastAsia"/>
                <w:color w:val="auto"/>
              </w:rPr>
            </w:pPr>
            <w:r>
              <w:rPr>
                <w:rFonts w:hint="eastAsia"/>
                <w:color w:val="auto"/>
              </w:rPr>
              <w:t>①</w:t>
            </w:r>
            <w:r>
              <w:rPr>
                <w:color w:val="auto"/>
              </w:rPr>
              <w:t>废</w:t>
            </w:r>
            <w:r>
              <w:rPr>
                <w:rFonts w:hint="eastAsia"/>
                <w:color w:val="auto"/>
                <w:lang w:val="en-US" w:eastAsia="zh-CN"/>
              </w:rPr>
              <w:t>包装材料</w:t>
            </w:r>
            <w:r>
              <w:rPr>
                <w:rFonts w:hint="eastAsia"/>
                <w:color w:val="auto"/>
              </w:rPr>
              <w:t>：本项目</w:t>
            </w:r>
            <w:r>
              <w:rPr>
                <w:rFonts w:hint="eastAsia"/>
                <w:color w:val="auto"/>
                <w:lang w:val="en-US" w:eastAsia="zh-CN"/>
              </w:rPr>
              <w:t>使用塑料颗粒等</w:t>
            </w:r>
            <w:r>
              <w:rPr>
                <w:rFonts w:hint="eastAsia"/>
                <w:color w:val="auto"/>
              </w:rPr>
              <w:t>产生</w:t>
            </w:r>
            <w:r>
              <w:rPr>
                <w:rFonts w:hint="eastAsia"/>
                <w:color w:val="auto"/>
                <w:lang w:val="en-US" w:eastAsia="zh-CN"/>
              </w:rPr>
              <w:t>废包装材料，年产生量约为0.1t/a，收集后暂存一般固废间，定期外售物资回收部门。</w:t>
            </w:r>
          </w:p>
          <w:p w14:paraId="39F12EF2">
            <w:pPr>
              <w:bidi w:val="0"/>
              <w:rPr>
                <w:rFonts w:hint="eastAsia"/>
                <w:color w:val="0000FF"/>
                <w:lang w:val="en-US" w:eastAsia="zh-CN"/>
              </w:rPr>
            </w:pPr>
            <w:r>
              <w:rPr>
                <w:rFonts w:hint="eastAsia"/>
                <w:color w:val="auto"/>
              </w:rPr>
              <w:t>②</w:t>
            </w:r>
            <w:r>
              <w:rPr>
                <w:rFonts w:hint="eastAsia"/>
                <w:color w:val="auto"/>
                <w:lang w:val="en-US" w:eastAsia="zh-CN"/>
              </w:rPr>
              <w:t>收集粉尘：根据工程分析，粉尘收集约10.7t/a，收集后按照一般固废处置或综合利用。</w:t>
            </w:r>
          </w:p>
          <w:p w14:paraId="054DE356">
            <w:pPr>
              <w:spacing w:line="360" w:lineRule="auto"/>
              <w:ind w:firstLine="480" w:firstLineChars="200"/>
              <w:rPr>
                <w:rFonts w:hint="eastAsia"/>
                <w:color w:val="auto"/>
                <w:lang w:val="en-US" w:eastAsia="zh-CN"/>
              </w:rPr>
            </w:pPr>
            <w:r>
              <w:rPr>
                <w:rFonts w:hint="eastAsia"/>
                <w:color w:val="auto"/>
              </w:rPr>
              <w:t>③</w:t>
            </w:r>
            <w:r>
              <w:rPr>
                <w:rFonts w:hint="eastAsia"/>
                <w:color w:val="auto"/>
                <w:szCs w:val="21"/>
                <w:lang w:val="en-US" w:eastAsia="zh-CN"/>
              </w:rPr>
              <w:t>滤网：熔体压力比开机初始压力持续升高20%或以上时需要更换滤网，使用新料一般5天更换一次，每次更换重量约为4kg，年产生量为0.24t/a</w:t>
            </w:r>
            <w:r>
              <w:rPr>
                <w:rFonts w:hint="eastAsia"/>
                <w:color w:val="auto"/>
                <w:lang w:val="en-US" w:eastAsia="zh-CN"/>
              </w:rPr>
              <w:t>，根据《危险废物排除管理清单（2026年版）》：聚乙烯（PE）树脂、聚丙烯（PP）树脂、聚苯乙烯（PS）树脂、聚氯乙烯（PVC）树脂、丙烯腈-丁二烯-苯乙烯（ABS）树脂、聚对苯二甲酸乙二醇酯（PET）树脂、聚对苯二甲酸丁二醇酯（PBT）树脂等七类树脂造粒加工生产产品过程中产生的不合格产品、大饼料、落地料、水涝料以及过渡料。本项目滤网属于聚乙烯（PE）树脂、聚丙烯（PP）树脂进行熔融挤出生产管材，与造粒工序生产产品工序一致，因此滤网收集于一般固废暂存间，定期外售物资回收部门。</w:t>
            </w:r>
          </w:p>
          <w:p w14:paraId="259EB415">
            <w:pPr>
              <w:pStyle w:val="21"/>
              <w:bidi w:val="0"/>
              <w:rPr>
                <w:rFonts w:hint="eastAsia"/>
                <w:color w:val="auto"/>
                <w:lang w:eastAsia="zh-CN"/>
              </w:rPr>
            </w:pPr>
            <w:r>
              <w:rPr>
                <w:rFonts w:hint="eastAsia"/>
                <w:color w:val="auto"/>
              </w:rPr>
              <w:t>表4-1</w:t>
            </w:r>
            <w:r>
              <w:rPr>
                <w:rFonts w:hint="eastAsia"/>
                <w:color w:val="auto"/>
                <w:lang w:val="en-US" w:eastAsia="zh-CN"/>
              </w:rPr>
              <w:t xml:space="preserve">5  </w:t>
            </w:r>
            <w:r>
              <w:rPr>
                <w:rFonts w:hint="eastAsia"/>
                <w:color w:val="auto"/>
              </w:rPr>
              <w:t>本项目一般工业固废产生及处理处置措施</w:t>
            </w:r>
            <w:r>
              <w:rPr>
                <w:rFonts w:hint="eastAsia"/>
                <w:color w:val="auto"/>
                <w:lang w:eastAsia="zh-CN"/>
              </w:rPr>
              <w:t>（</w:t>
            </w:r>
            <w:r>
              <w:rPr>
                <w:rFonts w:hint="eastAsia"/>
                <w:color w:val="auto"/>
              </w:rPr>
              <w:t>单位：t/a</w:t>
            </w:r>
            <w:r>
              <w:rPr>
                <w:rFonts w:hint="eastAsia"/>
                <w:color w:val="auto"/>
                <w:lang w:eastAsia="zh-CN"/>
              </w:rPr>
              <w:t>）</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384"/>
              <w:gridCol w:w="1351"/>
              <w:gridCol w:w="1157"/>
              <w:gridCol w:w="1358"/>
              <w:gridCol w:w="876"/>
              <w:gridCol w:w="1556"/>
            </w:tblGrid>
            <w:tr w14:paraId="0E74C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noWrap w:val="0"/>
                  <w:vAlign w:val="center"/>
                </w:tcPr>
                <w:p w14:paraId="63248B4B">
                  <w:pPr>
                    <w:pStyle w:val="22"/>
                    <w:bidi w:val="0"/>
                    <w:rPr>
                      <w:b/>
                      <w:bCs/>
                      <w:color w:val="auto"/>
                    </w:rPr>
                  </w:pPr>
                  <w:r>
                    <w:rPr>
                      <w:b/>
                      <w:bCs/>
                      <w:color w:val="auto"/>
                    </w:rPr>
                    <w:t>序号</w:t>
                  </w:r>
                </w:p>
              </w:tc>
              <w:tc>
                <w:tcPr>
                  <w:tcW w:w="830" w:type="pct"/>
                  <w:noWrap w:val="0"/>
                  <w:vAlign w:val="center"/>
                </w:tcPr>
                <w:p w14:paraId="3C9C3917">
                  <w:pPr>
                    <w:pStyle w:val="22"/>
                    <w:bidi w:val="0"/>
                    <w:rPr>
                      <w:b/>
                      <w:bCs/>
                      <w:color w:val="auto"/>
                    </w:rPr>
                  </w:pPr>
                  <w:r>
                    <w:rPr>
                      <w:b/>
                      <w:bCs/>
                      <w:color w:val="auto"/>
                    </w:rPr>
                    <w:t>废物名称</w:t>
                  </w:r>
                </w:p>
              </w:tc>
              <w:tc>
                <w:tcPr>
                  <w:tcW w:w="810" w:type="pct"/>
                  <w:noWrap w:val="0"/>
                  <w:vAlign w:val="center"/>
                </w:tcPr>
                <w:p w14:paraId="594669F5">
                  <w:pPr>
                    <w:pStyle w:val="22"/>
                    <w:bidi w:val="0"/>
                    <w:rPr>
                      <w:b/>
                      <w:bCs/>
                      <w:color w:val="auto"/>
                    </w:rPr>
                  </w:pPr>
                  <w:r>
                    <w:rPr>
                      <w:b/>
                      <w:bCs/>
                      <w:color w:val="auto"/>
                    </w:rPr>
                    <w:t>产物工序</w:t>
                  </w:r>
                </w:p>
              </w:tc>
              <w:tc>
                <w:tcPr>
                  <w:tcW w:w="694" w:type="pct"/>
                  <w:noWrap w:val="0"/>
                  <w:vAlign w:val="center"/>
                </w:tcPr>
                <w:p w14:paraId="2F587CA8">
                  <w:pPr>
                    <w:pStyle w:val="22"/>
                    <w:bidi w:val="0"/>
                    <w:rPr>
                      <w:b/>
                      <w:bCs/>
                      <w:color w:val="auto"/>
                    </w:rPr>
                  </w:pPr>
                  <w:r>
                    <w:rPr>
                      <w:b/>
                      <w:bCs/>
                      <w:color w:val="auto"/>
                    </w:rPr>
                    <w:t>类别</w:t>
                  </w:r>
                </w:p>
              </w:tc>
              <w:tc>
                <w:tcPr>
                  <w:tcW w:w="814" w:type="pct"/>
                  <w:noWrap w:val="0"/>
                  <w:vAlign w:val="center"/>
                </w:tcPr>
                <w:p w14:paraId="359888D3">
                  <w:pPr>
                    <w:pStyle w:val="22"/>
                    <w:bidi w:val="0"/>
                    <w:rPr>
                      <w:b/>
                      <w:bCs/>
                      <w:color w:val="auto"/>
                    </w:rPr>
                  </w:pPr>
                  <w:r>
                    <w:rPr>
                      <w:b/>
                      <w:bCs/>
                      <w:color w:val="auto"/>
                    </w:rPr>
                    <w:t>代码</w:t>
                  </w:r>
                </w:p>
              </w:tc>
              <w:tc>
                <w:tcPr>
                  <w:tcW w:w="525" w:type="pct"/>
                  <w:noWrap w:val="0"/>
                  <w:vAlign w:val="center"/>
                </w:tcPr>
                <w:p w14:paraId="76DF1C4D">
                  <w:pPr>
                    <w:pStyle w:val="22"/>
                    <w:bidi w:val="0"/>
                    <w:rPr>
                      <w:b/>
                      <w:bCs/>
                      <w:color w:val="auto"/>
                    </w:rPr>
                  </w:pPr>
                  <w:r>
                    <w:rPr>
                      <w:b/>
                      <w:bCs/>
                      <w:color w:val="auto"/>
                    </w:rPr>
                    <w:t>产生量（t/a）</w:t>
                  </w:r>
                </w:p>
              </w:tc>
              <w:tc>
                <w:tcPr>
                  <w:tcW w:w="933" w:type="pct"/>
                  <w:noWrap w:val="0"/>
                  <w:vAlign w:val="center"/>
                </w:tcPr>
                <w:p w14:paraId="31A5005D">
                  <w:pPr>
                    <w:pStyle w:val="22"/>
                    <w:bidi w:val="0"/>
                    <w:rPr>
                      <w:b/>
                      <w:bCs/>
                      <w:color w:val="auto"/>
                    </w:rPr>
                  </w:pPr>
                  <w:r>
                    <w:rPr>
                      <w:b/>
                      <w:bCs/>
                      <w:color w:val="auto"/>
                    </w:rPr>
                    <w:t>处置措施</w:t>
                  </w:r>
                </w:p>
              </w:tc>
            </w:tr>
            <w:tr w14:paraId="6D48F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noWrap w:val="0"/>
                  <w:vAlign w:val="center"/>
                </w:tcPr>
                <w:p w14:paraId="42765838">
                  <w:pPr>
                    <w:pStyle w:val="22"/>
                    <w:bidi w:val="0"/>
                    <w:rPr>
                      <w:rFonts w:hint="eastAsia"/>
                      <w:color w:val="auto"/>
                      <w:lang w:eastAsia="zh-CN"/>
                    </w:rPr>
                  </w:pPr>
                  <w:r>
                    <w:rPr>
                      <w:rFonts w:hint="eastAsia"/>
                      <w:color w:val="auto"/>
                      <w:lang w:val="en-US" w:eastAsia="zh-CN"/>
                    </w:rPr>
                    <w:t>1</w:t>
                  </w:r>
                </w:p>
              </w:tc>
              <w:tc>
                <w:tcPr>
                  <w:tcW w:w="830" w:type="pct"/>
                  <w:noWrap w:val="0"/>
                  <w:vAlign w:val="center"/>
                </w:tcPr>
                <w:p w14:paraId="189A1D07">
                  <w:pPr>
                    <w:pStyle w:val="22"/>
                    <w:bidi w:val="0"/>
                    <w:rPr>
                      <w:rFonts w:hint="eastAsia"/>
                      <w:color w:val="auto"/>
                      <w:lang w:eastAsia="zh-CN"/>
                    </w:rPr>
                  </w:pPr>
                  <w:r>
                    <w:rPr>
                      <w:rFonts w:hint="eastAsia"/>
                      <w:color w:val="auto"/>
                      <w:lang w:val="en-US" w:eastAsia="zh-CN"/>
                    </w:rPr>
                    <w:t>废包装材料</w:t>
                  </w:r>
                </w:p>
              </w:tc>
              <w:tc>
                <w:tcPr>
                  <w:tcW w:w="810" w:type="pct"/>
                  <w:noWrap w:val="0"/>
                  <w:vAlign w:val="center"/>
                </w:tcPr>
                <w:p w14:paraId="060D5BA8">
                  <w:pPr>
                    <w:pStyle w:val="22"/>
                    <w:bidi w:val="0"/>
                    <w:rPr>
                      <w:rFonts w:hint="eastAsia"/>
                      <w:color w:val="auto"/>
                      <w:lang w:eastAsia="zh-CN"/>
                    </w:rPr>
                  </w:pPr>
                  <w:r>
                    <w:rPr>
                      <w:rFonts w:hint="eastAsia"/>
                      <w:color w:val="auto"/>
                      <w:lang w:val="en-US" w:eastAsia="zh-CN"/>
                    </w:rPr>
                    <w:t>原料使用</w:t>
                  </w:r>
                </w:p>
              </w:tc>
              <w:tc>
                <w:tcPr>
                  <w:tcW w:w="694" w:type="pct"/>
                  <w:noWrap w:val="0"/>
                  <w:vAlign w:val="center"/>
                </w:tcPr>
                <w:p w14:paraId="7C2305B9">
                  <w:pPr>
                    <w:pStyle w:val="22"/>
                    <w:bidi w:val="0"/>
                    <w:rPr>
                      <w:color w:val="auto"/>
                    </w:rPr>
                  </w:pPr>
                  <w:r>
                    <w:rPr>
                      <w:color w:val="auto"/>
                    </w:rPr>
                    <w:t>一般固废</w:t>
                  </w:r>
                </w:p>
              </w:tc>
              <w:tc>
                <w:tcPr>
                  <w:tcW w:w="814" w:type="pct"/>
                  <w:noWrap w:val="0"/>
                  <w:vAlign w:val="center"/>
                </w:tcPr>
                <w:p w14:paraId="2231F561">
                  <w:pPr>
                    <w:pStyle w:val="22"/>
                    <w:bidi w:val="0"/>
                    <w:rPr>
                      <w:color w:val="auto"/>
                    </w:rPr>
                  </w:pPr>
                  <w:r>
                    <w:rPr>
                      <w:rFonts w:hint="eastAsia"/>
                      <w:color w:val="auto"/>
                      <w:lang w:val="en-US" w:eastAsia="zh-CN"/>
                    </w:rPr>
                    <w:t>292</w:t>
                  </w:r>
                  <w:r>
                    <w:rPr>
                      <w:rFonts w:hint="eastAsia"/>
                      <w:color w:val="auto"/>
                    </w:rPr>
                    <w:t>-</w:t>
                  </w:r>
                  <w:r>
                    <w:rPr>
                      <w:rFonts w:hint="eastAsia"/>
                      <w:color w:val="auto"/>
                      <w:lang w:val="en-US" w:eastAsia="zh-CN"/>
                    </w:rPr>
                    <w:t>009</w:t>
                  </w:r>
                  <w:r>
                    <w:rPr>
                      <w:rFonts w:hint="eastAsia"/>
                      <w:color w:val="auto"/>
                    </w:rPr>
                    <w:t>-</w:t>
                  </w:r>
                  <w:r>
                    <w:rPr>
                      <w:rFonts w:hint="eastAsia"/>
                      <w:color w:val="auto"/>
                      <w:lang w:val="en-US" w:eastAsia="zh-CN"/>
                    </w:rPr>
                    <w:t>07</w:t>
                  </w:r>
                </w:p>
              </w:tc>
              <w:tc>
                <w:tcPr>
                  <w:tcW w:w="525" w:type="pct"/>
                  <w:noWrap w:val="0"/>
                  <w:vAlign w:val="center"/>
                </w:tcPr>
                <w:p w14:paraId="46647480">
                  <w:pPr>
                    <w:pStyle w:val="22"/>
                    <w:bidi w:val="0"/>
                    <w:rPr>
                      <w:rFonts w:hint="default"/>
                      <w:color w:val="auto"/>
                      <w:lang w:val="en-US" w:eastAsia="zh-CN"/>
                    </w:rPr>
                  </w:pPr>
                  <w:r>
                    <w:rPr>
                      <w:rFonts w:hint="eastAsia"/>
                      <w:color w:val="auto"/>
                      <w:lang w:val="en-US" w:eastAsia="zh-CN"/>
                    </w:rPr>
                    <w:t>0.1</w:t>
                  </w:r>
                </w:p>
              </w:tc>
              <w:tc>
                <w:tcPr>
                  <w:tcW w:w="933" w:type="pct"/>
                  <w:noWrap w:val="0"/>
                  <w:vAlign w:val="center"/>
                </w:tcPr>
                <w:p w14:paraId="7EE2AAD6">
                  <w:pPr>
                    <w:pStyle w:val="22"/>
                    <w:bidi w:val="0"/>
                    <w:rPr>
                      <w:color w:val="auto"/>
                    </w:rPr>
                  </w:pPr>
                  <w:r>
                    <w:rPr>
                      <w:rFonts w:hint="eastAsia"/>
                      <w:color w:val="auto"/>
                      <w:lang w:val="en-US" w:eastAsia="zh-CN"/>
                    </w:rPr>
                    <w:t>收集后</w:t>
                  </w:r>
                  <w:r>
                    <w:rPr>
                      <w:rFonts w:hint="eastAsia"/>
                      <w:color w:val="auto"/>
                    </w:rPr>
                    <w:t>外售</w:t>
                  </w:r>
                </w:p>
              </w:tc>
            </w:tr>
            <w:tr w14:paraId="5BCC6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noWrap w:val="0"/>
                  <w:vAlign w:val="center"/>
                </w:tcPr>
                <w:p w14:paraId="628688CA">
                  <w:pPr>
                    <w:pStyle w:val="22"/>
                    <w:bidi w:val="0"/>
                    <w:rPr>
                      <w:rFonts w:hint="default"/>
                      <w:color w:val="auto"/>
                      <w:lang w:val="en-US" w:eastAsia="zh-CN"/>
                    </w:rPr>
                  </w:pPr>
                  <w:r>
                    <w:rPr>
                      <w:rFonts w:hint="eastAsia"/>
                      <w:color w:val="auto"/>
                      <w:lang w:val="en-US" w:eastAsia="zh-CN"/>
                    </w:rPr>
                    <w:t>2</w:t>
                  </w:r>
                </w:p>
              </w:tc>
              <w:tc>
                <w:tcPr>
                  <w:tcW w:w="830" w:type="pct"/>
                  <w:noWrap w:val="0"/>
                  <w:vAlign w:val="center"/>
                </w:tcPr>
                <w:p w14:paraId="35F8CD71">
                  <w:pPr>
                    <w:pStyle w:val="22"/>
                    <w:bidi w:val="0"/>
                    <w:ind w:firstLine="0" w:firstLineChars="0"/>
                    <w:rPr>
                      <w:rFonts w:hint="default"/>
                      <w:color w:val="auto"/>
                      <w:lang w:val="en-US" w:eastAsia="zh-CN"/>
                    </w:rPr>
                  </w:pPr>
                  <w:r>
                    <w:rPr>
                      <w:rFonts w:hint="eastAsia"/>
                      <w:color w:val="auto"/>
                      <w:lang w:val="en-US" w:eastAsia="zh-CN"/>
                    </w:rPr>
                    <w:t>收集粉尘</w:t>
                  </w:r>
                </w:p>
              </w:tc>
              <w:tc>
                <w:tcPr>
                  <w:tcW w:w="810" w:type="pct"/>
                  <w:noWrap w:val="0"/>
                  <w:vAlign w:val="center"/>
                </w:tcPr>
                <w:p w14:paraId="6446BB5E">
                  <w:pPr>
                    <w:pStyle w:val="22"/>
                    <w:bidi w:val="0"/>
                    <w:ind w:firstLine="0" w:firstLineChars="0"/>
                    <w:rPr>
                      <w:rFonts w:hint="default"/>
                      <w:color w:val="auto"/>
                      <w:lang w:val="en-US" w:eastAsia="zh-CN"/>
                    </w:rPr>
                  </w:pPr>
                  <w:r>
                    <w:rPr>
                      <w:rFonts w:hint="eastAsia"/>
                      <w:color w:val="auto"/>
                      <w:lang w:val="en-US" w:eastAsia="zh-CN"/>
                    </w:rPr>
                    <w:t>废气处理</w:t>
                  </w:r>
                </w:p>
              </w:tc>
              <w:tc>
                <w:tcPr>
                  <w:tcW w:w="694" w:type="pct"/>
                  <w:noWrap w:val="0"/>
                  <w:vAlign w:val="center"/>
                </w:tcPr>
                <w:p w14:paraId="18669FB2">
                  <w:pPr>
                    <w:pStyle w:val="22"/>
                    <w:bidi w:val="0"/>
                    <w:ind w:firstLine="0" w:firstLineChars="0"/>
                    <w:rPr>
                      <w:color w:val="auto"/>
                    </w:rPr>
                  </w:pPr>
                  <w:r>
                    <w:rPr>
                      <w:color w:val="auto"/>
                    </w:rPr>
                    <w:t>一般固废</w:t>
                  </w:r>
                </w:p>
              </w:tc>
              <w:tc>
                <w:tcPr>
                  <w:tcW w:w="814" w:type="pct"/>
                  <w:noWrap w:val="0"/>
                  <w:vAlign w:val="center"/>
                </w:tcPr>
                <w:p w14:paraId="22BAA9F4">
                  <w:pPr>
                    <w:pStyle w:val="22"/>
                    <w:bidi w:val="0"/>
                    <w:ind w:firstLine="0" w:firstLineChars="0"/>
                    <w:rPr>
                      <w:rFonts w:hint="eastAsia"/>
                      <w:color w:val="auto"/>
                      <w:lang w:val="en-US" w:eastAsia="zh-CN"/>
                    </w:rPr>
                  </w:pPr>
                  <w:r>
                    <w:rPr>
                      <w:rFonts w:hint="eastAsia"/>
                      <w:color w:val="auto"/>
                      <w:lang w:val="en-US" w:eastAsia="zh-CN"/>
                    </w:rPr>
                    <w:t>292</w:t>
                  </w:r>
                  <w:r>
                    <w:rPr>
                      <w:rFonts w:hint="eastAsia"/>
                      <w:color w:val="auto"/>
                    </w:rPr>
                    <w:t>-</w:t>
                  </w:r>
                  <w:r>
                    <w:rPr>
                      <w:rFonts w:hint="eastAsia"/>
                      <w:color w:val="auto"/>
                      <w:lang w:val="en-US" w:eastAsia="zh-CN"/>
                    </w:rPr>
                    <w:t>009</w:t>
                  </w:r>
                  <w:r>
                    <w:rPr>
                      <w:rFonts w:hint="eastAsia"/>
                      <w:color w:val="auto"/>
                    </w:rPr>
                    <w:t>-</w:t>
                  </w:r>
                  <w:r>
                    <w:rPr>
                      <w:rFonts w:hint="eastAsia"/>
                      <w:color w:val="auto"/>
                      <w:lang w:val="en-US" w:eastAsia="zh-CN"/>
                    </w:rPr>
                    <w:t>66</w:t>
                  </w:r>
                </w:p>
              </w:tc>
              <w:tc>
                <w:tcPr>
                  <w:tcW w:w="525" w:type="pct"/>
                  <w:noWrap w:val="0"/>
                  <w:vAlign w:val="center"/>
                </w:tcPr>
                <w:p w14:paraId="36C7A9CA">
                  <w:pPr>
                    <w:pStyle w:val="22"/>
                    <w:bidi w:val="0"/>
                    <w:ind w:firstLine="0" w:firstLineChars="0"/>
                    <w:rPr>
                      <w:rFonts w:hint="default"/>
                      <w:color w:val="auto"/>
                      <w:lang w:val="en-US" w:eastAsia="zh-CN"/>
                    </w:rPr>
                  </w:pPr>
                  <w:r>
                    <w:rPr>
                      <w:rFonts w:hint="eastAsia"/>
                      <w:color w:val="auto"/>
                      <w:lang w:val="en-US" w:eastAsia="zh-CN"/>
                    </w:rPr>
                    <w:t>10.7</w:t>
                  </w:r>
                </w:p>
              </w:tc>
              <w:tc>
                <w:tcPr>
                  <w:tcW w:w="933" w:type="pct"/>
                  <w:noWrap w:val="0"/>
                  <w:vAlign w:val="center"/>
                </w:tcPr>
                <w:p w14:paraId="7D789B91">
                  <w:pPr>
                    <w:pStyle w:val="22"/>
                    <w:bidi w:val="0"/>
                    <w:ind w:firstLine="0" w:firstLineChars="0"/>
                    <w:rPr>
                      <w:rFonts w:hint="eastAsia"/>
                      <w:color w:val="auto"/>
                    </w:rPr>
                  </w:pPr>
                  <w:r>
                    <w:rPr>
                      <w:rFonts w:hint="eastAsia"/>
                      <w:color w:val="auto"/>
                      <w:lang w:val="en-US" w:eastAsia="zh-CN"/>
                    </w:rPr>
                    <w:t>收集后按照一般固废处置或综合利用</w:t>
                  </w:r>
                </w:p>
              </w:tc>
            </w:tr>
            <w:tr w14:paraId="46FDA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90" w:type="pct"/>
                  <w:noWrap w:val="0"/>
                  <w:vAlign w:val="center"/>
                </w:tcPr>
                <w:p w14:paraId="0E823B2D">
                  <w:pPr>
                    <w:pStyle w:val="22"/>
                    <w:bidi w:val="0"/>
                    <w:rPr>
                      <w:rFonts w:hint="default"/>
                      <w:color w:val="auto"/>
                      <w:lang w:val="en-US" w:eastAsia="zh-CN"/>
                    </w:rPr>
                  </w:pPr>
                  <w:r>
                    <w:rPr>
                      <w:rFonts w:hint="eastAsia"/>
                      <w:color w:val="auto"/>
                      <w:lang w:val="en-US" w:eastAsia="zh-CN"/>
                    </w:rPr>
                    <w:t>3</w:t>
                  </w:r>
                </w:p>
              </w:tc>
              <w:tc>
                <w:tcPr>
                  <w:tcW w:w="830" w:type="pct"/>
                  <w:noWrap w:val="0"/>
                  <w:vAlign w:val="center"/>
                </w:tcPr>
                <w:p w14:paraId="27E40E35">
                  <w:pPr>
                    <w:pStyle w:val="22"/>
                    <w:bidi w:val="0"/>
                    <w:rPr>
                      <w:rFonts w:hint="default"/>
                      <w:color w:val="auto"/>
                      <w:lang w:val="en-US" w:eastAsia="zh-CN"/>
                    </w:rPr>
                  </w:pPr>
                  <w:r>
                    <w:rPr>
                      <w:rFonts w:hint="eastAsia"/>
                      <w:color w:val="auto"/>
                      <w:lang w:val="en-US" w:eastAsia="zh-CN"/>
                    </w:rPr>
                    <w:t>滤网</w:t>
                  </w:r>
                </w:p>
              </w:tc>
              <w:tc>
                <w:tcPr>
                  <w:tcW w:w="810" w:type="pct"/>
                  <w:noWrap w:val="0"/>
                  <w:vAlign w:val="center"/>
                </w:tcPr>
                <w:p w14:paraId="03CAC192">
                  <w:pPr>
                    <w:pStyle w:val="22"/>
                    <w:bidi w:val="0"/>
                    <w:rPr>
                      <w:rFonts w:hint="default"/>
                      <w:color w:val="auto"/>
                      <w:lang w:val="en-US" w:eastAsia="zh-CN"/>
                    </w:rPr>
                  </w:pPr>
                  <w:r>
                    <w:rPr>
                      <w:rFonts w:hint="eastAsia"/>
                      <w:color w:val="auto"/>
                      <w:lang w:val="en-US" w:eastAsia="zh-CN"/>
                    </w:rPr>
                    <w:t>生产加工</w:t>
                  </w:r>
                </w:p>
              </w:tc>
              <w:tc>
                <w:tcPr>
                  <w:tcW w:w="694" w:type="pct"/>
                  <w:noWrap w:val="0"/>
                  <w:vAlign w:val="center"/>
                </w:tcPr>
                <w:p w14:paraId="47333DAD">
                  <w:pPr>
                    <w:pStyle w:val="22"/>
                    <w:bidi w:val="0"/>
                    <w:ind w:firstLine="0" w:firstLineChars="0"/>
                    <w:rPr>
                      <w:color w:val="auto"/>
                    </w:rPr>
                  </w:pPr>
                  <w:r>
                    <w:rPr>
                      <w:color w:val="auto"/>
                    </w:rPr>
                    <w:t>一般固废</w:t>
                  </w:r>
                </w:p>
              </w:tc>
              <w:tc>
                <w:tcPr>
                  <w:tcW w:w="814" w:type="pct"/>
                  <w:noWrap w:val="0"/>
                  <w:vAlign w:val="center"/>
                </w:tcPr>
                <w:p w14:paraId="7CB5D4CF">
                  <w:pPr>
                    <w:pStyle w:val="22"/>
                    <w:bidi w:val="0"/>
                    <w:ind w:firstLine="0" w:firstLineChars="0"/>
                    <w:rPr>
                      <w:rFonts w:hint="eastAsia"/>
                      <w:color w:val="auto"/>
                      <w:lang w:val="en-US" w:eastAsia="zh-CN"/>
                    </w:rPr>
                  </w:pPr>
                  <w:r>
                    <w:rPr>
                      <w:rFonts w:hint="eastAsia"/>
                      <w:color w:val="auto"/>
                      <w:lang w:val="en-US" w:eastAsia="zh-CN"/>
                    </w:rPr>
                    <w:t>292</w:t>
                  </w:r>
                  <w:r>
                    <w:rPr>
                      <w:rFonts w:hint="eastAsia"/>
                      <w:color w:val="auto"/>
                    </w:rPr>
                    <w:t>-</w:t>
                  </w:r>
                  <w:r>
                    <w:rPr>
                      <w:rFonts w:hint="eastAsia"/>
                      <w:color w:val="auto"/>
                      <w:lang w:val="en-US" w:eastAsia="zh-CN"/>
                    </w:rPr>
                    <w:t>009</w:t>
                  </w:r>
                  <w:r>
                    <w:rPr>
                      <w:rFonts w:hint="eastAsia"/>
                      <w:color w:val="auto"/>
                    </w:rPr>
                    <w:t>-</w:t>
                  </w:r>
                  <w:r>
                    <w:rPr>
                      <w:rFonts w:hint="eastAsia"/>
                      <w:color w:val="auto"/>
                      <w:lang w:val="en-US" w:eastAsia="zh-CN"/>
                    </w:rPr>
                    <w:t>66</w:t>
                  </w:r>
                </w:p>
              </w:tc>
              <w:tc>
                <w:tcPr>
                  <w:tcW w:w="525" w:type="pct"/>
                  <w:noWrap w:val="0"/>
                  <w:vAlign w:val="center"/>
                </w:tcPr>
                <w:p w14:paraId="0B091003">
                  <w:pPr>
                    <w:pStyle w:val="22"/>
                    <w:bidi w:val="0"/>
                    <w:rPr>
                      <w:rFonts w:hint="default"/>
                      <w:color w:val="auto"/>
                      <w:lang w:val="en-US" w:eastAsia="zh-CN"/>
                    </w:rPr>
                  </w:pPr>
                  <w:r>
                    <w:rPr>
                      <w:rFonts w:hint="eastAsia"/>
                      <w:color w:val="auto"/>
                      <w:lang w:val="en-US" w:eastAsia="zh-CN"/>
                    </w:rPr>
                    <w:t>0.24</w:t>
                  </w:r>
                </w:p>
              </w:tc>
              <w:tc>
                <w:tcPr>
                  <w:tcW w:w="933" w:type="pct"/>
                  <w:noWrap w:val="0"/>
                  <w:vAlign w:val="center"/>
                </w:tcPr>
                <w:p w14:paraId="523C5618">
                  <w:pPr>
                    <w:pStyle w:val="22"/>
                    <w:bidi w:val="0"/>
                    <w:rPr>
                      <w:rFonts w:hint="eastAsia"/>
                      <w:color w:val="auto"/>
                      <w:lang w:val="en-US" w:eastAsia="zh-CN"/>
                    </w:rPr>
                  </w:pPr>
                  <w:r>
                    <w:rPr>
                      <w:rFonts w:hint="eastAsia"/>
                      <w:color w:val="auto"/>
                      <w:lang w:val="en-US" w:eastAsia="zh-CN"/>
                    </w:rPr>
                    <w:t>收集后</w:t>
                  </w:r>
                  <w:r>
                    <w:rPr>
                      <w:rFonts w:hint="eastAsia"/>
                      <w:color w:val="auto"/>
                    </w:rPr>
                    <w:t>外售</w:t>
                  </w:r>
                </w:p>
              </w:tc>
            </w:tr>
          </w:tbl>
          <w:p w14:paraId="3F699627">
            <w:pPr>
              <w:bidi w:val="0"/>
              <w:rPr>
                <w:color w:val="auto"/>
              </w:rPr>
            </w:pPr>
            <w:r>
              <w:rPr>
                <w:color w:val="auto"/>
              </w:rPr>
              <w:t>项目在厂房内建设1个一般固废仓库，并按《</w:t>
            </w:r>
            <w:r>
              <w:rPr>
                <w:rFonts w:hint="eastAsia"/>
                <w:color w:val="auto"/>
              </w:rPr>
              <w:t>一般工业固体废物贮存和填埋污染控制标准</w:t>
            </w:r>
            <w:r>
              <w:rPr>
                <w:color w:val="auto"/>
              </w:rPr>
              <w:t>》（GB18599-20</w:t>
            </w:r>
            <w:r>
              <w:rPr>
                <w:rFonts w:hint="eastAsia"/>
                <w:color w:val="auto"/>
              </w:rPr>
              <w:t>20</w:t>
            </w:r>
            <w:r>
              <w:rPr>
                <w:color w:val="auto"/>
              </w:rPr>
              <w:t>）相关规定进行建设，建成后用于一般工业固体废物临时贮存。建设项目一般固废的暂存区需按照《</w:t>
            </w:r>
            <w:r>
              <w:rPr>
                <w:rFonts w:hint="eastAsia"/>
                <w:color w:val="auto"/>
              </w:rPr>
              <w:t>一般工业固体废物贮存和填埋污染控制标准</w:t>
            </w:r>
            <w:r>
              <w:rPr>
                <w:color w:val="auto"/>
              </w:rPr>
              <w:t>》（GB18599-20</w:t>
            </w:r>
            <w:r>
              <w:rPr>
                <w:rFonts w:hint="eastAsia"/>
                <w:color w:val="auto"/>
              </w:rPr>
              <w:t>20</w:t>
            </w:r>
            <w:r>
              <w:rPr>
                <w:color w:val="auto"/>
              </w:rPr>
              <w:t>）要求建设，具体要求如下：</w:t>
            </w:r>
          </w:p>
          <w:p w14:paraId="1A6DDE16">
            <w:pPr>
              <w:bidi w:val="0"/>
              <w:rPr>
                <w:color w:val="auto"/>
              </w:rPr>
            </w:pPr>
            <w:r>
              <w:rPr>
                <w:rFonts w:hint="eastAsia"/>
                <w:color w:val="auto"/>
              </w:rPr>
              <w:t>①</w:t>
            </w:r>
            <w:r>
              <w:rPr>
                <w:color w:val="auto"/>
              </w:rPr>
              <w:t>贮存、处置场的建设类型，必须与将要堆放的一般工业固体废物的类别相一致。</w:t>
            </w:r>
          </w:p>
          <w:p w14:paraId="11ECC8BE">
            <w:pPr>
              <w:bidi w:val="0"/>
              <w:rPr>
                <w:color w:val="auto"/>
              </w:rPr>
            </w:pPr>
            <w:r>
              <w:rPr>
                <w:rFonts w:hint="eastAsia"/>
                <w:color w:val="auto"/>
              </w:rPr>
              <w:t>②</w:t>
            </w:r>
            <w:r>
              <w:rPr>
                <w:color w:val="auto"/>
              </w:rPr>
              <w:t>贮存、处置场应采取防止粉尘污染的措施。</w:t>
            </w:r>
          </w:p>
          <w:p w14:paraId="2C7A1387">
            <w:pPr>
              <w:bidi w:val="0"/>
              <w:rPr>
                <w:color w:val="auto"/>
              </w:rPr>
            </w:pPr>
            <w:r>
              <w:rPr>
                <w:rFonts w:hint="eastAsia"/>
                <w:color w:val="auto"/>
              </w:rPr>
              <w:t>③</w:t>
            </w:r>
            <w:r>
              <w:rPr>
                <w:color w:val="auto"/>
              </w:rPr>
              <w:t>为防止雨水径流进入贮存、处置场内，避免</w:t>
            </w:r>
            <w:r>
              <w:rPr>
                <w:rFonts w:hint="eastAsia"/>
                <w:color w:val="auto"/>
                <w:lang w:val="en-US" w:eastAsia="zh-CN"/>
              </w:rPr>
              <w:t>产生</w:t>
            </w:r>
            <w:r>
              <w:rPr>
                <w:color w:val="auto"/>
              </w:rPr>
              <w:t>渗滤液量，贮存、处置场周边设置导流渠。</w:t>
            </w:r>
          </w:p>
          <w:p w14:paraId="784A44F1">
            <w:pPr>
              <w:bidi w:val="0"/>
              <w:rPr>
                <w:color w:val="auto"/>
              </w:rPr>
            </w:pPr>
            <w:r>
              <w:rPr>
                <w:rFonts w:hint="eastAsia"/>
                <w:color w:val="auto"/>
              </w:rPr>
              <w:t>④</w:t>
            </w:r>
            <w:r>
              <w:rPr>
                <w:color w:val="auto"/>
              </w:rPr>
              <w:t>应设计渗滤液集排水设施。</w:t>
            </w:r>
          </w:p>
          <w:p w14:paraId="1DC5DF7B">
            <w:pPr>
              <w:bidi w:val="0"/>
              <w:rPr>
                <w:rFonts w:hint="eastAsia"/>
                <w:color w:val="auto"/>
              </w:rPr>
            </w:pPr>
            <w:r>
              <w:rPr>
                <w:rFonts w:hint="eastAsia"/>
                <w:color w:val="auto"/>
              </w:rPr>
              <w:t>⑤</w:t>
            </w:r>
            <w:r>
              <w:rPr>
                <w:color w:val="auto"/>
              </w:rPr>
              <w:t>为保障设施、设备正常运营，必要时应采取措施防止地基下沉，尤其是防止不均匀或局部下沉。</w:t>
            </w:r>
          </w:p>
          <w:p w14:paraId="1D00A32D">
            <w:pPr>
              <w:bidi w:val="0"/>
              <w:rPr>
                <w:rFonts w:hint="eastAsia"/>
                <w:b/>
                <w:bCs/>
                <w:color w:val="auto"/>
              </w:rPr>
            </w:pPr>
            <w:r>
              <w:rPr>
                <w:rFonts w:hint="eastAsia"/>
                <w:b/>
                <w:bCs/>
                <w:color w:val="auto"/>
              </w:rPr>
              <w:t>（</w:t>
            </w:r>
            <w:r>
              <w:rPr>
                <w:rFonts w:hint="eastAsia"/>
                <w:b/>
                <w:bCs/>
                <w:color w:val="auto"/>
                <w:lang w:val="en-US" w:eastAsia="zh-CN"/>
              </w:rPr>
              <w:t>2</w:t>
            </w:r>
            <w:r>
              <w:rPr>
                <w:rFonts w:hint="eastAsia"/>
                <w:b/>
                <w:bCs/>
                <w:color w:val="auto"/>
              </w:rPr>
              <w:t>）危险废物产生及处置情况</w:t>
            </w:r>
          </w:p>
          <w:p w14:paraId="44E91B2B">
            <w:pPr>
              <w:bidi w:val="0"/>
              <w:rPr>
                <w:color w:val="auto"/>
              </w:rPr>
            </w:pPr>
            <w:r>
              <w:rPr>
                <w:rFonts w:hint="eastAsia"/>
                <w:color w:val="auto"/>
              </w:rPr>
              <w:t>①</w:t>
            </w:r>
            <w:r>
              <w:rPr>
                <w:rFonts w:hint="eastAsia"/>
                <w:color w:val="auto"/>
                <w:lang w:val="en-US" w:eastAsia="zh-CN"/>
              </w:rPr>
              <w:t>废包装桶：</w:t>
            </w:r>
            <w:r>
              <w:rPr>
                <w:color w:val="auto"/>
              </w:rPr>
              <w:t>项目</w:t>
            </w:r>
            <w:r>
              <w:rPr>
                <w:rFonts w:hint="eastAsia"/>
                <w:color w:val="auto"/>
                <w:lang w:val="en-US" w:eastAsia="zh-CN"/>
              </w:rPr>
              <w:t>机油</w:t>
            </w:r>
            <w:r>
              <w:rPr>
                <w:color w:val="auto"/>
              </w:rPr>
              <w:t>使用过程中会产生废包装桶，产生量约0.</w:t>
            </w:r>
            <w:r>
              <w:rPr>
                <w:rFonts w:hint="eastAsia"/>
                <w:color w:val="auto"/>
                <w:lang w:val="en-US" w:eastAsia="zh-CN"/>
              </w:rPr>
              <w:t>02</w:t>
            </w:r>
            <w:r>
              <w:rPr>
                <w:color w:val="auto"/>
              </w:rPr>
              <w:t>t/a，产生的废包装桶属于危险废物，</w:t>
            </w:r>
            <w:r>
              <w:rPr>
                <w:rFonts w:hint="eastAsia"/>
                <w:color w:val="auto"/>
                <w:lang w:val="en-US" w:eastAsia="zh-CN"/>
              </w:rPr>
              <w:t>属于HW08</w:t>
            </w:r>
            <w:r>
              <w:rPr>
                <w:rFonts w:hint="eastAsia"/>
                <w:color w:val="auto"/>
              </w:rPr>
              <w:t>废矿物油与含矿物油废物</w:t>
            </w:r>
            <w:r>
              <w:rPr>
                <w:rFonts w:hint="eastAsia"/>
                <w:color w:val="auto"/>
                <w:lang w:eastAsia="zh-CN"/>
              </w:rPr>
              <w:t>，</w:t>
            </w:r>
            <w:r>
              <w:rPr>
                <w:color w:val="auto"/>
              </w:rPr>
              <w:t>危废代码为900-</w:t>
            </w:r>
            <w:r>
              <w:rPr>
                <w:rFonts w:hint="eastAsia"/>
                <w:color w:val="auto"/>
                <w:lang w:val="en-US" w:eastAsia="zh-CN"/>
              </w:rPr>
              <w:t>249</w:t>
            </w:r>
            <w:r>
              <w:rPr>
                <w:color w:val="auto"/>
              </w:rPr>
              <w:t>-</w:t>
            </w:r>
            <w:r>
              <w:rPr>
                <w:rFonts w:hint="eastAsia"/>
                <w:color w:val="auto"/>
                <w:lang w:val="en-US" w:eastAsia="zh-CN"/>
              </w:rPr>
              <w:t>08</w:t>
            </w:r>
            <w:r>
              <w:rPr>
                <w:color w:val="auto"/>
              </w:rPr>
              <w:t>，收集后暂存于厂区危废仓库，定期交由有资质的单位接收处理。</w:t>
            </w:r>
          </w:p>
          <w:p w14:paraId="5E988A65">
            <w:pPr>
              <w:bidi w:val="0"/>
              <w:rPr>
                <w:rFonts w:hint="eastAsia"/>
                <w:color w:val="auto"/>
                <w:lang w:val="en-US" w:eastAsia="zh-CN"/>
              </w:rPr>
            </w:pPr>
            <w:r>
              <w:rPr>
                <w:rFonts w:hint="eastAsia"/>
                <w:color w:val="auto"/>
              </w:rPr>
              <w:t>②</w:t>
            </w:r>
            <w:r>
              <w:rPr>
                <w:rFonts w:hint="eastAsia"/>
                <w:color w:val="auto"/>
                <w:lang w:val="en-US" w:eastAsia="zh-CN"/>
              </w:rPr>
              <w:t>废机油：本项目设备使用机油进行润滑，根据企业提供资料，产生量约0.2t/a，属于HW08废矿物油与含矿物油废物，废物类别为900-217-08。收集暂存于厂区危废暂存间收集后交由资质单位处理。</w:t>
            </w:r>
          </w:p>
          <w:p w14:paraId="48BCB589">
            <w:pPr>
              <w:bidi w:val="0"/>
              <w:rPr>
                <w:rFonts w:hint="eastAsia"/>
                <w:color w:val="auto"/>
                <w:lang w:val="en-US" w:eastAsia="zh-CN"/>
              </w:rPr>
            </w:pPr>
            <w:r>
              <w:rPr>
                <w:rFonts w:hint="eastAsia"/>
                <w:color w:val="auto"/>
              </w:rPr>
              <w:t>③</w:t>
            </w:r>
            <w:r>
              <w:rPr>
                <w:rFonts w:hint="eastAsia"/>
                <w:color w:val="auto"/>
                <w:lang w:val="en-US" w:eastAsia="zh-CN"/>
              </w:rPr>
              <w:t>含油抹布、手套：机械设备运转及维护过程中会产生废含油抹布和废含油手套，根据企业提供资料，废含油抹布和废含油手套产生量约为0.01t/a。根据《国家危险废物名录》（2025年版）可知，废含油抹布和废含油手套属于危险废物，废物类别编号为HW49，废物代码为900-041-49，暂存于危废暂存间内，定期交有资质单位处置。</w:t>
            </w:r>
          </w:p>
          <w:p w14:paraId="5C54D43D">
            <w:pPr>
              <w:bidi w:val="0"/>
              <w:rPr>
                <w:rFonts w:hint="eastAsia"/>
                <w:color w:val="0000FF"/>
                <w:lang w:val="en-US" w:eastAsia="zh-CN"/>
              </w:rPr>
            </w:pPr>
            <w:r>
              <w:rPr>
                <w:rFonts w:hint="eastAsia"/>
                <w:color w:val="auto"/>
                <w:lang w:val="en-US" w:eastAsia="zh-CN"/>
              </w:rPr>
              <w:t>④废活性炭：本项目有机废气采用二级活性炭装置处理，废气治理过程中产生废活性炭，根据《现代涂装手册》（化学工业出版社，2010年，陈治良主编），活性炭使用量=吸附废气总产生量/0.3。根据工程分析，熔融挤出生产线活性炭吸附有机物量为3×90%×90%=2.43t/a、活性炭使用量为8.1t/a，废活性炭产生量为活性炭用量和吸附污染物量的总和，即10.53t/a。根据《国家危险废物名录》（2025年版），废活性炭属于“HW49”类危险废物，废物代码900-039-49，建设单位收集在厂区危废暂存间暂存后定期委托有此类危险废物处理资质单位进行处理。</w:t>
            </w:r>
          </w:p>
          <w:p w14:paraId="628E574C">
            <w:pPr>
              <w:pStyle w:val="21"/>
              <w:bidi w:val="0"/>
              <w:rPr>
                <w:rFonts w:hint="eastAsia"/>
                <w:color w:val="auto"/>
                <w:lang w:eastAsia="zh-CN"/>
              </w:rPr>
            </w:pPr>
            <w:r>
              <w:rPr>
                <w:color w:val="auto"/>
              </w:rPr>
              <w:t>表</w:t>
            </w:r>
            <w:r>
              <w:rPr>
                <w:rFonts w:hint="eastAsia"/>
                <w:color w:val="auto"/>
              </w:rPr>
              <w:t>4-1</w:t>
            </w:r>
            <w:r>
              <w:rPr>
                <w:rFonts w:hint="eastAsia"/>
                <w:color w:val="auto"/>
                <w:lang w:val="en-US" w:eastAsia="zh-CN"/>
              </w:rPr>
              <w:t>6</w:t>
            </w:r>
            <w:r>
              <w:rPr>
                <w:color w:val="auto"/>
              </w:rPr>
              <w:t xml:space="preserve"> </w:t>
            </w:r>
            <w:r>
              <w:rPr>
                <w:rFonts w:hint="eastAsia"/>
                <w:color w:val="auto"/>
                <w:lang w:val="en-US" w:eastAsia="zh-CN"/>
              </w:rPr>
              <w:t xml:space="preserve"> </w:t>
            </w:r>
            <w:r>
              <w:rPr>
                <w:color w:val="auto"/>
              </w:rPr>
              <w:t>危险废物产生一览表</w:t>
            </w:r>
            <w:r>
              <w:rPr>
                <w:rFonts w:hint="eastAsia"/>
                <w:color w:val="auto"/>
                <w:lang w:eastAsia="zh-CN"/>
              </w:rPr>
              <w:t>（</w:t>
            </w:r>
            <w:r>
              <w:rPr>
                <w:color w:val="auto"/>
              </w:rPr>
              <w:t>单位：t/a</w:t>
            </w:r>
            <w:r>
              <w:rPr>
                <w:rFonts w:hint="eastAsia"/>
                <w:color w:val="auto"/>
                <w:lang w:eastAsia="zh-CN"/>
              </w:rPr>
              <w:t>）</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523"/>
              <w:gridCol w:w="905"/>
              <w:gridCol w:w="1318"/>
              <w:gridCol w:w="840"/>
              <w:gridCol w:w="929"/>
              <w:gridCol w:w="701"/>
              <w:gridCol w:w="812"/>
              <w:gridCol w:w="645"/>
              <w:gridCol w:w="656"/>
              <w:gridCol w:w="1002"/>
            </w:tblGrid>
            <w:tr w14:paraId="09E1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13" w:type="pct"/>
                  <w:noWrap w:val="0"/>
                  <w:vAlign w:val="center"/>
                </w:tcPr>
                <w:p w14:paraId="4261A9CE">
                  <w:pPr>
                    <w:pStyle w:val="22"/>
                    <w:bidi w:val="0"/>
                    <w:rPr>
                      <w:b/>
                      <w:bCs/>
                      <w:color w:val="auto"/>
                    </w:rPr>
                  </w:pPr>
                  <w:r>
                    <w:rPr>
                      <w:b/>
                      <w:bCs/>
                      <w:color w:val="auto"/>
                    </w:rPr>
                    <w:t>序号</w:t>
                  </w:r>
                </w:p>
              </w:tc>
              <w:tc>
                <w:tcPr>
                  <w:tcW w:w="543" w:type="pct"/>
                  <w:noWrap w:val="0"/>
                  <w:vAlign w:val="center"/>
                </w:tcPr>
                <w:p w14:paraId="16295B42">
                  <w:pPr>
                    <w:pStyle w:val="22"/>
                    <w:bidi w:val="0"/>
                    <w:rPr>
                      <w:b/>
                      <w:bCs/>
                      <w:color w:val="auto"/>
                    </w:rPr>
                  </w:pPr>
                  <w:r>
                    <w:rPr>
                      <w:b/>
                      <w:bCs/>
                      <w:color w:val="auto"/>
                    </w:rPr>
                    <w:t>危险废物名称</w:t>
                  </w:r>
                </w:p>
              </w:tc>
              <w:tc>
                <w:tcPr>
                  <w:tcW w:w="791" w:type="pct"/>
                  <w:noWrap w:val="0"/>
                  <w:vAlign w:val="center"/>
                </w:tcPr>
                <w:p w14:paraId="655F5253">
                  <w:pPr>
                    <w:pStyle w:val="22"/>
                    <w:bidi w:val="0"/>
                    <w:rPr>
                      <w:b/>
                      <w:bCs/>
                      <w:color w:val="auto"/>
                    </w:rPr>
                  </w:pPr>
                  <w:r>
                    <w:rPr>
                      <w:b/>
                      <w:bCs/>
                      <w:color w:val="auto"/>
                    </w:rPr>
                    <w:t>危险废物类别</w:t>
                  </w:r>
                  <w:r>
                    <w:rPr>
                      <w:rFonts w:hint="eastAsia"/>
                      <w:b/>
                      <w:bCs/>
                      <w:color w:val="auto"/>
                    </w:rPr>
                    <w:t>及</w:t>
                  </w:r>
                  <w:r>
                    <w:rPr>
                      <w:b/>
                      <w:bCs/>
                      <w:color w:val="auto"/>
                    </w:rPr>
                    <w:t>代码</w:t>
                  </w:r>
                </w:p>
              </w:tc>
              <w:tc>
                <w:tcPr>
                  <w:tcW w:w="504" w:type="pct"/>
                  <w:noWrap w:val="0"/>
                  <w:vAlign w:val="center"/>
                </w:tcPr>
                <w:p w14:paraId="60544EAA">
                  <w:pPr>
                    <w:pStyle w:val="22"/>
                    <w:bidi w:val="0"/>
                    <w:rPr>
                      <w:b/>
                      <w:bCs/>
                      <w:color w:val="auto"/>
                    </w:rPr>
                  </w:pPr>
                  <w:r>
                    <w:rPr>
                      <w:b/>
                      <w:bCs/>
                      <w:color w:val="auto"/>
                    </w:rPr>
                    <w:t>产生量t/a</w:t>
                  </w:r>
                </w:p>
              </w:tc>
              <w:tc>
                <w:tcPr>
                  <w:tcW w:w="557" w:type="pct"/>
                  <w:noWrap w:val="0"/>
                  <w:vAlign w:val="center"/>
                </w:tcPr>
                <w:p w14:paraId="7BC0A3D7">
                  <w:pPr>
                    <w:pStyle w:val="22"/>
                    <w:bidi w:val="0"/>
                    <w:rPr>
                      <w:b/>
                      <w:bCs/>
                      <w:color w:val="auto"/>
                    </w:rPr>
                  </w:pPr>
                  <w:r>
                    <w:rPr>
                      <w:b/>
                      <w:bCs/>
                      <w:color w:val="auto"/>
                    </w:rPr>
                    <w:t>产生工序及装置</w:t>
                  </w:r>
                </w:p>
              </w:tc>
              <w:tc>
                <w:tcPr>
                  <w:tcW w:w="420" w:type="pct"/>
                  <w:noWrap w:val="0"/>
                  <w:vAlign w:val="center"/>
                </w:tcPr>
                <w:p w14:paraId="5C57397F">
                  <w:pPr>
                    <w:pStyle w:val="22"/>
                    <w:bidi w:val="0"/>
                    <w:rPr>
                      <w:b/>
                      <w:bCs/>
                      <w:color w:val="auto"/>
                    </w:rPr>
                  </w:pPr>
                  <w:r>
                    <w:rPr>
                      <w:b/>
                      <w:bCs/>
                      <w:color w:val="auto"/>
                    </w:rPr>
                    <w:t>形态</w:t>
                  </w:r>
                </w:p>
              </w:tc>
              <w:tc>
                <w:tcPr>
                  <w:tcW w:w="487" w:type="pct"/>
                  <w:noWrap w:val="0"/>
                  <w:vAlign w:val="center"/>
                </w:tcPr>
                <w:p w14:paraId="730DBB17">
                  <w:pPr>
                    <w:pStyle w:val="22"/>
                    <w:bidi w:val="0"/>
                    <w:rPr>
                      <w:b/>
                      <w:bCs/>
                      <w:color w:val="auto"/>
                    </w:rPr>
                  </w:pPr>
                  <w:r>
                    <w:rPr>
                      <w:b/>
                      <w:bCs/>
                      <w:color w:val="auto"/>
                    </w:rPr>
                    <w:t>有害成分</w:t>
                  </w:r>
                </w:p>
              </w:tc>
              <w:tc>
                <w:tcPr>
                  <w:tcW w:w="387" w:type="pct"/>
                  <w:noWrap w:val="0"/>
                  <w:vAlign w:val="center"/>
                </w:tcPr>
                <w:p w14:paraId="159780B4">
                  <w:pPr>
                    <w:pStyle w:val="22"/>
                    <w:bidi w:val="0"/>
                    <w:rPr>
                      <w:b/>
                      <w:bCs/>
                      <w:color w:val="auto"/>
                    </w:rPr>
                  </w:pPr>
                  <w:r>
                    <w:rPr>
                      <w:b/>
                      <w:bCs/>
                      <w:color w:val="auto"/>
                    </w:rPr>
                    <w:t>产废周期</w:t>
                  </w:r>
                </w:p>
              </w:tc>
              <w:tc>
                <w:tcPr>
                  <w:tcW w:w="393" w:type="pct"/>
                  <w:noWrap w:val="0"/>
                  <w:vAlign w:val="center"/>
                </w:tcPr>
                <w:p w14:paraId="4A2E4E64">
                  <w:pPr>
                    <w:pStyle w:val="22"/>
                    <w:bidi w:val="0"/>
                    <w:rPr>
                      <w:b/>
                      <w:bCs/>
                      <w:color w:val="auto"/>
                    </w:rPr>
                  </w:pPr>
                  <w:r>
                    <w:rPr>
                      <w:b/>
                      <w:bCs/>
                      <w:color w:val="auto"/>
                    </w:rPr>
                    <w:t>危险</w:t>
                  </w:r>
                </w:p>
                <w:p w14:paraId="6AF17D2B">
                  <w:pPr>
                    <w:pStyle w:val="22"/>
                    <w:bidi w:val="0"/>
                    <w:rPr>
                      <w:b/>
                      <w:bCs/>
                      <w:color w:val="auto"/>
                    </w:rPr>
                  </w:pPr>
                  <w:r>
                    <w:rPr>
                      <w:b/>
                      <w:bCs/>
                      <w:color w:val="auto"/>
                    </w:rPr>
                    <w:t>特性</w:t>
                  </w:r>
                </w:p>
              </w:tc>
              <w:tc>
                <w:tcPr>
                  <w:tcW w:w="601" w:type="pct"/>
                  <w:noWrap w:val="0"/>
                  <w:vAlign w:val="center"/>
                </w:tcPr>
                <w:p w14:paraId="3573E218">
                  <w:pPr>
                    <w:pStyle w:val="22"/>
                    <w:bidi w:val="0"/>
                    <w:rPr>
                      <w:b/>
                      <w:bCs/>
                      <w:color w:val="auto"/>
                    </w:rPr>
                  </w:pPr>
                  <w:r>
                    <w:rPr>
                      <w:b/>
                      <w:bCs/>
                      <w:color w:val="auto"/>
                    </w:rPr>
                    <w:t>污染防治措施</w:t>
                  </w:r>
                </w:p>
              </w:tc>
            </w:tr>
            <w:tr w14:paraId="152C8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13" w:type="pct"/>
                  <w:noWrap w:val="0"/>
                  <w:vAlign w:val="center"/>
                </w:tcPr>
                <w:p w14:paraId="0543E75B">
                  <w:pPr>
                    <w:pStyle w:val="22"/>
                    <w:bidi w:val="0"/>
                    <w:rPr>
                      <w:rFonts w:hint="eastAsia"/>
                      <w:color w:val="auto"/>
                      <w:lang w:val="en-US" w:eastAsia="zh-CN"/>
                    </w:rPr>
                  </w:pPr>
                  <w:r>
                    <w:rPr>
                      <w:rFonts w:hint="eastAsia"/>
                      <w:color w:val="auto"/>
                      <w:lang w:val="en-US" w:eastAsia="zh-CN"/>
                    </w:rPr>
                    <w:t>1</w:t>
                  </w:r>
                </w:p>
              </w:tc>
              <w:tc>
                <w:tcPr>
                  <w:tcW w:w="543" w:type="pct"/>
                  <w:noWrap w:val="0"/>
                  <w:vAlign w:val="center"/>
                </w:tcPr>
                <w:p w14:paraId="5CF0EB6F">
                  <w:pPr>
                    <w:pStyle w:val="22"/>
                    <w:bidi w:val="0"/>
                    <w:rPr>
                      <w:rFonts w:hint="eastAsia"/>
                      <w:color w:val="auto"/>
                    </w:rPr>
                  </w:pPr>
                  <w:r>
                    <w:rPr>
                      <w:rFonts w:hint="eastAsia"/>
                      <w:color w:val="auto"/>
                    </w:rPr>
                    <w:t>废包装桶</w:t>
                  </w:r>
                </w:p>
              </w:tc>
              <w:tc>
                <w:tcPr>
                  <w:tcW w:w="791" w:type="pct"/>
                  <w:noWrap w:val="0"/>
                  <w:vAlign w:val="center"/>
                </w:tcPr>
                <w:p w14:paraId="776D837D">
                  <w:pPr>
                    <w:pStyle w:val="22"/>
                    <w:bidi w:val="0"/>
                    <w:rPr>
                      <w:rFonts w:hint="default"/>
                      <w:color w:val="auto"/>
                      <w:lang w:val="en-US" w:eastAsia="zh-CN"/>
                    </w:rPr>
                  </w:pPr>
                  <w:r>
                    <w:rPr>
                      <w:rFonts w:hint="eastAsia"/>
                      <w:color w:val="auto"/>
                    </w:rPr>
                    <w:t>HW</w:t>
                  </w:r>
                  <w:r>
                    <w:rPr>
                      <w:rFonts w:hint="eastAsia"/>
                      <w:color w:val="auto"/>
                      <w:lang w:val="en-US" w:eastAsia="zh-CN"/>
                    </w:rPr>
                    <w:t>08</w:t>
                  </w:r>
                </w:p>
                <w:p w14:paraId="2D0BB9CF">
                  <w:pPr>
                    <w:pStyle w:val="22"/>
                    <w:bidi w:val="0"/>
                    <w:rPr>
                      <w:rFonts w:hint="default"/>
                      <w:color w:val="auto"/>
                      <w:lang w:val="en-US" w:eastAsia="zh-CN"/>
                    </w:rPr>
                  </w:pPr>
                  <w:r>
                    <w:rPr>
                      <w:rFonts w:hint="eastAsia"/>
                      <w:color w:val="auto"/>
                    </w:rPr>
                    <w:t>900-</w:t>
                  </w:r>
                  <w:r>
                    <w:rPr>
                      <w:rFonts w:hint="eastAsia"/>
                      <w:color w:val="auto"/>
                      <w:lang w:val="en-US" w:eastAsia="zh-CN"/>
                    </w:rPr>
                    <w:t>249</w:t>
                  </w:r>
                  <w:r>
                    <w:rPr>
                      <w:rFonts w:hint="eastAsia"/>
                      <w:color w:val="auto"/>
                    </w:rPr>
                    <w:t>-</w:t>
                  </w:r>
                  <w:r>
                    <w:rPr>
                      <w:rFonts w:hint="eastAsia"/>
                      <w:color w:val="auto"/>
                      <w:lang w:val="en-US" w:eastAsia="zh-CN"/>
                    </w:rPr>
                    <w:t>08</w:t>
                  </w:r>
                </w:p>
              </w:tc>
              <w:tc>
                <w:tcPr>
                  <w:tcW w:w="504" w:type="pct"/>
                  <w:noWrap w:val="0"/>
                  <w:vAlign w:val="center"/>
                </w:tcPr>
                <w:p w14:paraId="2763E3B3">
                  <w:pPr>
                    <w:pStyle w:val="22"/>
                    <w:bidi w:val="0"/>
                    <w:rPr>
                      <w:rFonts w:hint="default"/>
                      <w:color w:val="auto"/>
                      <w:lang w:val="en-US" w:eastAsia="zh-CN"/>
                    </w:rPr>
                  </w:pPr>
                  <w:r>
                    <w:rPr>
                      <w:rFonts w:hint="eastAsia"/>
                      <w:color w:val="auto"/>
                    </w:rPr>
                    <w:t>0.</w:t>
                  </w:r>
                  <w:r>
                    <w:rPr>
                      <w:rFonts w:hint="eastAsia"/>
                      <w:color w:val="auto"/>
                      <w:lang w:val="en-US" w:eastAsia="zh-CN"/>
                    </w:rPr>
                    <w:t>02</w:t>
                  </w:r>
                </w:p>
              </w:tc>
              <w:tc>
                <w:tcPr>
                  <w:tcW w:w="557" w:type="pct"/>
                  <w:noWrap w:val="0"/>
                  <w:vAlign w:val="center"/>
                </w:tcPr>
                <w:p w14:paraId="2FDE85A3">
                  <w:pPr>
                    <w:pStyle w:val="22"/>
                    <w:bidi w:val="0"/>
                    <w:rPr>
                      <w:rFonts w:hint="eastAsia"/>
                      <w:color w:val="auto"/>
                      <w:lang w:val="en-US" w:eastAsia="zh-CN"/>
                    </w:rPr>
                  </w:pPr>
                  <w:r>
                    <w:rPr>
                      <w:rFonts w:hint="eastAsia"/>
                      <w:color w:val="auto"/>
                    </w:rPr>
                    <w:t>辅料使用</w:t>
                  </w:r>
                </w:p>
              </w:tc>
              <w:tc>
                <w:tcPr>
                  <w:tcW w:w="420" w:type="pct"/>
                  <w:noWrap w:val="0"/>
                  <w:vAlign w:val="center"/>
                </w:tcPr>
                <w:p w14:paraId="70309320">
                  <w:pPr>
                    <w:pStyle w:val="22"/>
                    <w:bidi w:val="0"/>
                    <w:rPr>
                      <w:rFonts w:hint="eastAsia"/>
                      <w:color w:val="auto"/>
                    </w:rPr>
                  </w:pPr>
                  <w:r>
                    <w:rPr>
                      <w:rFonts w:hint="eastAsia"/>
                      <w:color w:val="auto"/>
                    </w:rPr>
                    <w:t>固</w:t>
                  </w:r>
                </w:p>
              </w:tc>
              <w:tc>
                <w:tcPr>
                  <w:tcW w:w="487" w:type="pct"/>
                  <w:noWrap w:val="0"/>
                  <w:vAlign w:val="center"/>
                </w:tcPr>
                <w:p w14:paraId="1686C322">
                  <w:pPr>
                    <w:pStyle w:val="22"/>
                    <w:bidi w:val="0"/>
                    <w:rPr>
                      <w:rFonts w:hint="eastAsia"/>
                      <w:color w:val="auto"/>
                    </w:rPr>
                  </w:pPr>
                  <w:r>
                    <w:rPr>
                      <w:rFonts w:hint="eastAsia"/>
                      <w:color w:val="auto"/>
                    </w:rPr>
                    <w:t>有机物</w:t>
                  </w:r>
                </w:p>
              </w:tc>
              <w:tc>
                <w:tcPr>
                  <w:tcW w:w="387" w:type="pct"/>
                  <w:noWrap w:val="0"/>
                  <w:vAlign w:val="center"/>
                </w:tcPr>
                <w:p w14:paraId="7F38A27B">
                  <w:pPr>
                    <w:pStyle w:val="22"/>
                    <w:bidi w:val="0"/>
                    <w:rPr>
                      <w:rFonts w:hint="eastAsia"/>
                      <w:color w:val="auto"/>
                      <w:lang w:val="en-US" w:eastAsia="zh-CN"/>
                    </w:rPr>
                  </w:pPr>
                  <w:r>
                    <w:rPr>
                      <w:rFonts w:hint="eastAsia"/>
                      <w:color w:val="auto"/>
                    </w:rPr>
                    <w:t>5d</w:t>
                  </w:r>
                </w:p>
              </w:tc>
              <w:tc>
                <w:tcPr>
                  <w:tcW w:w="393" w:type="pct"/>
                  <w:noWrap w:val="0"/>
                  <w:vAlign w:val="center"/>
                </w:tcPr>
                <w:p w14:paraId="27F86B93">
                  <w:pPr>
                    <w:pStyle w:val="22"/>
                    <w:bidi w:val="0"/>
                    <w:rPr>
                      <w:rFonts w:hint="eastAsia"/>
                      <w:color w:val="auto"/>
                    </w:rPr>
                  </w:pPr>
                  <w:r>
                    <w:rPr>
                      <w:rFonts w:hint="eastAsia"/>
                      <w:color w:val="auto"/>
                    </w:rPr>
                    <w:t>T</w:t>
                  </w:r>
                  <w:r>
                    <w:rPr>
                      <w:rFonts w:hint="eastAsia"/>
                      <w:color w:val="auto"/>
                      <w:lang w:eastAsia="zh-CN"/>
                    </w:rPr>
                    <w:t>，</w:t>
                  </w:r>
                  <w:r>
                    <w:rPr>
                      <w:rFonts w:hint="eastAsia"/>
                      <w:color w:val="auto"/>
                    </w:rPr>
                    <w:t>I</w:t>
                  </w:r>
                </w:p>
              </w:tc>
              <w:tc>
                <w:tcPr>
                  <w:tcW w:w="601" w:type="pct"/>
                  <w:vMerge w:val="restart"/>
                  <w:noWrap w:val="0"/>
                  <w:vAlign w:val="center"/>
                </w:tcPr>
                <w:p w14:paraId="093F8EAD">
                  <w:pPr>
                    <w:pStyle w:val="22"/>
                    <w:bidi w:val="0"/>
                    <w:rPr>
                      <w:color w:val="auto"/>
                    </w:rPr>
                  </w:pPr>
                  <w:r>
                    <w:rPr>
                      <w:color w:val="auto"/>
                    </w:rPr>
                    <w:t>厂区暂存后交由有资质的单位处理处置</w:t>
                  </w:r>
                </w:p>
              </w:tc>
            </w:tr>
            <w:tr w14:paraId="5E6A0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13" w:type="pct"/>
                  <w:noWrap w:val="0"/>
                  <w:vAlign w:val="center"/>
                </w:tcPr>
                <w:p w14:paraId="400396DA">
                  <w:pPr>
                    <w:pStyle w:val="22"/>
                    <w:bidi w:val="0"/>
                    <w:rPr>
                      <w:rFonts w:hint="default"/>
                      <w:color w:val="auto"/>
                      <w:lang w:val="en-US" w:eastAsia="zh-CN"/>
                    </w:rPr>
                  </w:pPr>
                  <w:r>
                    <w:rPr>
                      <w:rFonts w:hint="eastAsia"/>
                      <w:color w:val="auto"/>
                      <w:lang w:val="en-US" w:eastAsia="zh-CN"/>
                    </w:rPr>
                    <w:t>2</w:t>
                  </w:r>
                </w:p>
              </w:tc>
              <w:tc>
                <w:tcPr>
                  <w:tcW w:w="543" w:type="pct"/>
                  <w:noWrap w:val="0"/>
                  <w:vAlign w:val="center"/>
                </w:tcPr>
                <w:p w14:paraId="70A3B3B0">
                  <w:pPr>
                    <w:pStyle w:val="22"/>
                    <w:bidi w:val="0"/>
                    <w:ind w:firstLine="0" w:firstLineChars="0"/>
                    <w:rPr>
                      <w:rFonts w:hint="eastAsia"/>
                      <w:color w:val="auto"/>
                      <w:lang w:val="en-US" w:eastAsia="zh-CN"/>
                    </w:rPr>
                  </w:pPr>
                  <w:r>
                    <w:rPr>
                      <w:rFonts w:hint="eastAsia"/>
                      <w:color w:val="auto"/>
                      <w:lang w:val="en-US" w:eastAsia="zh-CN"/>
                    </w:rPr>
                    <w:t>废机油</w:t>
                  </w:r>
                </w:p>
              </w:tc>
              <w:tc>
                <w:tcPr>
                  <w:tcW w:w="791" w:type="pct"/>
                  <w:noWrap w:val="0"/>
                  <w:vAlign w:val="center"/>
                </w:tcPr>
                <w:p w14:paraId="0C570324">
                  <w:pPr>
                    <w:pStyle w:val="22"/>
                    <w:bidi w:val="0"/>
                    <w:rPr>
                      <w:color w:val="auto"/>
                    </w:rPr>
                  </w:pPr>
                  <w:r>
                    <w:rPr>
                      <w:color w:val="auto"/>
                    </w:rPr>
                    <w:t>HW08</w:t>
                  </w:r>
                </w:p>
                <w:p w14:paraId="6C0D3764">
                  <w:pPr>
                    <w:pStyle w:val="22"/>
                    <w:bidi w:val="0"/>
                    <w:ind w:firstLine="0" w:firstLineChars="0"/>
                    <w:rPr>
                      <w:rFonts w:hint="eastAsia"/>
                      <w:color w:val="auto"/>
                      <w:lang w:eastAsia="zh-CN"/>
                    </w:rPr>
                  </w:pPr>
                  <w:r>
                    <w:rPr>
                      <w:color w:val="auto"/>
                    </w:rPr>
                    <w:t>900-21</w:t>
                  </w:r>
                  <w:r>
                    <w:rPr>
                      <w:rFonts w:hint="eastAsia"/>
                      <w:color w:val="auto"/>
                      <w:lang w:val="en-US" w:eastAsia="zh-CN"/>
                    </w:rPr>
                    <w:t>7</w:t>
                  </w:r>
                  <w:r>
                    <w:rPr>
                      <w:color w:val="auto"/>
                    </w:rPr>
                    <w:t>-08</w:t>
                  </w:r>
                </w:p>
              </w:tc>
              <w:tc>
                <w:tcPr>
                  <w:tcW w:w="504" w:type="pct"/>
                  <w:noWrap w:val="0"/>
                  <w:vAlign w:val="center"/>
                </w:tcPr>
                <w:p w14:paraId="0883EDF0">
                  <w:pPr>
                    <w:pStyle w:val="22"/>
                    <w:bidi w:val="0"/>
                    <w:ind w:firstLine="0" w:firstLineChars="0"/>
                    <w:rPr>
                      <w:rFonts w:hint="default"/>
                      <w:color w:val="auto"/>
                      <w:lang w:val="en-US" w:eastAsia="zh-CN"/>
                    </w:rPr>
                  </w:pPr>
                  <w:r>
                    <w:rPr>
                      <w:rFonts w:hint="eastAsia"/>
                      <w:color w:val="auto"/>
                      <w:lang w:val="en-US" w:eastAsia="zh-CN"/>
                    </w:rPr>
                    <w:t>0.2</w:t>
                  </w:r>
                </w:p>
              </w:tc>
              <w:tc>
                <w:tcPr>
                  <w:tcW w:w="557" w:type="pct"/>
                  <w:noWrap w:val="0"/>
                  <w:vAlign w:val="center"/>
                </w:tcPr>
                <w:p w14:paraId="02A1922C">
                  <w:pPr>
                    <w:pStyle w:val="22"/>
                    <w:bidi w:val="0"/>
                    <w:ind w:firstLine="0" w:firstLineChars="0"/>
                    <w:rPr>
                      <w:rFonts w:hint="eastAsia"/>
                      <w:color w:val="auto"/>
                      <w:lang w:val="en-US" w:eastAsia="zh-CN"/>
                    </w:rPr>
                  </w:pPr>
                  <w:r>
                    <w:rPr>
                      <w:rFonts w:hint="eastAsia"/>
                      <w:color w:val="auto"/>
                      <w:lang w:val="en-US" w:eastAsia="zh-CN"/>
                    </w:rPr>
                    <w:t>辅料使用</w:t>
                  </w:r>
                </w:p>
              </w:tc>
              <w:tc>
                <w:tcPr>
                  <w:tcW w:w="420" w:type="pct"/>
                  <w:noWrap w:val="0"/>
                  <w:vAlign w:val="center"/>
                </w:tcPr>
                <w:p w14:paraId="57AD278B">
                  <w:pPr>
                    <w:pStyle w:val="22"/>
                    <w:bidi w:val="0"/>
                    <w:ind w:firstLine="0" w:firstLineChars="0"/>
                    <w:rPr>
                      <w:rFonts w:hint="eastAsia"/>
                      <w:color w:val="auto"/>
                    </w:rPr>
                  </w:pPr>
                  <w:r>
                    <w:rPr>
                      <w:rFonts w:hint="eastAsia"/>
                      <w:color w:val="auto"/>
                    </w:rPr>
                    <w:t>液</w:t>
                  </w:r>
                </w:p>
              </w:tc>
              <w:tc>
                <w:tcPr>
                  <w:tcW w:w="487" w:type="pct"/>
                  <w:noWrap w:val="0"/>
                  <w:vAlign w:val="center"/>
                </w:tcPr>
                <w:p w14:paraId="7C39B72D">
                  <w:pPr>
                    <w:pStyle w:val="22"/>
                    <w:bidi w:val="0"/>
                    <w:ind w:firstLine="0" w:firstLineChars="0"/>
                    <w:rPr>
                      <w:rFonts w:hint="eastAsia"/>
                      <w:color w:val="auto"/>
                    </w:rPr>
                  </w:pPr>
                  <w:r>
                    <w:rPr>
                      <w:rFonts w:hint="eastAsia"/>
                      <w:color w:val="auto"/>
                      <w:lang w:val="en-US" w:eastAsia="zh-CN"/>
                    </w:rPr>
                    <w:t>矿物油</w:t>
                  </w:r>
                </w:p>
              </w:tc>
              <w:tc>
                <w:tcPr>
                  <w:tcW w:w="387" w:type="pct"/>
                  <w:noWrap w:val="0"/>
                  <w:vAlign w:val="center"/>
                </w:tcPr>
                <w:p w14:paraId="3694AD1E">
                  <w:pPr>
                    <w:pStyle w:val="22"/>
                    <w:bidi w:val="0"/>
                    <w:ind w:firstLine="0" w:firstLineChars="0"/>
                    <w:rPr>
                      <w:rFonts w:hint="default"/>
                      <w:color w:val="auto"/>
                      <w:lang w:val="en-US" w:eastAsia="zh-CN"/>
                    </w:rPr>
                  </w:pPr>
                  <w:r>
                    <w:rPr>
                      <w:rFonts w:hint="eastAsia"/>
                      <w:color w:val="auto"/>
                      <w:lang w:val="en-US" w:eastAsia="zh-CN"/>
                    </w:rPr>
                    <w:t>180</w:t>
                  </w:r>
                  <w:r>
                    <w:rPr>
                      <w:rFonts w:hint="eastAsia"/>
                      <w:color w:val="auto"/>
                    </w:rPr>
                    <w:t>d</w:t>
                  </w:r>
                </w:p>
              </w:tc>
              <w:tc>
                <w:tcPr>
                  <w:tcW w:w="393" w:type="pct"/>
                  <w:noWrap w:val="0"/>
                  <w:vAlign w:val="center"/>
                </w:tcPr>
                <w:p w14:paraId="406F6F55">
                  <w:pPr>
                    <w:pStyle w:val="22"/>
                    <w:bidi w:val="0"/>
                    <w:ind w:firstLine="0" w:firstLineChars="0"/>
                    <w:rPr>
                      <w:rFonts w:hint="eastAsia"/>
                      <w:color w:val="auto"/>
                    </w:rPr>
                  </w:pPr>
                  <w:r>
                    <w:rPr>
                      <w:rFonts w:hint="eastAsia"/>
                      <w:color w:val="auto"/>
                    </w:rPr>
                    <w:t>T</w:t>
                  </w:r>
                  <w:r>
                    <w:rPr>
                      <w:rFonts w:hint="eastAsia"/>
                      <w:color w:val="auto"/>
                      <w:lang w:eastAsia="zh-CN"/>
                    </w:rPr>
                    <w:t>，</w:t>
                  </w:r>
                  <w:r>
                    <w:rPr>
                      <w:rFonts w:hint="eastAsia"/>
                      <w:color w:val="auto"/>
                    </w:rPr>
                    <w:t>I</w:t>
                  </w:r>
                </w:p>
              </w:tc>
              <w:tc>
                <w:tcPr>
                  <w:tcW w:w="601" w:type="pct"/>
                  <w:vMerge w:val="continue"/>
                  <w:noWrap w:val="0"/>
                  <w:vAlign w:val="center"/>
                </w:tcPr>
                <w:p w14:paraId="084EBEAC">
                  <w:pPr>
                    <w:pStyle w:val="22"/>
                    <w:bidi w:val="0"/>
                    <w:rPr>
                      <w:color w:val="auto"/>
                    </w:rPr>
                  </w:pPr>
                </w:p>
              </w:tc>
            </w:tr>
            <w:tr w14:paraId="527F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13" w:type="pct"/>
                  <w:noWrap w:val="0"/>
                  <w:vAlign w:val="center"/>
                </w:tcPr>
                <w:p w14:paraId="181417CB">
                  <w:pPr>
                    <w:pStyle w:val="22"/>
                    <w:bidi w:val="0"/>
                    <w:rPr>
                      <w:rFonts w:hint="eastAsia"/>
                      <w:color w:val="auto"/>
                      <w:lang w:eastAsia="zh-CN"/>
                    </w:rPr>
                  </w:pPr>
                  <w:r>
                    <w:rPr>
                      <w:rFonts w:hint="eastAsia"/>
                      <w:color w:val="auto"/>
                      <w:lang w:val="en-US" w:eastAsia="zh-CN"/>
                    </w:rPr>
                    <w:t>3</w:t>
                  </w:r>
                </w:p>
              </w:tc>
              <w:tc>
                <w:tcPr>
                  <w:tcW w:w="543" w:type="pct"/>
                  <w:noWrap w:val="0"/>
                  <w:vAlign w:val="center"/>
                </w:tcPr>
                <w:p w14:paraId="4ADC9FBF">
                  <w:pPr>
                    <w:pStyle w:val="22"/>
                    <w:bidi w:val="0"/>
                    <w:ind w:firstLine="0" w:firstLineChars="0"/>
                    <w:rPr>
                      <w:rFonts w:hint="eastAsia"/>
                      <w:color w:val="auto"/>
                    </w:rPr>
                  </w:pPr>
                  <w:r>
                    <w:rPr>
                      <w:rFonts w:hint="eastAsia"/>
                      <w:color w:val="auto"/>
                      <w:lang w:val="en-US" w:eastAsia="zh-CN"/>
                    </w:rPr>
                    <w:t>含油抹布、手套</w:t>
                  </w:r>
                </w:p>
              </w:tc>
              <w:tc>
                <w:tcPr>
                  <w:tcW w:w="791" w:type="pct"/>
                  <w:noWrap w:val="0"/>
                  <w:vAlign w:val="center"/>
                </w:tcPr>
                <w:p w14:paraId="29D1F027">
                  <w:pPr>
                    <w:pStyle w:val="22"/>
                    <w:bidi w:val="0"/>
                    <w:rPr>
                      <w:color w:val="auto"/>
                    </w:rPr>
                  </w:pPr>
                  <w:r>
                    <w:rPr>
                      <w:rFonts w:hint="eastAsia"/>
                      <w:color w:val="auto"/>
                    </w:rPr>
                    <w:t>HW49</w:t>
                  </w:r>
                </w:p>
                <w:p w14:paraId="7C0FDE69">
                  <w:pPr>
                    <w:pStyle w:val="22"/>
                    <w:bidi w:val="0"/>
                    <w:ind w:firstLine="0" w:firstLineChars="0"/>
                    <w:rPr>
                      <w:color w:val="auto"/>
                    </w:rPr>
                  </w:pPr>
                  <w:r>
                    <w:rPr>
                      <w:rFonts w:hint="eastAsia"/>
                      <w:color w:val="auto"/>
                    </w:rPr>
                    <w:t>900-041-49</w:t>
                  </w:r>
                </w:p>
              </w:tc>
              <w:tc>
                <w:tcPr>
                  <w:tcW w:w="504" w:type="pct"/>
                  <w:noWrap w:val="0"/>
                  <w:vAlign w:val="center"/>
                </w:tcPr>
                <w:p w14:paraId="0F9048D4">
                  <w:pPr>
                    <w:pStyle w:val="22"/>
                    <w:bidi w:val="0"/>
                    <w:ind w:firstLine="0" w:firstLineChars="0"/>
                    <w:rPr>
                      <w:rFonts w:hint="eastAsia"/>
                      <w:color w:val="auto"/>
                      <w:lang w:eastAsia="zh-CN"/>
                    </w:rPr>
                  </w:pPr>
                  <w:r>
                    <w:rPr>
                      <w:rFonts w:hint="eastAsia"/>
                      <w:color w:val="auto"/>
                      <w:lang w:val="en-US" w:eastAsia="zh-CN"/>
                    </w:rPr>
                    <w:t>0.01</w:t>
                  </w:r>
                </w:p>
              </w:tc>
              <w:tc>
                <w:tcPr>
                  <w:tcW w:w="557" w:type="pct"/>
                  <w:noWrap w:val="0"/>
                  <w:vAlign w:val="center"/>
                </w:tcPr>
                <w:p w14:paraId="6B35D90A">
                  <w:pPr>
                    <w:pStyle w:val="22"/>
                    <w:bidi w:val="0"/>
                    <w:ind w:firstLine="0" w:firstLineChars="0"/>
                    <w:rPr>
                      <w:rFonts w:hint="eastAsia"/>
                      <w:color w:val="auto"/>
                    </w:rPr>
                  </w:pPr>
                  <w:r>
                    <w:rPr>
                      <w:rFonts w:hint="eastAsia"/>
                      <w:color w:val="auto"/>
                      <w:lang w:val="en-US" w:eastAsia="zh-CN"/>
                    </w:rPr>
                    <w:t>设备维护</w:t>
                  </w:r>
                </w:p>
              </w:tc>
              <w:tc>
                <w:tcPr>
                  <w:tcW w:w="420" w:type="pct"/>
                  <w:noWrap w:val="0"/>
                  <w:vAlign w:val="center"/>
                </w:tcPr>
                <w:p w14:paraId="4D34CB66">
                  <w:pPr>
                    <w:pStyle w:val="22"/>
                    <w:bidi w:val="0"/>
                    <w:ind w:firstLine="0" w:firstLineChars="0"/>
                    <w:rPr>
                      <w:rFonts w:hint="eastAsia"/>
                      <w:color w:val="auto"/>
                    </w:rPr>
                  </w:pPr>
                  <w:r>
                    <w:rPr>
                      <w:rFonts w:hint="eastAsia"/>
                      <w:color w:val="auto"/>
                    </w:rPr>
                    <w:t>固</w:t>
                  </w:r>
                </w:p>
              </w:tc>
              <w:tc>
                <w:tcPr>
                  <w:tcW w:w="487" w:type="pct"/>
                  <w:noWrap w:val="0"/>
                  <w:vAlign w:val="center"/>
                </w:tcPr>
                <w:p w14:paraId="4BA8F190">
                  <w:pPr>
                    <w:pStyle w:val="22"/>
                    <w:bidi w:val="0"/>
                    <w:ind w:firstLine="0" w:firstLineChars="0"/>
                    <w:rPr>
                      <w:color w:val="auto"/>
                    </w:rPr>
                  </w:pPr>
                  <w:r>
                    <w:rPr>
                      <w:rFonts w:hint="eastAsia"/>
                      <w:color w:val="auto"/>
                      <w:lang w:val="en-US" w:eastAsia="zh-CN"/>
                    </w:rPr>
                    <w:t>矿物油</w:t>
                  </w:r>
                </w:p>
              </w:tc>
              <w:tc>
                <w:tcPr>
                  <w:tcW w:w="387" w:type="pct"/>
                  <w:noWrap w:val="0"/>
                  <w:vAlign w:val="center"/>
                </w:tcPr>
                <w:p w14:paraId="330B4344">
                  <w:pPr>
                    <w:pStyle w:val="22"/>
                    <w:bidi w:val="0"/>
                    <w:ind w:firstLine="0" w:firstLineChars="0"/>
                    <w:rPr>
                      <w:color w:val="auto"/>
                    </w:rPr>
                  </w:pPr>
                  <w:r>
                    <w:rPr>
                      <w:rFonts w:hint="eastAsia"/>
                      <w:color w:val="auto"/>
                      <w:lang w:val="en-US" w:eastAsia="zh-CN"/>
                    </w:rPr>
                    <w:t>100</w:t>
                  </w:r>
                  <w:r>
                    <w:rPr>
                      <w:rFonts w:hint="eastAsia"/>
                      <w:color w:val="auto"/>
                    </w:rPr>
                    <w:t>d</w:t>
                  </w:r>
                </w:p>
              </w:tc>
              <w:tc>
                <w:tcPr>
                  <w:tcW w:w="393" w:type="pct"/>
                  <w:noWrap w:val="0"/>
                  <w:vAlign w:val="center"/>
                </w:tcPr>
                <w:p w14:paraId="2FE10390">
                  <w:pPr>
                    <w:pStyle w:val="22"/>
                    <w:bidi w:val="0"/>
                    <w:ind w:firstLine="0" w:firstLineChars="0"/>
                    <w:rPr>
                      <w:rFonts w:hint="eastAsia"/>
                      <w:color w:val="auto"/>
                      <w:lang w:eastAsia="zh-CN"/>
                    </w:rPr>
                  </w:pPr>
                  <w:r>
                    <w:rPr>
                      <w:rFonts w:hint="eastAsia"/>
                      <w:color w:val="auto"/>
                    </w:rPr>
                    <w:t>T/In</w:t>
                  </w:r>
                </w:p>
              </w:tc>
              <w:tc>
                <w:tcPr>
                  <w:tcW w:w="601" w:type="pct"/>
                  <w:vMerge w:val="continue"/>
                  <w:noWrap w:val="0"/>
                  <w:vAlign w:val="center"/>
                </w:tcPr>
                <w:p w14:paraId="3578146A">
                  <w:pPr>
                    <w:pStyle w:val="22"/>
                    <w:bidi w:val="0"/>
                    <w:rPr>
                      <w:color w:val="auto"/>
                    </w:rPr>
                  </w:pPr>
                </w:p>
              </w:tc>
            </w:tr>
            <w:tr w14:paraId="73943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13" w:type="pct"/>
                  <w:noWrap w:val="0"/>
                  <w:vAlign w:val="center"/>
                </w:tcPr>
                <w:p w14:paraId="23D84E1C">
                  <w:pPr>
                    <w:pStyle w:val="22"/>
                    <w:bidi w:val="0"/>
                    <w:rPr>
                      <w:rFonts w:hint="default"/>
                      <w:color w:val="auto"/>
                      <w:lang w:val="en-US" w:eastAsia="zh-CN"/>
                    </w:rPr>
                  </w:pPr>
                  <w:r>
                    <w:rPr>
                      <w:rFonts w:hint="eastAsia"/>
                      <w:color w:val="auto"/>
                      <w:lang w:val="en-US" w:eastAsia="zh-CN"/>
                    </w:rPr>
                    <w:t>4</w:t>
                  </w:r>
                </w:p>
              </w:tc>
              <w:tc>
                <w:tcPr>
                  <w:tcW w:w="543" w:type="pct"/>
                  <w:noWrap w:val="0"/>
                  <w:vAlign w:val="center"/>
                </w:tcPr>
                <w:p w14:paraId="2E2ED18D">
                  <w:pPr>
                    <w:pStyle w:val="22"/>
                    <w:bidi w:val="0"/>
                    <w:ind w:firstLine="0" w:firstLineChars="0"/>
                    <w:rPr>
                      <w:rFonts w:hint="eastAsia"/>
                      <w:color w:val="auto"/>
                    </w:rPr>
                  </w:pPr>
                  <w:r>
                    <w:rPr>
                      <w:rFonts w:hint="eastAsia"/>
                      <w:color w:val="auto"/>
                      <w:lang w:val="en-US" w:eastAsia="zh-CN"/>
                    </w:rPr>
                    <w:t>废活性炭</w:t>
                  </w:r>
                </w:p>
              </w:tc>
              <w:tc>
                <w:tcPr>
                  <w:tcW w:w="791" w:type="pct"/>
                  <w:noWrap w:val="0"/>
                  <w:vAlign w:val="center"/>
                </w:tcPr>
                <w:p w14:paraId="7802DBBE">
                  <w:pPr>
                    <w:pStyle w:val="22"/>
                    <w:bidi w:val="0"/>
                    <w:rPr>
                      <w:rFonts w:hint="default"/>
                      <w:color w:val="auto"/>
                      <w:lang w:val="en-US" w:eastAsia="zh-CN"/>
                    </w:rPr>
                  </w:pPr>
                  <w:r>
                    <w:rPr>
                      <w:rFonts w:hint="eastAsia"/>
                      <w:color w:val="auto"/>
                    </w:rPr>
                    <w:t>HW</w:t>
                  </w:r>
                  <w:r>
                    <w:rPr>
                      <w:rFonts w:hint="eastAsia"/>
                      <w:color w:val="auto"/>
                      <w:lang w:val="en-US" w:eastAsia="zh-CN"/>
                    </w:rPr>
                    <w:t>49</w:t>
                  </w:r>
                </w:p>
                <w:p w14:paraId="04187724">
                  <w:pPr>
                    <w:pStyle w:val="22"/>
                    <w:bidi w:val="0"/>
                    <w:ind w:firstLine="0" w:firstLineChars="0"/>
                    <w:rPr>
                      <w:rFonts w:hint="eastAsia"/>
                      <w:color w:val="auto"/>
                    </w:rPr>
                  </w:pPr>
                  <w:r>
                    <w:rPr>
                      <w:rFonts w:hint="eastAsia"/>
                      <w:color w:val="auto"/>
                    </w:rPr>
                    <w:t>900-0</w:t>
                  </w:r>
                  <w:r>
                    <w:rPr>
                      <w:rFonts w:hint="eastAsia"/>
                      <w:color w:val="auto"/>
                      <w:lang w:val="en-US" w:eastAsia="zh-CN"/>
                    </w:rPr>
                    <w:t>39</w:t>
                  </w:r>
                  <w:r>
                    <w:rPr>
                      <w:rFonts w:hint="eastAsia"/>
                      <w:color w:val="auto"/>
                    </w:rPr>
                    <w:t>-</w:t>
                  </w:r>
                  <w:r>
                    <w:rPr>
                      <w:rFonts w:hint="eastAsia"/>
                      <w:color w:val="auto"/>
                      <w:lang w:val="en-US" w:eastAsia="zh-CN"/>
                    </w:rPr>
                    <w:t>4</w:t>
                  </w:r>
                  <w:r>
                    <w:rPr>
                      <w:rFonts w:hint="eastAsia"/>
                      <w:color w:val="auto"/>
                    </w:rPr>
                    <w:t>9</w:t>
                  </w:r>
                </w:p>
              </w:tc>
              <w:tc>
                <w:tcPr>
                  <w:tcW w:w="504" w:type="pct"/>
                  <w:noWrap w:val="0"/>
                  <w:vAlign w:val="center"/>
                </w:tcPr>
                <w:p w14:paraId="1F51C994">
                  <w:pPr>
                    <w:pStyle w:val="22"/>
                    <w:bidi w:val="0"/>
                    <w:ind w:firstLine="0" w:firstLineChars="0"/>
                    <w:rPr>
                      <w:rFonts w:hint="default"/>
                      <w:color w:val="auto"/>
                      <w:lang w:val="en-US" w:eastAsia="zh-CN"/>
                    </w:rPr>
                  </w:pPr>
                  <w:r>
                    <w:rPr>
                      <w:rFonts w:hint="eastAsia"/>
                      <w:color w:val="auto"/>
                      <w:lang w:val="en-US" w:eastAsia="zh-CN"/>
                    </w:rPr>
                    <w:t>10.53</w:t>
                  </w:r>
                </w:p>
              </w:tc>
              <w:tc>
                <w:tcPr>
                  <w:tcW w:w="557" w:type="pct"/>
                  <w:noWrap w:val="0"/>
                  <w:vAlign w:val="center"/>
                </w:tcPr>
                <w:p w14:paraId="3F2407A7">
                  <w:pPr>
                    <w:pStyle w:val="22"/>
                    <w:bidi w:val="0"/>
                    <w:ind w:firstLine="0" w:firstLineChars="0"/>
                    <w:rPr>
                      <w:rFonts w:hint="default"/>
                      <w:color w:val="auto"/>
                      <w:lang w:val="en-US" w:eastAsia="zh-CN"/>
                    </w:rPr>
                  </w:pPr>
                  <w:r>
                    <w:rPr>
                      <w:rFonts w:hint="eastAsia"/>
                      <w:color w:val="auto"/>
                      <w:lang w:val="en-US" w:eastAsia="zh-CN"/>
                    </w:rPr>
                    <w:t>废气处理</w:t>
                  </w:r>
                </w:p>
              </w:tc>
              <w:tc>
                <w:tcPr>
                  <w:tcW w:w="420" w:type="pct"/>
                  <w:noWrap w:val="0"/>
                  <w:vAlign w:val="center"/>
                </w:tcPr>
                <w:p w14:paraId="6E1FD780">
                  <w:pPr>
                    <w:pStyle w:val="22"/>
                    <w:bidi w:val="0"/>
                    <w:ind w:firstLine="0" w:firstLineChars="0"/>
                    <w:rPr>
                      <w:rFonts w:hint="eastAsia"/>
                      <w:color w:val="auto"/>
                    </w:rPr>
                  </w:pPr>
                  <w:r>
                    <w:rPr>
                      <w:rFonts w:hint="eastAsia"/>
                      <w:color w:val="auto"/>
                    </w:rPr>
                    <w:t>固</w:t>
                  </w:r>
                </w:p>
              </w:tc>
              <w:tc>
                <w:tcPr>
                  <w:tcW w:w="487" w:type="pct"/>
                  <w:noWrap w:val="0"/>
                  <w:vAlign w:val="center"/>
                </w:tcPr>
                <w:p w14:paraId="36E35741">
                  <w:pPr>
                    <w:pStyle w:val="22"/>
                    <w:bidi w:val="0"/>
                    <w:ind w:firstLine="0" w:firstLineChars="0"/>
                    <w:rPr>
                      <w:rFonts w:hint="eastAsia"/>
                      <w:color w:val="auto"/>
                      <w:lang w:val="en-US" w:eastAsia="zh-CN"/>
                    </w:rPr>
                  </w:pPr>
                  <w:r>
                    <w:rPr>
                      <w:rFonts w:hint="eastAsia"/>
                      <w:color w:val="auto"/>
                    </w:rPr>
                    <w:t>有机物</w:t>
                  </w:r>
                </w:p>
              </w:tc>
              <w:tc>
                <w:tcPr>
                  <w:tcW w:w="387" w:type="pct"/>
                  <w:noWrap w:val="0"/>
                  <w:vAlign w:val="center"/>
                </w:tcPr>
                <w:p w14:paraId="3487111E">
                  <w:pPr>
                    <w:pStyle w:val="22"/>
                    <w:bidi w:val="0"/>
                    <w:ind w:firstLine="0" w:firstLineChars="0"/>
                    <w:rPr>
                      <w:rFonts w:hint="eastAsia"/>
                      <w:color w:val="auto"/>
                    </w:rPr>
                  </w:pPr>
                  <w:r>
                    <w:rPr>
                      <w:rFonts w:hint="eastAsia"/>
                      <w:color w:val="auto"/>
                      <w:lang w:val="en-US" w:eastAsia="zh-CN"/>
                    </w:rPr>
                    <w:t>30d</w:t>
                  </w:r>
                </w:p>
              </w:tc>
              <w:tc>
                <w:tcPr>
                  <w:tcW w:w="393" w:type="pct"/>
                  <w:noWrap w:val="0"/>
                  <w:vAlign w:val="center"/>
                </w:tcPr>
                <w:p w14:paraId="786A577E">
                  <w:pPr>
                    <w:pStyle w:val="22"/>
                    <w:bidi w:val="0"/>
                    <w:ind w:firstLine="0" w:firstLineChars="0"/>
                    <w:rPr>
                      <w:rFonts w:hint="eastAsia"/>
                      <w:color w:val="auto"/>
                    </w:rPr>
                  </w:pPr>
                  <w:r>
                    <w:rPr>
                      <w:rFonts w:hint="eastAsia"/>
                      <w:color w:val="auto"/>
                    </w:rPr>
                    <w:t>T</w:t>
                  </w:r>
                </w:p>
              </w:tc>
              <w:tc>
                <w:tcPr>
                  <w:tcW w:w="601" w:type="pct"/>
                  <w:vMerge w:val="continue"/>
                  <w:noWrap w:val="0"/>
                  <w:vAlign w:val="center"/>
                </w:tcPr>
                <w:p w14:paraId="412584BE">
                  <w:pPr>
                    <w:pStyle w:val="22"/>
                    <w:bidi w:val="0"/>
                    <w:rPr>
                      <w:color w:val="auto"/>
                    </w:rPr>
                  </w:pPr>
                </w:p>
              </w:tc>
            </w:tr>
          </w:tbl>
          <w:p w14:paraId="421028B0">
            <w:pPr>
              <w:bidi w:val="0"/>
              <w:rPr>
                <w:color w:val="auto"/>
              </w:rPr>
            </w:pPr>
            <w:r>
              <w:rPr>
                <w:rFonts w:hint="eastAsia"/>
                <w:color w:val="auto"/>
              </w:rPr>
              <w:t>1、</w:t>
            </w:r>
            <w:r>
              <w:rPr>
                <w:color w:val="auto"/>
              </w:rPr>
              <w:t>危险废物贮存场所（设施）环境影响分析</w:t>
            </w:r>
          </w:p>
          <w:p w14:paraId="101009B6">
            <w:pPr>
              <w:bidi w:val="0"/>
              <w:rPr>
                <w:rFonts w:hint="eastAsia"/>
                <w:color w:val="auto"/>
              </w:rPr>
            </w:pPr>
            <w:r>
              <w:rPr>
                <w:rFonts w:hint="eastAsia"/>
                <w:color w:val="auto"/>
              </w:rPr>
              <w:t>①选址可行性</w:t>
            </w:r>
          </w:p>
          <w:p w14:paraId="2FA92274">
            <w:pPr>
              <w:bidi w:val="0"/>
              <w:rPr>
                <w:color w:val="auto"/>
              </w:rPr>
            </w:pPr>
            <w:r>
              <w:rPr>
                <w:rFonts w:hint="eastAsia"/>
                <w:color w:val="auto"/>
              </w:rPr>
              <w:t>本项目危废暂存间位于</w:t>
            </w:r>
            <w:r>
              <w:rPr>
                <w:rFonts w:hint="eastAsia"/>
                <w:color w:val="auto"/>
                <w:lang w:val="en-US" w:eastAsia="zh-CN"/>
              </w:rPr>
              <w:t>生产车间南</w:t>
            </w:r>
            <w:r>
              <w:rPr>
                <w:rFonts w:hint="eastAsia"/>
                <w:color w:val="auto"/>
              </w:rPr>
              <w:t>侧，</w:t>
            </w:r>
            <w:r>
              <w:rPr>
                <w:color w:val="auto"/>
              </w:rPr>
              <w:t>根据《危险废物贮存污染控制标准》（GB18597-20</w:t>
            </w:r>
            <w:r>
              <w:rPr>
                <w:rFonts w:hint="eastAsia"/>
                <w:color w:val="auto"/>
              </w:rPr>
              <w:t>23</w:t>
            </w:r>
            <w:r>
              <w:rPr>
                <w:color w:val="auto"/>
              </w:rPr>
              <w:t>）</w:t>
            </w:r>
            <w:r>
              <w:rPr>
                <w:rFonts w:hint="eastAsia"/>
                <w:color w:val="auto"/>
              </w:rPr>
              <w:t>相关要求</w:t>
            </w:r>
            <w:r>
              <w:rPr>
                <w:color w:val="auto"/>
              </w:rPr>
              <w:t>，本项目危险废物贮存场所选址相符性见下表。</w:t>
            </w:r>
          </w:p>
          <w:p w14:paraId="660ECCA7">
            <w:pPr>
              <w:pStyle w:val="21"/>
              <w:bidi w:val="0"/>
              <w:rPr>
                <w:color w:val="auto"/>
              </w:rPr>
            </w:pPr>
            <w:r>
              <w:rPr>
                <w:color w:val="auto"/>
              </w:rPr>
              <w:t>表</w:t>
            </w:r>
            <w:r>
              <w:rPr>
                <w:rFonts w:hint="eastAsia"/>
                <w:color w:val="auto"/>
              </w:rPr>
              <w:t>4-1</w:t>
            </w:r>
            <w:r>
              <w:rPr>
                <w:rFonts w:hint="eastAsia"/>
                <w:color w:val="auto"/>
                <w:lang w:val="en-US" w:eastAsia="zh-CN"/>
              </w:rPr>
              <w:t>7</w:t>
            </w:r>
            <w:r>
              <w:rPr>
                <w:color w:val="auto"/>
              </w:rPr>
              <w:t xml:space="preserve"> </w:t>
            </w:r>
            <w:r>
              <w:rPr>
                <w:rFonts w:hint="eastAsia"/>
                <w:color w:val="auto"/>
                <w:lang w:val="en-US" w:eastAsia="zh-CN"/>
              </w:rPr>
              <w:t xml:space="preserve"> </w:t>
            </w:r>
            <w:r>
              <w:rPr>
                <w:color w:val="auto"/>
              </w:rPr>
              <w:t>危废暂存场选址符合性分析</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429"/>
              <w:gridCol w:w="1902"/>
            </w:tblGrid>
            <w:tr w14:paraId="2945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6429" w:type="dxa"/>
                  <w:noWrap w:val="0"/>
                  <w:vAlign w:val="center"/>
                </w:tcPr>
                <w:p w14:paraId="6CF6A7FF">
                  <w:pPr>
                    <w:pStyle w:val="22"/>
                    <w:bidi w:val="0"/>
                    <w:rPr>
                      <w:b/>
                      <w:bCs/>
                      <w:color w:val="auto"/>
                    </w:rPr>
                  </w:pPr>
                  <w:r>
                    <w:rPr>
                      <w:b/>
                      <w:bCs/>
                      <w:color w:val="auto"/>
                    </w:rPr>
                    <w:t>GB18597-20</w:t>
                  </w:r>
                  <w:r>
                    <w:rPr>
                      <w:rFonts w:hint="eastAsia"/>
                      <w:b/>
                      <w:bCs/>
                      <w:color w:val="auto"/>
                    </w:rPr>
                    <w:t>23</w:t>
                  </w:r>
                  <w:r>
                    <w:rPr>
                      <w:b/>
                      <w:bCs/>
                      <w:color w:val="auto"/>
                    </w:rPr>
                    <w:t>中要求</w:t>
                  </w:r>
                </w:p>
              </w:tc>
              <w:tc>
                <w:tcPr>
                  <w:tcW w:w="1902" w:type="dxa"/>
                  <w:noWrap w:val="0"/>
                  <w:vAlign w:val="center"/>
                </w:tcPr>
                <w:p w14:paraId="624D4832">
                  <w:pPr>
                    <w:pStyle w:val="22"/>
                    <w:bidi w:val="0"/>
                    <w:rPr>
                      <w:b/>
                      <w:bCs/>
                      <w:color w:val="auto"/>
                    </w:rPr>
                  </w:pPr>
                  <w:r>
                    <w:rPr>
                      <w:b/>
                      <w:bCs/>
                      <w:color w:val="auto"/>
                    </w:rPr>
                    <w:t>相符性分析</w:t>
                  </w:r>
                </w:p>
              </w:tc>
            </w:tr>
            <w:tr w14:paraId="35E0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429" w:type="dxa"/>
                  <w:noWrap w:val="0"/>
                  <w:vAlign w:val="center"/>
                </w:tcPr>
                <w:p w14:paraId="410D5CB3">
                  <w:pPr>
                    <w:pStyle w:val="22"/>
                    <w:bidi w:val="0"/>
                    <w:rPr>
                      <w:rFonts w:hint="eastAsia"/>
                      <w:color w:val="auto"/>
                    </w:rPr>
                  </w:pPr>
                  <w:r>
                    <w:rPr>
                      <w:rFonts w:hint="eastAsia"/>
                      <w:color w:val="auto"/>
                    </w:rPr>
                    <w:t>1贮存设施选址应满足生态环境保护法律法规、规划和</w:t>
                  </w:r>
                  <w:r>
                    <w:rPr>
                      <w:rFonts w:hint="eastAsia"/>
                      <w:color w:val="auto"/>
                      <w:lang w:eastAsia="zh-CN"/>
                    </w:rPr>
                    <w:t>“</w:t>
                  </w:r>
                  <w:r>
                    <w:rPr>
                      <w:rFonts w:hint="eastAsia"/>
                      <w:color w:val="auto"/>
                    </w:rPr>
                    <w:t>三线一单</w:t>
                  </w:r>
                  <w:r>
                    <w:rPr>
                      <w:rFonts w:hint="eastAsia"/>
                      <w:color w:val="auto"/>
                      <w:lang w:eastAsia="zh-CN"/>
                    </w:rPr>
                    <w:t>”</w:t>
                  </w:r>
                  <w:r>
                    <w:rPr>
                      <w:rFonts w:hint="eastAsia"/>
                      <w:color w:val="auto"/>
                    </w:rPr>
                    <w:t>生态环境分区管控的要求，建设项目应依法进行环境影响评价。</w:t>
                  </w:r>
                </w:p>
                <w:p w14:paraId="09D95542">
                  <w:pPr>
                    <w:pStyle w:val="22"/>
                    <w:bidi w:val="0"/>
                    <w:rPr>
                      <w:rFonts w:hint="eastAsia"/>
                      <w:color w:val="auto"/>
                    </w:rPr>
                  </w:pPr>
                  <w:r>
                    <w:rPr>
                      <w:rFonts w:hint="eastAsia"/>
                      <w:color w:val="auto"/>
                    </w:rPr>
                    <w:t>2集中贮存设施不应选在生态保护红线区域、永久基本农田和其他需要特别保护的区域内，不应建在溶洞区或易遭受洪水、滑坡、泥石流、潮汐等严重自然灾害影响的地区。</w:t>
                  </w:r>
                </w:p>
                <w:p w14:paraId="218BB842">
                  <w:pPr>
                    <w:pStyle w:val="22"/>
                    <w:bidi w:val="0"/>
                    <w:rPr>
                      <w:color w:val="auto"/>
                    </w:rPr>
                  </w:pPr>
                  <w:r>
                    <w:rPr>
                      <w:rFonts w:hint="eastAsia"/>
                      <w:color w:val="auto"/>
                    </w:rPr>
                    <w:t>3贮存设施不应选在江河、湖泊、运河、渠道、水库及其最高水位线以下的滩地和岸坡，以及法律法规规定禁止贮存危险废物的其他地点。</w:t>
                  </w:r>
                </w:p>
                <w:p w14:paraId="2467328D">
                  <w:pPr>
                    <w:pStyle w:val="22"/>
                    <w:bidi w:val="0"/>
                    <w:rPr>
                      <w:color w:val="auto"/>
                    </w:rPr>
                  </w:pPr>
                  <w:r>
                    <w:rPr>
                      <w:rFonts w:hint="eastAsia"/>
                      <w:color w:val="auto"/>
                    </w:rPr>
                    <w:t>4贮存设施场址的位置以及其与周围环境敏感目标的距离应依据环境影响评价文件确定。</w:t>
                  </w:r>
                </w:p>
              </w:tc>
              <w:tc>
                <w:tcPr>
                  <w:tcW w:w="1902" w:type="dxa"/>
                  <w:noWrap w:val="0"/>
                  <w:vAlign w:val="center"/>
                </w:tcPr>
                <w:p w14:paraId="4B3AF7EE">
                  <w:pPr>
                    <w:pStyle w:val="22"/>
                    <w:bidi w:val="0"/>
                    <w:rPr>
                      <w:color w:val="auto"/>
                    </w:rPr>
                  </w:pPr>
                  <w:r>
                    <w:rPr>
                      <w:color w:val="auto"/>
                    </w:rPr>
                    <w:t>本项目</w:t>
                  </w:r>
                  <w:r>
                    <w:rPr>
                      <w:rFonts w:hint="eastAsia"/>
                      <w:color w:val="auto"/>
                    </w:rPr>
                    <w:t>危废暂存间不属于集中型暂存场所，目</w:t>
                  </w:r>
                  <w:r>
                    <w:rPr>
                      <w:rFonts w:hint="eastAsia"/>
                      <w:color w:val="auto"/>
                      <w:lang w:eastAsia="zh-CN"/>
                    </w:rPr>
                    <w:t>前已</w:t>
                  </w:r>
                  <w:r>
                    <w:rPr>
                      <w:rFonts w:hint="eastAsia"/>
                      <w:color w:val="auto"/>
                    </w:rPr>
                    <w:t>履行环评手续，不在生态红线区域内，</w:t>
                  </w:r>
                  <w:r>
                    <w:rPr>
                      <w:color w:val="auto"/>
                    </w:rPr>
                    <w:t>选址能够达到《危险废物贮存污染控制标准》（GB18597-20</w:t>
                  </w:r>
                  <w:r>
                    <w:rPr>
                      <w:rFonts w:hint="eastAsia"/>
                      <w:color w:val="auto"/>
                    </w:rPr>
                    <w:t>23</w:t>
                  </w:r>
                  <w:r>
                    <w:rPr>
                      <w:color w:val="auto"/>
                    </w:rPr>
                    <w:t>）相关要求。</w:t>
                  </w:r>
                </w:p>
              </w:tc>
            </w:tr>
          </w:tbl>
          <w:p w14:paraId="74265939">
            <w:pPr>
              <w:bidi w:val="0"/>
              <w:rPr>
                <w:rFonts w:hint="eastAsia"/>
                <w:color w:val="auto"/>
              </w:rPr>
            </w:pPr>
            <w:r>
              <w:rPr>
                <w:rFonts w:hint="eastAsia"/>
                <w:color w:val="auto"/>
              </w:rPr>
              <w:t>②存储能力可行性分析</w:t>
            </w:r>
          </w:p>
          <w:p w14:paraId="6B35987B">
            <w:pPr>
              <w:bidi w:val="0"/>
              <w:rPr>
                <w:rFonts w:hint="eastAsia"/>
                <w:color w:val="auto"/>
              </w:rPr>
            </w:pPr>
            <w:r>
              <w:rPr>
                <w:rFonts w:hint="eastAsia"/>
                <w:color w:val="auto"/>
              </w:rPr>
              <w:t>项目废</w:t>
            </w:r>
            <w:r>
              <w:rPr>
                <w:rFonts w:hint="eastAsia"/>
                <w:color w:val="auto"/>
                <w:lang w:val="en-US" w:eastAsia="zh-CN"/>
              </w:rPr>
              <w:t>机油</w:t>
            </w:r>
            <w:r>
              <w:rPr>
                <w:rFonts w:hint="eastAsia"/>
                <w:color w:val="auto"/>
              </w:rPr>
              <w:t>采用</w:t>
            </w:r>
            <w:r>
              <w:rPr>
                <w:rFonts w:hint="eastAsia"/>
                <w:color w:val="auto"/>
                <w:lang w:val="en-US" w:eastAsia="zh-CN"/>
              </w:rPr>
              <w:t>18L</w:t>
            </w:r>
            <w:r>
              <w:rPr>
                <w:color w:val="auto"/>
              </w:rPr>
              <w:t>/</w:t>
            </w:r>
            <w:r>
              <w:rPr>
                <w:rFonts w:hint="eastAsia"/>
                <w:color w:val="auto"/>
              </w:rPr>
              <w:t>桶（桶直径约为</w:t>
            </w:r>
            <w:r>
              <w:rPr>
                <w:color w:val="auto"/>
              </w:rPr>
              <w:t>0.</w:t>
            </w:r>
            <w:r>
              <w:rPr>
                <w:rFonts w:hint="eastAsia"/>
                <w:color w:val="auto"/>
                <w:lang w:val="en-US" w:eastAsia="zh-CN"/>
              </w:rPr>
              <w:t>3</w:t>
            </w:r>
            <w:r>
              <w:rPr>
                <w:color w:val="auto"/>
              </w:rPr>
              <w:t>m</w:t>
            </w:r>
            <w:r>
              <w:rPr>
                <w:rFonts w:hint="eastAsia"/>
                <w:color w:val="auto"/>
              </w:rPr>
              <w:t>，高</w:t>
            </w:r>
            <w:r>
              <w:rPr>
                <w:color w:val="auto"/>
              </w:rPr>
              <w:t>0.</w:t>
            </w:r>
            <w:r>
              <w:rPr>
                <w:rFonts w:hint="eastAsia"/>
                <w:color w:val="auto"/>
                <w:lang w:val="en-US" w:eastAsia="zh-CN"/>
              </w:rPr>
              <w:t>35</w:t>
            </w:r>
            <w:r>
              <w:rPr>
                <w:color w:val="auto"/>
              </w:rPr>
              <w:t>m</w:t>
            </w:r>
            <w:r>
              <w:rPr>
                <w:rFonts w:hint="eastAsia"/>
                <w:color w:val="auto"/>
              </w:rPr>
              <w:t>）暂存，项目废</w:t>
            </w:r>
            <w:r>
              <w:rPr>
                <w:rFonts w:hint="eastAsia"/>
                <w:color w:val="auto"/>
                <w:lang w:val="en-US" w:eastAsia="zh-CN"/>
              </w:rPr>
              <w:t>机油</w:t>
            </w:r>
            <w:r>
              <w:rPr>
                <w:rFonts w:hint="eastAsia"/>
                <w:color w:val="auto"/>
              </w:rPr>
              <w:t>产生量约</w:t>
            </w:r>
            <w:r>
              <w:rPr>
                <w:rFonts w:hint="eastAsia"/>
                <w:color w:val="auto"/>
                <w:lang w:val="en-US" w:eastAsia="zh-CN"/>
              </w:rPr>
              <w:t>0.2</w:t>
            </w:r>
            <w:r>
              <w:rPr>
                <w:color w:val="auto"/>
              </w:rPr>
              <w:t>t/a</w:t>
            </w:r>
            <w:r>
              <w:rPr>
                <w:rFonts w:hint="eastAsia"/>
                <w:color w:val="auto"/>
              </w:rPr>
              <w:t>，</w:t>
            </w:r>
            <w:r>
              <w:rPr>
                <w:rFonts w:hint="eastAsia"/>
                <w:color w:val="auto"/>
                <w:lang w:val="en-US" w:eastAsia="zh-CN"/>
              </w:rPr>
              <w:t>三个月</w:t>
            </w:r>
            <w:r>
              <w:rPr>
                <w:rFonts w:hint="eastAsia"/>
                <w:color w:val="auto"/>
              </w:rPr>
              <w:t>清运一次，危废暂存间暂存废</w:t>
            </w:r>
            <w:r>
              <w:rPr>
                <w:rFonts w:hint="eastAsia"/>
                <w:color w:val="auto"/>
                <w:lang w:val="en-US" w:eastAsia="zh-CN"/>
              </w:rPr>
              <w:t>机油</w:t>
            </w:r>
            <w:r>
              <w:rPr>
                <w:rFonts w:hint="eastAsia"/>
                <w:color w:val="auto"/>
              </w:rPr>
              <w:t>产生量约</w:t>
            </w:r>
            <w:r>
              <w:rPr>
                <w:rFonts w:hint="eastAsia"/>
                <w:color w:val="auto"/>
                <w:lang w:val="en-US" w:eastAsia="zh-CN"/>
              </w:rPr>
              <w:t>0.05t</w:t>
            </w:r>
            <w:r>
              <w:rPr>
                <w:rFonts w:hint="eastAsia"/>
                <w:color w:val="auto"/>
              </w:rPr>
              <w:t>，则需要</w:t>
            </w:r>
            <w:r>
              <w:rPr>
                <w:rFonts w:hint="eastAsia"/>
                <w:color w:val="auto"/>
                <w:lang w:val="en-US" w:eastAsia="zh-CN"/>
              </w:rPr>
              <w:t>3</w:t>
            </w:r>
            <w:r>
              <w:rPr>
                <w:rFonts w:hint="eastAsia"/>
                <w:color w:val="auto"/>
              </w:rPr>
              <w:t>个包装桶（单桶占地面积约</w:t>
            </w:r>
            <w:r>
              <w:rPr>
                <w:color w:val="auto"/>
              </w:rPr>
              <w:t>0.</w:t>
            </w:r>
            <w:r>
              <w:rPr>
                <w:rFonts w:hint="eastAsia"/>
                <w:color w:val="auto"/>
                <w:lang w:val="en-US" w:eastAsia="zh-CN"/>
              </w:rPr>
              <w:t>07</w:t>
            </w:r>
            <w:r>
              <w:rPr>
                <w:rFonts w:hint="default"/>
                <w:color w:val="auto"/>
                <w:lang w:val="en-US" w:eastAsia="zh-CN"/>
              </w:rPr>
              <w:t>m</w:t>
            </w:r>
            <w:r>
              <w:rPr>
                <w:rFonts w:hint="default"/>
                <w:color w:val="auto"/>
                <w:vertAlign w:val="superscript"/>
                <w:lang w:val="en-US" w:eastAsia="zh-CN"/>
              </w:rPr>
              <w:t>2</w:t>
            </w:r>
            <w:r>
              <w:rPr>
                <w:rFonts w:hint="eastAsia"/>
                <w:color w:val="auto"/>
              </w:rPr>
              <w:t>），则废</w:t>
            </w:r>
            <w:r>
              <w:rPr>
                <w:rFonts w:hint="eastAsia"/>
                <w:color w:val="auto"/>
                <w:lang w:val="en-US" w:eastAsia="zh-CN"/>
              </w:rPr>
              <w:t>机油</w:t>
            </w:r>
            <w:r>
              <w:rPr>
                <w:rFonts w:hint="eastAsia"/>
                <w:color w:val="auto"/>
              </w:rPr>
              <w:t>占地面积约0.</w:t>
            </w:r>
            <w:r>
              <w:rPr>
                <w:rFonts w:hint="eastAsia"/>
                <w:color w:val="auto"/>
                <w:lang w:val="en-US" w:eastAsia="zh-CN"/>
              </w:rPr>
              <w:t>21</w:t>
            </w:r>
            <w:r>
              <w:rPr>
                <w:rFonts w:hint="default"/>
                <w:color w:val="auto"/>
                <w:lang w:val="en-US" w:eastAsia="zh-CN"/>
              </w:rPr>
              <w:t>m</w:t>
            </w:r>
            <w:r>
              <w:rPr>
                <w:rFonts w:hint="default"/>
                <w:color w:val="auto"/>
                <w:vertAlign w:val="superscript"/>
                <w:lang w:val="en-US" w:eastAsia="zh-CN"/>
              </w:rPr>
              <w:t>2</w:t>
            </w:r>
            <w:r>
              <w:rPr>
                <w:rFonts w:hint="eastAsia"/>
                <w:color w:val="auto"/>
              </w:rPr>
              <w:t>。</w:t>
            </w:r>
          </w:p>
          <w:p w14:paraId="02830225">
            <w:pPr>
              <w:bidi w:val="0"/>
              <w:rPr>
                <w:rFonts w:hint="eastAsia"/>
                <w:color w:val="auto"/>
                <w:lang w:eastAsia="zh-CN"/>
              </w:rPr>
            </w:pPr>
            <w:r>
              <w:rPr>
                <w:rFonts w:hint="eastAsia"/>
                <w:color w:val="auto"/>
              </w:rPr>
              <w:t>项目废包装</w:t>
            </w:r>
            <w:r>
              <w:rPr>
                <w:rFonts w:hint="eastAsia"/>
                <w:color w:val="auto"/>
                <w:lang w:val="en-US" w:eastAsia="zh-CN"/>
              </w:rPr>
              <w:t>桶全年产生10</w:t>
            </w:r>
            <w:r>
              <w:rPr>
                <w:rFonts w:hint="eastAsia"/>
                <w:color w:val="auto"/>
              </w:rPr>
              <w:t>个，每</w:t>
            </w:r>
            <w:r>
              <w:rPr>
                <w:rFonts w:hint="eastAsia"/>
                <w:color w:val="auto"/>
                <w:lang w:val="en-US" w:eastAsia="zh-CN"/>
              </w:rPr>
              <w:t>半年</w:t>
            </w:r>
            <w:r>
              <w:rPr>
                <w:rFonts w:hint="eastAsia"/>
                <w:color w:val="auto"/>
              </w:rPr>
              <w:t>清运一次，单桶占地面积约</w:t>
            </w:r>
            <w:r>
              <w:rPr>
                <w:color w:val="auto"/>
              </w:rPr>
              <w:t>0.</w:t>
            </w:r>
            <w:r>
              <w:rPr>
                <w:rFonts w:hint="eastAsia"/>
                <w:color w:val="auto"/>
                <w:lang w:val="en-US" w:eastAsia="zh-CN"/>
              </w:rPr>
              <w:t>01</w:t>
            </w:r>
            <w:r>
              <w:rPr>
                <w:rFonts w:hint="default"/>
                <w:color w:val="auto"/>
                <w:lang w:val="en-US" w:eastAsia="zh-CN"/>
              </w:rPr>
              <w:t>m</w:t>
            </w:r>
            <w:r>
              <w:rPr>
                <w:rFonts w:hint="default"/>
                <w:color w:val="auto"/>
                <w:vertAlign w:val="superscript"/>
                <w:lang w:val="en-US" w:eastAsia="zh-CN"/>
              </w:rPr>
              <w:t>2</w:t>
            </w:r>
            <w:r>
              <w:rPr>
                <w:rFonts w:hint="eastAsia"/>
                <w:color w:val="auto"/>
              </w:rPr>
              <w:t>计，则废包装桶占地面积为</w:t>
            </w:r>
            <w:r>
              <w:rPr>
                <w:rFonts w:hint="eastAsia"/>
                <w:color w:val="auto"/>
                <w:lang w:val="en-US" w:eastAsia="zh-CN"/>
              </w:rPr>
              <w:t>0.05</w:t>
            </w:r>
            <w:r>
              <w:rPr>
                <w:rFonts w:hint="default"/>
                <w:color w:val="auto"/>
                <w:lang w:val="en-US" w:eastAsia="zh-CN"/>
              </w:rPr>
              <w:t>m</w:t>
            </w:r>
            <w:r>
              <w:rPr>
                <w:rFonts w:hint="default"/>
                <w:color w:val="auto"/>
                <w:vertAlign w:val="superscript"/>
                <w:lang w:val="en-US" w:eastAsia="zh-CN"/>
              </w:rPr>
              <w:t>2</w:t>
            </w:r>
            <w:r>
              <w:rPr>
                <w:rFonts w:hint="eastAsia"/>
                <w:color w:val="auto"/>
              </w:rPr>
              <w:t>；</w:t>
            </w:r>
            <w:r>
              <w:rPr>
                <w:rFonts w:hint="eastAsia"/>
                <w:color w:val="auto"/>
                <w:lang w:val="en-US" w:eastAsia="zh-CN"/>
              </w:rPr>
              <w:t>含油抹布、手套采用袋装收集封存，占地面积为0.5</w:t>
            </w:r>
            <w:r>
              <w:rPr>
                <w:rFonts w:hint="default"/>
                <w:color w:val="auto"/>
                <w:lang w:val="en-US" w:eastAsia="zh-CN"/>
              </w:rPr>
              <w:t>m</w:t>
            </w:r>
            <w:r>
              <w:rPr>
                <w:rFonts w:hint="default"/>
                <w:color w:val="auto"/>
                <w:vertAlign w:val="superscript"/>
                <w:lang w:val="en-US" w:eastAsia="zh-CN"/>
              </w:rPr>
              <w:t>2</w:t>
            </w:r>
            <w:r>
              <w:rPr>
                <w:rFonts w:hint="eastAsia"/>
                <w:color w:val="auto"/>
                <w:lang w:eastAsia="zh-CN"/>
              </w:rPr>
              <w:t>。</w:t>
            </w:r>
          </w:p>
          <w:p w14:paraId="2D4428EC">
            <w:pPr>
              <w:bidi w:val="0"/>
              <w:rPr>
                <w:rFonts w:hint="eastAsia"/>
                <w:color w:val="auto"/>
              </w:rPr>
            </w:pPr>
            <w:r>
              <w:rPr>
                <w:rFonts w:hint="eastAsia"/>
                <w:color w:val="auto"/>
              </w:rPr>
              <w:t>项目</w:t>
            </w:r>
            <w:r>
              <w:rPr>
                <w:rFonts w:hint="eastAsia"/>
                <w:color w:val="auto"/>
                <w:lang w:val="en-US" w:eastAsia="zh-CN"/>
              </w:rPr>
              <w:t>废活性炭</w:t>
            </w:r>
            <w:r>
              <w:rPr>
                <w:rFonts w:hint="eastAsia"/>
                <w:color w:val="auto"/>
              </w:rPr>
              <w:t>采用</w:t>
            </w:r>
            <w:r>
              <w:rPr>
                <w:rFonts w:hint="eastAsia"/>
                <w:color w:val="auto"/>
                <w:lang w:val="en-US" w:eastAsia="zh-CN"/>
              </w:rPr>
              <w:t>100</w:t>
            </w:r>
            <w:r>
              <w:rPr>
                <w:color w:val="auto"/>
              </w:rPr>
              <w:t>kg/</w:t>
            </w:r>
            <w:r>
              <w:rPr>
                <w:rFonts w:hint="eastAsia"/>
                <w:color w:val="auto"/>
              </w:rPr>
              <w:t>桶（桶直径约为</w:t>
            </w:r>
            <w:r>
              <w:rPr>
                <w:color w:val="auto"/>
              </w:rPr>
              <w:t>0.</w:t>
            </w:r>
            <w:r>
              <w:rPr>
                <w:rFonts w:hint="eastAsia"/>
                <w:color w:val="auto"/>
                <w:lang w:val="en-US" w:eastAsia="zh-CN"/>
              </w:rPr>
              <w:t>4</w:t>
            </w:r>
            <w:r>
              <w:rPr>
                <w:color w:val="auto"/>
              </w:rPr>
              <w:t>m</w:t>
            </w:r>
            <w:r>
              <w:rPr>
                <w:rFonts w:hint="eastAsia"/>
                <w:color w:val="auto"/>
              </w:rPr>
              <w:t>，高</w:t>
            </w:r>
            <w:r>
              <w:rPr>
                <w:color w:val="auto"/>
              </w:rPr>
              <w:t>0.</w:t>
            </w:r>
            <w:r>
              <w:rPr>
                <w:rFonts w:hint="eastAsia"/>
                <w:color w:val="auto"/>
                <w:lang w:val="en-US" w:eastAsia="zh-CN"/>
              </w:rPr>
              <w:t>8</w:t>
            </w:r>
            <w:r>
              <w:rPr>
                <w:color w:val="auto"/>
              </w:rPr>
              <w:t>m</w:t>
            </w:r>
            <w:r>
              <w:rPr>
                <w:rFonts w:hint="eastAsia"/>
                <w:color w:val="auto"/>
              </w:rPr>
              <w:t>）暂存，项目</w:t>
            </w:r>
            <w:r>
              <w:rPr>
                <w:rFonts w:hint="eastAsia"/>
                <w:color w:val="auto"/>
                <w:lang w:val="en-US" w:eastAsia="zh-CN"/>
              </w:rPr>
              <w:t>废活性炭</w:t>
            </w:r>
            <w:r>
              <w:rPr>
                <w:rFonts w:hint="eastAsia"/>
                <w:color w:val="auto"/>
              </w:rPr>
              <w:t>产生量约</w:t>
            </w:r>
            <w:r>
              <w:rPr>
                <w:rFonts w:hint="eastAsia"/>
                <w:color w:val="auto"/>
                <w:lang w:val="en-US" w:eastAsia="zh-CN"/>
              </w:rPr>
              <w:t>10.53</w:t>
            </w:r>
            <w:r>
              <w:rPr>
                <w:color w:val="auto"/>
              </w:rPr>
              <w:t>t/a</w:t>
            </w:r>
            <w:r>
              <w:rPr>
                <w:rFonts w:hint="eastAsia"/>
                <w:color w:val="auto"/>
              </w:rPr>
              <w:t>，</w:t>
            </w:r>
            <w:r>
              <w:rPr>
                <w:rFonts w:hint="eastAsia"/>
                <w:color w:val="auto"/>
                <w:lang w:val="en-US" w:eastAsia="zh-CN"/>
              </w:rPr>
              <w:t>一个月</w:t>
            </w:r>
            <w:r>
              <w:rPr>
                <w:rFonts w:hint="eastAsia"/>
                <w:color w:val="auto"/>
              </w:rPr>
              <w:t>清运一次，危废暂存间暂存</w:t>
            </w:r>
            <w:r>
              <w:rPr>
                <w:rFonts w:hint="eastAsia"/>
                <w:color w:val="auto"/>
                <w:lang w:val="en-US" w:eastAsia="zh-CN"/>
              </w:rPr>
              <w:t>废活性炭</w:t>
            </w:r>
            <w:r>
              <w:rPr>
                <w:rFonts w:hint="eastAsia"/>
                <w:color w:val="auto"/>
              </w:rPr>
              <w:t>产生量约</w:t>
            </w:r>
            <w:r>
              <w:rPr>
                <w:rFonts w:hint="eastAsia"/>
                <w:color w:val="auto"/>
                <w:lang w:val="en-US" w:eastAsia="zh-CN"/>
              </w:rPr>
              <w:t>0.878t</w:t>
            </w:r>
            <w:r>
              <w:rPr>
                <w:rFonts w:hint="eastAsia"/>
                <w:color w:val="auto"/>
              </w:rPr>
              <w:t>，则需要</w:t>
            </w:r>
            <w:r>
              <w:rPr>
                <w:rFonts w:hint="eastAsia"/>
                <w:color w:val="auto"/>
                <w:lang w:val="en-US" w:eastAsia="zh-CN"/>
              </w:rPr>
              <w:t>9</w:t>
            </w:r>
            <w:r>
              <w:rPr>
                <w:rFonts w:hint="eastAsia"/>
                <w:color w:val="auto"/>
              </w:rPr>
              <w:t>个包装桶（单桶占地面积约</w:t>
            </w:r>
            <w:r>
              <w:rPr>
                <w:color w:val="auto"/>
              </w:rPr>
              <w:t>0.</w:t>
            </w:r>
            <w:r>
              <w:rPr>
                <w:rFonts w:hint="eastAsia"/>
                <w:color w:val="auto"/>
                <w:lang w:val="en-US" w:eastAsia="zh-CN"/>
              </w:rPr>
              <w:t>1</w:t>
            </w:r>
            <w:r>
              <w:rPr>
                <w:rFonts w:hint="eastAsia"/>
                <w:color w:val="auto"/>
              </w:rPr>
              <w:t>3</w:t>
            </w:r>
            <w:r>
              <w:rPr>
                <w:rFonts w:hint="default"/>
                <w:color w:val="auto"/>
                <w:lang w:val="en-US" w:eastAsia="zh-CN"/>
              </w:rPr>
              <w:t>m</w:t>
            </w:r>
            <w:r>
              <w:rPr>
                <w:rFonts w:hint="default"/>
                <w:color w:val="auto"/>
                <w:vertAlign w:val="superscript"/>
                <w:lang w:val="en-US" w:eastAsia="zh-CN"/>
              </w:rPr>
              <w:t>2</w:t>
            </w:r>
            <w:r>
              <w:rPr>
                <w:rFonts w:hint="eastAsia"/>
                <w:color w:val="auto"/>
              </w:rPr>
              <w:t>），则</w:t>
            </w:r>
            <w:r>
              <w:rPr>
                <w:rFonts w:hint="eastAsia"/>
                <w:color w:val="auto"/>
                <w:lang w:val="en-US" w:eastAsia="zh-CN"/>
              </w:rPr>
              <w:t>废活性炭</w:t>
            </w:r>
            <w:r>
              <w:rPr>
                <w:rFonts w:hint="eastAsia"/>
                <w:color w:val="auto"/>
              </w:rPr>
              <w:t>占地面积约</w:t>
            </w:r>
            <w:r>
              <w:rPr>
                <w:rFonts w:hint="eastAsia"/>
                <w:color w:val="auto"/>
                <w:lang w:val="en-US" w:eastAsia="zh-CN"/>
              </w:rPr>
              <w:t>1.17</w:t>
            </w:r>
            <w:r>
              <w:rPr>
                <w:rFonts w:hint="default"/>
                <w:color w:val="auto"/>
                <w:lang w:val="en-US" w:eastAsia="zh-CN"/>
              </w:rPr>
              <w:t>m</w:t>
            </w:r>
            <w:r>
              <w:rPr>
                <w:rFonts w:hint="default"/>
                <w:color w:val="auto"/>
                <w:vertAlign w:val="superscript"/>
                <w:lang w:val="en-US" w:eastAsia="zh-CN"/>
              </w:rPr>
              <w:t>2</w:t>
            </w:r>
            <w:r>
              <w:rPr>
                <w:rFonts w:hint="eastAsia"/>
                <w:color w:val="auto"/>
              </w:rPr>
              <w:t>。</w:t>
            </w:r>
          </w:p>
          <w:p w14:paraId="1F48BC44">
            <w:pPr>
              <w:bidi w:val="0"/>
              <w:rPr>
                <w:rFonts w:hint="eastAsia"/>
                <w:color w:val="auto"/>
              </w:rPr>
            </w:pPr>
            <w:r>
              <w:rPr>
                <w:rFonts w:hint="eastAsia"/>
                <w:color w:val="auto"/>
              </w:rPr>
              <w:t>则项目危废总占地面积约</w:t>
            </w:r>
            <w:r>
              <w:rPr>
                <w:rFonts w:hint="eastAsia"/>
                <w:color w:val="auto"/>
                <w:lang w:val="en-US" w:eastAsia="zh-CN"/>
              </w:rPr>
              <w:t>1.93</w:t>
            </w:r>
            <w:r>
              <w:rPr>
                <w:rFonts w:hint="default"/>
                <w:color w:val="auto"/>
                <w:lang w:val="en-US" w:eastAsia="zh-CN"/>
              </w:rPr>
              <w:t>m</w:t>
            </w:r>
            <w:r>
              <w:rPr>
                <w:rFonts w:hint="default"/>
                <w:color w:val="auto"/>
                <w:vertAlign w:val="superscript"/>
                <w:lang w:val="en-US" w:eastAsia="zh-CN"/>
              </w:rPr>
              <w:t>2</w:t>
            </w:r>
            <w:r>
              <w:rPr>
                <w:rFonts w:hint="eastAsia"/>
                <w:color w:val="auto"/>
              </w:rPr>
              <w:t>，本次新建</w:t>
            </w:r>
            <w:r>
              <w:rPr>
                <w:color w:val="auto"/>
              </w:rPr>
              <w:t>1座</w:t>
            </w:r>
            <w:r>
              <w:rPr>
                <w:rFonts w:hint="eastAsia"/>
                <w:color w:val="auto"/>
                <w:lang w:val="en-US" w:eastAsia="zh-CN"/>
              </w:rPr>
              <w:t>10</w:t>
            </w:r>
            <w:r>
              <w:rPr>
                <w:rFonts w:hint="default"/>
                <w:color w:val="auto"/>
                <w:lang w:val="en-US" w:eastAsia="zh-CN"/>
              </w:rPr>
              <w:t>m</w:t>
            </w:r>
            <w:r>
              <w:rPr>
                <w:rFonts w:hint="default"/>
                <w:color w:val="auto"/>
                <w:vertAlign w:val="superscript"/>
                <w:lang w:val="en-US" w:eastAsia="zh-CN"/>
              </w:rPr>
              <w:t>2</w:t>
            </w:r>
            <w:r>
              <w:rPr>
                <w:color w:val="auto"/>
              </w:rPr>
              <w:t>危险废物暂存场所</w:t>
            </w:r>
            <w:r>
              <w:rPr>
                <w:rFonts w:hint="eastAsia"/>
                <w:color w:val="auto"/>
              </w:rPr>
              <w:t>满足本项目危险废物暂存要求。</w:t>
            </w:r>
          </w:p>
          <w:p w14:paraId="768CBB6D">
            <w:pPr>
              <w:bidi w:val="0"/>
              <w:rPr>
                <w:rFonts w:hint="eastAsia"/>
                <w:color w:val="auto"/>
              </w:rPr>
            </w:pPr>
            <w:r>
              <w:rPr>
                <w:rFonts w:hint="eastAsia"/>
                <w:color w:val="auto"/>
              </w:rPr>
              <w:t>③危废暂存场所内设置要求</w:t>
            </w:r>
          </w:p>
          <w:p w14:paraId="77F66D83">
            <w:pPr>
              <w:bidi w:val="0"/>
              <w:rPr>
                <w:rFonts w:hint="eastAsia"/>
                <w:color w:val="auto"/>
              </w:rPr>
            </w:pPr>
            <w:r>
              <w:rPr>
                <w:rFonts w:hint="eastAsia"/>
                <w:color w:val="auto"/>
              </w:rPr>
              <w:t>危废暂存场所地面与裙脚采用达到标准要求防渗的材料建造，渗透系数≤</w:t>
            </w:r>
            <w:r>
              <w:rPr>
                <w:color w:val="auto"/>
              </w:rPr>
              <w:t>10</w:t>
            </w:r>
            <w:r>
              <w:rPr>
                <w:color w:val="auto"/>
                <w:vertAlign w:val="superscript"/>
              </w:rPr>
              <w:t>-12</w:t>
            </w:r>
            <w:r>
              <w:rPr>
                <w:color w:val="auto"/>
              </w:rPr>
              <w:t>cm/s</w:t>
            </w:r>
            <w:r>
              <w:rPr>
                <w:rFonts w:hint="eastAsia"/>
                <w:color w:val="auto"/>
              </w:rPr>
              <w:t>，防渗建筑材料须与危险废物相容。</w:t>
            </w:r>
          </w:p>
          <w:p w14:paraId="48EB8E71">
            <w:pPr>
              <w:bidi w:val="0"/>
              <w:rPr>
                <w:rFonts w:hint="eastAsia"/>
                <w:color w:val="auto"/>
              </w:rPr>
            </w:pPr>
            <w:r>
              <w:rPr>
                <w:rFonts w:hint="eastAsia"/>
                <w:color w:val="auto"/>
              </w:rPr>
              <w:t>危废暂存场所内设置有安全照明设施和观察窗口，场所四周设置边沟，建造径流疏导系统，同时做到</w:t>
            </w:r>
            <w:r>
              <w:rPr>
                <w:rFonts w:hint="eastAsia"/>
                <w:color w:val="auto"/>
                <w:lang w:eastAsia="zh-CN"/>
              </w:rPr>
              <w:t>“</w:t>
            </w:r>
            <w:r>
              <w:rPr>
                <w:rFonts w:hint="eastAsia"/>
                <w:color w:val="auto"/>
              </w:rPr>
              <w:t>五防</w:t>
            </w:r>
            <w:r>
              <w:rPr>
                <w:rFonts w:hint="eastAsia"/>
                <w:color w:val="auto"/>
                <w:lang w:eastAsia="zh-CN"/>
              </w:rPr>
              <w:t>”</w:t>
            </w:r>
            <w:r>
              <w:rPr>
                <w:rFonts w:hint="eastAsia"/>
                <w:color w:val="auto"/>
              </w:rPr>
              <w:t>（防风、防雨、防晒、防盗、防渗漏）要求。本项目危险废物暂存场所均按照</w:t>
            </w:r>
            <w:r>
              <w:rPr>
                <w:color w:val="auto"/>
              </w:rPr>
              <w:t>GB18597-20</w:t>
            </w:r>
            <w:r>
              <w:rPr>
                <w:rFonts w:hint="eastAsia"/>
                <w:color w:val="auto"/>
              </w:rPr>
              <w:t>23《危险废物贮存污染控制标准》的规定设置，通过规范设置危废暂存场所，可以保障危险废物暂存过程对周边环境不产生影响。</w:t>
            </w:r>
          </w:p>
          <w:p w14:paraId="137B5BBE">
            <w:pPr>
              <w:bidi w:val="0"/>
              <w:rPr>
                <w:color w:val="auto"/>
              </w:rPr>
            </w:pPr>
            <w:r>
              <w:rPr>
                <w:color w:val="auto"/>
              </w:rPr>
              <w:t>项目产生的危废严格按照《危险废物污染防治技术政策》（环发</w:t>
            </w:r>
            <w:r>
              <w:rPr>
                <w:rFonts w:hint="eastAsia"/>
                <w:color w:val="auto"/>
                <w:lang w:eastAsia="zh-CN"/>
              </w:rPr>
              <w:t>〔</w:t>
            </w:r>
            <w:r>
              <w:rPr>
                <w:color w:val="auto"/>
              </w:rPr>
              <w:t>2001</w:t>
            </w:r>
            <w:r>
              <w:rPr>
                <w:rFonts w:hint="eastAsia"/>
                <w:color w:val="auto"/>
                <w:lang w:eastAsia="zh-CN"/>
              </w:rPr>
              <w:t>〕</w:t>
            </w:r>
            <w:r>
              <w:rPr>
                <w:color w:val="auto"/>
              </w:rPr>
              <w:t>199号）和《危险废物贮存污染控制标准》（GB18597-20</w:t>
            </w:r>
            <w:r>
              <w:rPr>
                <w:rFonts w:hint="eastAsia"/>
                <w:color w:val="auto"/>
              </w:rPr>
              <w:t>23</w:t>
            </w:r>
            <w:r>
              <w:rPr>
                <w:color w:val="auto"/>
              </w:rPr>
              <w:t>）等文件、技术规范要求进行暂存和转移。</w:t>
            </w:r>
          </w:p>
          <w:p w14:paraId="379558FF">
            <w:pPr>
              <w:bidi w:val="0"/>
              <w:rPr>
                <w:color w:val="auto"/>
              </w:rPr>
            </w:pPr>
            <w:r>
              <w:rPr>
                <w:color w:val="auto"/>
              </w:rPr>
              <w:t>危险废物的贮存设施应满足以下要求：</w:t>
            </w:r>
          </w:p>
          <w:p w14:paraId="27196EFA">
            <w:pPr>
              <w:bidi w:val="0"/>
              <w:rPr>
                <w:rFonts w:hint="eastAsia"/>
                <w:color w:val="auto"/>
              </w:rPr>
            </w:pPr>
            <w:r>
              <w:rPr>
                <w:rFonts w:hint="eastAsia"/>
                <w:color w:val="auto"/>
              </w:rPr>
              <w:t>①贮存设施应根据危险废物的形态、物理化学性质、包装形式和污染物迁移途径，采取必要的防风、防晒、防雨、防漏、防渗、防腐以及其他环境污染防治措施，不应露天堆放危险废物。</w:t>
            </w:r>
          </w:p>
          <w:p w14:paraId="00086099">
            <w:pPr>
              <w:bidi w:val="0"/>
              <w:rPr>
                <w:rFonts w:hint="eastAsia"/>
                <w:color w:val="auto"/>
              </w:rPr>
            </w:pPr>
            <w:r>
              <w:rPr>
                <w:rFonts w:hint="eastAsia"/>
                <w:color w:val="auto"/>
              </w:rPr>
              <w:t>②贮存设施应根据危险废物的类别、数量、形态、物理化学性质和污染防治等要求设置必要的贮存分区，避免不相容的危险废物接触、混合。</w:t>
            </w:r>
          </w:p>
          <w:p w14:paraId="55764AF8">
            <w:pPr>
              <w:bidi w:val="0"/>
              <w:rPr>
                <w:rFonts w:hint="eastAsia"/>
                <w:color w:val="auto"/>
              </w:rPr>
            </w:pPr>
            <w:r>
              <w:rPr>
                <w:rFonts w:hint="eastAsia"/>
                <w:color w:val="auto"/>
              </w:rPr>
              <w:t>③贮存设施或贮存分区内地面、墙面裙脚、堵截泄漏的围堰、接触危险废物的隔板和墙体等应采用坚固的材料建造，表面无裂缝。</w:t>
            </w:r>
          </w:p>
          <w:p w14:paraId="3579662E">
            <w:pPr>
              <w:bidi w:val="0"/>
              <w:rPr>
                <w:rFonts w:hint="eastAsia"/>
                <w:color w:val="auto"/>
              </w:rPr>
            </w:pPr>
            <w:r>
              <w:rPr>
                <w:rFonts w:hint="eastAsia"/>
                <w:color w:val="auto"/>
              </w:rPr>
              <w:t>④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rFonts w:hint="eastAsia"/>
                <w:color w:val="auto"/>
                <w:vertAlign w:val="superscript"/>
              </w:rPr>
              <w:t>-7</w:t>
            </w:r>
            <w:r>
              <w:rPr>
                <w:rFonts w:hint="eastAsia"/>
                <w:color w:val="auto"/>
              </w:rPr>
              <w:t>cm/s），或至少2mm厚高密度聚乙烯膜等人工防渗材料（渗透系数不大于10</w:t>
            </w:r>
            <w:r>
              <w:rPr>
                <w:rFonts w:hint="eastAsia"/>
                <w:color w:val="auto"/>
                <w:vertAlign w:val="superscript"/>
              </w:rPr>
              <w:t>-10</w:t>
            </w:r>
            <w:r>
              <w:rPr>
                <w:rFonts w:hint="eastAsia"/>
                <w:color w:val="auto"/>
              </w:rPr>
              <w:t>cm/s），或其他防渗性能等效的材料。</w:t>
            </w:r>
          </w:p>
          <w:p w14:paraId="6B4883BD">
            <w:pPr>
              <w:bidi w:val="0"/>
              <w:rPr>
                <w:rFonts w:hint="eastAsia"/>
                <w:color w:val="auto"/>
              </w:rPr>
            </w:pPr>
            <w:r>
              <w:rPr>
                <w:rFonts w:hint="eastAsia"/>
                <w:color w:val="auto"/>
              </w:rPr>
              <w:t>⑤同一贮存设施宜采用相同的防渗、防腐工艺（包括防渗、防腐结构或材料），防渗、防腐材料应覆盖所有可能与废物及其渗滤液、渗漏液等接触的构筑物表面；采用不同防渗、防腐工艺应分别建设贮存分区。</w:t>
            </w:r>
          </w:p>
          <w:p w14:paraId="56881818">
            <w:pPr>
              <w:bidi w:val="0"/>
              <w:rPr>
                <w:rFonts w:hint="eastAsia"/>
                <w:color w:val="auto"/>
              </w:rPr>
            </w:pPr>
            <w:r>
              <w:rPr>
                <w:rFonts w:hint="eastAsia"/>
                <w:color w:val="auto"/>
              </w:rPr>
              <w:t>⑥贮存设施应采取技术和管理措施防止无关人员进入。贮存库内不同贮存分区之间应采取隔离措施。隔离措施可根据危险废物特性采用过道、隔板或隔墙等方式。</w:t>
            </w:r>
          </w:p>
          <w:p w14:paraId="2C1B7D6C">
            <w:pPr>
              <w:bidi w:val="0"/>
              <w:rPr>
                <w:rFonts w:hint="eastAsia"/>
                <w:color w:val="auto"/>
              </w:rPr>
            </w:pPr>
            <w:r>
              <w:rPr>
                <w:rFonts w:hint="eastAsia"/>
                <w:color w:val="auto"/>
              </w:rPr>
              <w:t>⑦在贮存库内或通过贮存分区方式贮存液态危险废物的，应具有液体泄漏堵截设施，堵截设施最小容积不应低于对应贮存区域最大液态废物容器容积或液态废物总储量1/10（二者取较大者）；用于贮存可能产生渗滤液的危险废物的贮存库或贮存分区应设计渗滤液收集设施，收集设施容积应满足渗滤液的收集要求。</w:t>
            </w:r>
          </w:p>
          <w:p w14:paraId="72A27316">
            <w:pPr>
              <w:bidi w:val="0"/>
              <w:rPr>
                <w:color w:val="auto"/>
              </w:rPr>
            </w:pPr>
            <w:r>
              <w:rPr>
                <w:color w:val="auto"/>
              </w:rPr>
              <w:t>危险废物的贮存设施的选址与设计、运行与管理、安全防护、环境监测及应急措施</w:t>
            </w:r>
            <w:r>
              <w:rPr>
                <w:rFonts w:hint="eastAsia"/>
                <w:color w:val="auto"/>
                <w:lang w:eastAsia="zh-CN"/>
              </w:rPr>
              <w:t>，以及</w:t>
            </w:r>
            <w:r>
              <w:rPr>
                <w:color w:val="auto"/>
              </w:rPr>
              <w:t>关闭等须遵循《危险废物贮存污染控制标准》的规定。</w:t>
            </w:r>
          </w:p>
          <w:p w14:paraId="6BF6996C">
            <w:pPr>
              <w:bidi w:val="0"/>
              <w:rPr>
                <w:color w:val="auto"/>
              </w:rPr>
            </w:pPr>
            <w:r>
              <w:rPr>
                <w:color w:val="auto"/>
              </w:rPr>
              <w:t>企业按照《危险废物管理计划（大纲）（试行）》的要求做好危险废物计划和</w:t>
            </w:r>
            <w:r>
              <w:rPr>
                <w:rFonts w:hint="eastAsia"/>
                <w:color w:val="auto"/>
                <w:lang w:eastAsia="zh-CN"/>
              </w:rPr>
              <w:t>危险废物台账</w:t>
            </w:r>
            <w:r>
              <w:rPr>
                <w:color w:val="auto"/>
              </w:rPr>
              <w:t>。</w:t>
            </w:r>
          </w:p>
          <w:p w14:paraId="51F02193">
            <w:pPr>
              <w:bidi w:val="0"/>
              <w:rPr>
                <w:b/>
                <w:bCs/>
                <w:color w:val="auto"/>
              </w:rPr>
            </w:pPr>
            <w:r>
              <w:rPr>
                <w:b/>
                <w:bCs/>
                <w:color w:val="auto"/>
              </w:rPr>
              <w:t>（</w:t>
            </w:r>
            <w:r>
              <w:rPr>
                <w:rFonts w:hint="eastAsia"/>
                <w:b/>
                <w:bCs/>
                <w:color w:val="auto"/>
              </w:rPr>
              <w:t>3</w:t>
            </w:r>
            <w:r>
              <w:rPr>
                <w:b/>
                <w:bCs/>
                <w:color w:val="auto"/>
              </w:rPr>
              <w:t>）污染防治措施</w:t>
            </w:r>
          </w:p>
          <w:p w14:paraId="018A40AD">
            <w:pPr>
              <w:bidi w:val="0"/>
              <w:rPr>
                <w:color w:val="auto"/>
              </w:rPr>
            </w:pPr>
            <w:r>
              <w:rPr>
                <w:color w:val="auto"/>
              </w:rPr>
              <w:t>①贮存场所（设施）污染防治措施</w:t>
            </w:r>
          </w:p>
          <w:p w14:paraId="7481B28C">
            <w:pPr>
              <w:bidi w:val="0"/>
              <w:rPr>
                <w:color w:val="auto"/>
              </w:rPr>
            </w:pPr>
            <w:r>
              <w:rPr>
                <w:color w:val="auto"/>
              </w:rPr>
              <w:t>所有纳入危险废物范畴的固体废物在企业内的存放地设置符合《危险废物贮存污染控制标准》（GB18597-20</w:t>
            </w:r>
            <w:r>
              <w:rPr>
                <w:rFonts w:hint="eastAsia"/>
                <w:color w:val="auto"/>
              </w:rPr>
              <w:t>23</w:t>
            </w:r>
            <w:r>
              <w:rPr>
                <w:color w:val="auto"/>
              </w:rPr>
              <w:t>）的专用标志。危险废物必须使用专用的容器贮存，除非在常温常压下不水解、不挥发的固体危险废物可在贮存设施内分别堆放。贮存容器应有明显标志，并且标明废物的特性，是否具有耐腐蚀、与所贮存的废物发生反应等特性。贮存场所严格按照</w:t>
            </w:r>
            <w:r>
              <w:rPr>
                <w:rFonts w:hint="eastAsia"/>
                <w:color w:val="auto"/>
                <w:lang w:eastAsia="zh-CN"/>
              </w:rPr>
              <w:t>“</w:t>
            </w:r>
            <w:r>
              <w:rPr>
                <w:rFonts w:hint="eastAsia"/>
                <w:color w:val="auto"/>
              </w:rPr>
              <w:t>五</w:t>
            </w:r>
            <w:r>
              <w:rPr>
                <w:color w:val="auto"/>
              </w:rPr>
              <w:t>防</w:t>
            </w:r>
            <w:r>
              <w:rPr>
                <w:rFonts w:hint="eastAsia"/>
                <w:color w:val="auto"/>
                <w:lang w:eastAsia="zh-CN"/>
              </w:rPr>
              <w:t>”</w:t>
            </w:r>
            <w:r>
              <w:rPr>
                <w:color w:val="auto"/>
              </w:rPr>
              <w:t>（防风、防雨、防晒、</w:t>
            </w:r>
            <w:r>
              <w:rPr>
                <w:rFonts w:hint="eastAsia"/>
                <w:color w:val="auto"/>
              </w:rPr>
              <w:t>防盗、</w:t>
            </w:r>
            <w:r>
              <w:rPr>
                <w:color w:val="auto"/>
              </w:rPr>
              <w:t>防渗漏）要求进行设置，有集排水设施且贮存场所符合消防要求，贮存场所内采用安全照明设施，并设置观察窗口。</w:t>
            </w:r>
          </w:p>
          <w:p w14:paraId="2420B5CA">
            <w:pPr>
              <w:bidi w:val="0"/>
              <w:rPr>
                <w:color w:val="auto"/>
              </w:rPr>
            </w:pPr>
            <w:r>
              <w:rPr>
                <w:color w:val="auto"/>
              </w:rPr>
              <w:t>②运输过程的污染防治措施</w:t>
            </w:r>
          </w:p>
          <w:p w14:paraId="721EF0AF">
            <w:pPr>
              <w:bidi w:val="0"/>
              <w:rPr>
                <w:color w:val="auto"/>
              </w:rPr>
            </w:pPr>
            <w:r>
              <w:rPr>
                <w:color w:val="auto"/>
              </w:rPr>
              <w:t>项目所处理的危险废物采用专门的车辆，密闭运输，严格禁止抛洒滴漏，杜绝在运输过程中造成环境的二次污染。在危险废物的运输中执行《危险废物转移联单管理办法》中有关的规定和要求。</w:t>
            </w:r>
          </w:p>
          <w:p w14:paraId="7E72EBEA">
            <w:pPr>
              <w:bidi w:val="0"/>
              <w:rPr>
                <w:rFonts w:hint="eastAsia"/>
                <w:b/>
                <w:bCs/>
                <w:color w:val="auto"/>
              </w:rPr>
            </w:pPr>
            <w:r>
              <w:rPr>
                <w:b/>
                <w:bCs/>
                <w:color w:val="auto"/>
              </w:rPr>
              <w:t>（</w:t>
            </w:r>
            <w:r>
              <w:rPr>
                <w:rFonts w:hint="eastAsia"/>
                <w:b/>
                <w:bCs/>
                <w:color w:val="auto"/>
              </w:rPr>
              <w:t>4</w:t>
            </w:r>
            <w:r>
              <w:rPr>
                <w:b/>
                <w:bCs/>
                <w:color w:val="auto"/>
              </w:rPr>
              <w:t>）环境管理要求</w:t>
            </w:r>
            <w:r>
              <w:rPr>
                <w:rFonts w:hint="eastAsia"/>
                <w:b/>
                <w:bCs/>
                <w:color w:val="auto"/>
              </w:rPr>
              <w:t>：</w:t>
            </w:r>
          </w:p>
          <w:p w14:paraId="356E66BF">
            <w:pPr>
              <w:bidi w:val="0"/>
              <w:rPr>
                <w:color w:val="auto"/>
              </w:rPr>
            </w:pPr>
            <w:r>
              <w:rPr>
                <w:color w:val="auto"/>
              </w:rPr>
              <w:t>针对本项目正常运行阶段所产生的危险废物的日常管理提出要求：</w:t>
            </w:r>
          </w:p>
          <w:p w14:paraId="4D5C10C8">
            <w:pPr>
              <w:bidi w:val="0"/>
              <w:rPr>
                <w:color w:val="auto"/>
              </w:rPr>
            </w:pPr>
            <w:r>
              <w:rPr>
                <w:color w:val="auto"/>
              </w:rPr>
              <w:t>1）履行申报登记制度；</w:t>
            </w:r>
          </w:p>
          <w:p w14:paraId="263DD3B8">
            <w:pPr>
              <w:bidi w:val="0"/>
              <w:rPr>
                <w:color w:val="auto"/>
              </w:rPr>
            </w:pPr>
            <w:r>
              <w:rPr>
                <w:color w:val="auto"/>
              </w:rPr>
              <w:t>2）建立台账管理制度，企业须做好危险废物情况的记录，记录上需注明危险废物的名称、来源、数量、特性和包装容器的类别；</w:t>
            </w:r>
          </w:p>
          <w:p w14:paraId="2781A982">
            <w:pPr>
              <w:bidi w:val="0"/>
              <w:rPr>
                <w:color w:val="auto"/>
              </w:rPr>
            </w:pPr>
            <w:r>
              <w:rPr>
                <w:color w:val="auto"/>
              </w:rPr>
              <w:t>3）委托处置应执行报批和转移联单等制度；</w:t>
            </w:r>
          </w:p>
          <w:p w14:paraId="5F27305F">
            <w:pPr>
              <w:bidi w:val="0"/>
              <w:rPr>
                <w:color w:val="auto"/>
              </w:rPr>
            </w:pPr>
            <w:r>
              <w:rPr>
                <w:color w:val="auto"/>
              </w:rPr>
              <w:t>4）定期对暂存的危险废物包装容器及贮存设施进行检查，及早发现破损，及时采取措施清理更换；</w:t>
            </w:r>
          </w:p>
          <w:p w14:paraId="1217721A">
            <w:pPr>
              <w:bidi w:val="0"/>
              <w:rPr>
                <w:color w:val="auto"/>
              </w:rPr>
            </w:pPr>
            <w:r>
              <w:rPr>
                <w:color w:val="auto"/>
              </w:rPr>
              <w:t>5）直接从事收集、贮存、运输、利用、处置危险废物的人员，应当接受专业培训，经考核合格，方可从事该项工作。</w:t>
            </w:r>
          </w:p>
          <w:p w14:paraId="6696FC1E">
            <w:pPr>
              <w:bidi w:val="0"/>
              <w:rPr>
                <w:color w:val="auto"/>
              </w:rPr>
            </w:pPr>
            <w:r>
              <w:rPr>
                <w:color w:val="auto"/>
              </w:rPr>
              <w:t>6）固废贮存（处置）场所规范化设置，固体废物贮存</w:t>
            </w:r>
            <w:r>
              <w:rPr>
                <w:rFonts w:hint="eastAsia"/>
                <w:color w:val="auto"/>
                <w:lang w:eastAsia="zh-CN"/>
              </w:rPr>
              <w:t>（</w:t>
            </w:r>
            <w:r>
              <w:rPr>
                <w:color w:val="auto"/>
              </w:rPr>
              <w:t>处置</w:t>
            </w:r>
            <w:r>
              <w:rPr>
                <w:rFonts w:hint="eastAsia"/>
                <w:color w:val="auto"/>
                <w:lang w:eastAsia="zh-CN"/>
              </w:rPr>
              <w:t>）</w:t>
            </w:r>
            <w:r>
              <w:rPr>
                <w:color w:val="auto"/>
              </w:rPr>
              <w:t>场所应在醒目处设置标志牌。</w:t>
            </w:r>
          </w:p>
          <w:p w14:paraId="0781C14D">
            <w:pPr>
              <w:bidi w:val="0"/>
              <w:rPr>
                <w:color w:val="auto"/>
              </w:rPr>
            </w:pPr>
            <w:r>
              <w:rPr>
                <w:color w:val="auto"/>
              </w:rPr>
              <w:t>7）危废应根据其化学特性选择合适的容器和存放地点，通过密闭容器存放，不可混合贮存，容器标签必须标明废物种类、贮存时间，定期处理。</w:t>
            </w:r>
          </w:p>
          <w:p w14:paraId="6F400412">
            <w:pPr>
              <w:bidi w:val="0"/>
              <w:rPr>
                <w:rFonts w:hint="eastAsia"/>
                <w:color w:val="auto"/>
              </w:rPr>
            </w:pPr>
            <w:r>
              <w:rPr>
                <w:color w:val="auto"/>
              </w:rPr>
              <w:t>8）危险废物产生单位在关键位置设置在线视频监控，企业应指定专人专职维护视频监控设施运行，定期巡视并做好相应的监控运行、维修、使用记录，保持摄像头表面整洁干净、监控拍摄位置正确、监控设施完好无损，确保视频传输图像清晰、监控设备正常稳定运行。</w:t>
            </w:r>
          </w:p>
          <w:p w14:paraId="038B87B5">
            <w:pPr>
              <w:bidi w:val="0"/>
              <w:rPr>
                <w:rFonts w:hint="default"/>
                <w:color w:val="auto"/>
              </w:rPr>
            </w:pPr>
            <w:r>
              <w:rPr>
                <w:color w:val="auto"/>
              </w:rPr>
              <w:t>项目强化废物产生、收集、贮运各环节的管理，厂区内固废分类收集暂存，分类进行有效处置。危险废物收集在厂内危险废物暂存库内，避免危险废物在厂区内散失、渗漏。做好固体废物在厂区内的收集和贮存相关防护工作，收集后进行有效处置。</w:t>
            </w:r>
            <w:bookmarkStart w:id="3" w:name="_Toc22936"/>
            <w:bookmarkStart w:id="4" w:name="_Toc20862"/>
            <w:bookmarkStart w:id="5" w:name="_Toc146015337"/>
            <w:bookmarkStart w:id="6" w:name="_Toc141627909"/>
            <w:bookmarkStart w:id="7" w:name="_Toc146790359"/>
            <w:r>
              <w:rPr>
                <w:rFonts w:hint="default"/>
                <w:color w:val="auto"/>
              </w:rPr>
              <w:t>不相容危险废物要分别存放或存放在不渗透间隔分开的区域内，每个部分都应有防漏裙脚或储漏盘，防漏裙脚或储漏盘的材料要与危险废物相容，并应设置防雨、防火、防雷、防扬尘装置；贮存易燃危险废物应配置有机气体报警、火灾报警装置和导出静电的接地装置。</w:t>
            </w:r>
            <w:bookmarkEnd w:id="3"/>
            <w:bookmarkEnd w:id="4"/>
            <w:bookmarkEnd w:id="5"/>
            <w:bookmarkEnd w:id="6"/>
            <w:bookmarkEnd w:id="7"/>
          </w:p>
          <w:p w14:paraId="7D2DF609">
            <w:pPr>
              <w:bidi w:val="0"/>
              <w:rPr>
                <w:color w:val="auto"/>
              </w:rPr>
            </w:pPr>
            <w:r>
              <w:rPr>
                <w:color w:val="auto"/>
              </w:rPr>
              <w:t>建设单位应建立完善的规章制度，以降低固体废物散落对周围环境的影响，固废经妥善处理、处置后，可以实现零排放，对周围环境及人体不会造成影响，亦不会对环境产生二次污染，所采取的治理措施是可行的。</w:t>
            </w:r>
          </w:p>
          <w:p w14:paraId="03E63125">
            <w:pPr>
              <w:bidi w:val="0"/>
              <w:rPr>
                <w:color w:val="auto"/>
              </w:rPr>
            </w:pPr>
            <w:r>
              <w:rPr>
                <w:color w:val="auto"/>
              </w:rPr>
              <w:t>建设项目强化废物产生、收集、贮运各环节的管理，杜绝固废在厂区内的散失、渗漏。做好固体废物在厂区内的收集和储存相关防护工作，收集后进行有效处置。建立完善的规章制度，以降低固体废物散落对周围环境的影响。</w:t>
            </w:r>
          </w:p>
          <w:p w14:paraId="2D85F5D8">
            <w:pPr>
              <w:bidi w:val="0"/>
              <w:rPr>
                <w:b/>
                <w:bCs/>
                <w:color w:val="auto"/>
              </w:rPr>
            </w:pPr>
            <w:r>
              <w:rPr>
                <w:b/>
                <w:bCs/>
                <w:color w:val="auto"/>
              </w:rPr>
              <w:t>（3）生活垃圾</w:t>
            </w:r>
          </w:p>
          <w:p w14:paraId="03A83BD8">
            <w:pPr>
              <w:bidi w:val="0"/>
              <w:rPr>
                <w:color w:val="auto"/>
              </w:rPr>
            </w:pPr>
            <w:r>
              <w:rPr>
                <w:color w:val="auto"/>
              </w:rPr>
              <w:t>项目劳动定员</w:t>
            </w:r>
            <w:r>
              <w:rPr>
                <w:rFonts w:hint="eastAsia"/>
                <w:color w:val="auto"/>
                <w:lang w:val="en-US" w:eastAsia="zh-CN"/>
              </w:rPr>
              <w:t>20</w:t>
            </w:r>
            <w:r>
              <w:rPr>
                <w:color w:val="auto"/>
              </w:rPr>
              <w:t>人，生活垃圾产生系数按0.5kg/（人·d）计，则项目生活垃圾产生量约为</w:t>
            </w:r>
            <w:r>
              <w:rPr>
                <w:rFonts w:hint="eastAsia"/>
                <w:color w:val="auto"/>
                <w:lang w:val="en-US" w:eastAsia="zh-CN"/>
              </w:rPr>
              <w:t>10</w:t>
            </w:r>
            <w:r>
              <w:rPr>
                <w:color w:val="auto"/>
              </w:rPr>
              <w:t>kg/d、</w:t>
            </w:r>
            <w:r>
              <w:rPr>
                <w:rFonts w:hint="eastAsia"/>
                <w:color w:val="auto"/>
                <w:lang w:val="en-US" w:eastAsia="zh-CN"/>
              </w:rPr>
              <w:t>3</w:t>
            </w:r>
            <w:r>
              <w:rPr>
                <w:color w:val="auto"/>
              </w:rPr>
              <w:t>t/a。生活垃圾交由环卫部门统一清运。</w:t>
            </w:r>
          </w:p>
          <w:p w14:paraId="2F1D484B">
            <w:pPr>
              <w:bidi w:val="0"/>
              <w:rPr>
                <w:color w:val="auto"/>
              </w:rPr>
            </w:pPr>
            <w:r>
              <w:rPr>
                <w:color w:val="auto"/>
              </w:rPr>
              <w:t>综上所述，经采取上述措施后，本项目固废均可得到有效处置，处置率100%，符合环保要求，不会对周围环境造成不良影响。</w:t>
            </w:r>
          </w:p>
          <w:p w14:paraId="7CEB3767">
            <w:pPr>
              <w:bidi w:val="0"/>
              <w:rPr>
                <w:b/>
                <w:bCs/>
                <w:color w:val="auto"/>
              </w:rPr>
            </w:pPr>
            <w:r>
              <w:rPr>
                <w:rFonts w:hint="eastAsia"/>
                <w:b/>
                <w:bCs/>
                <w:color w:val="auto"/>
              </w:rPr>
              <w:t>五</w:t>
            </w:r>
            <w:r>
              <w:rPr>
                <w:b/>
                <w:bCs/>
                <w:color w:val="auto"/>
              </w:rPr>
              <w:t>、地下水</w:t>
            </w:r>
            <w:r>
              <w:rPr>
                <w:rFonts w:hint="eastAsia"/>
                <w:b/>
                <w:bCs/>
                <w:color w:val="auto"/>
              </w:rPr>
              <w:t>、土壤</w:t>
            </w:r>
            <w:r>
              <w:rPr>
                <w:b/>
                <w:bCs/>
                <w:color w:val="auto"/>
              </w:rPr>
              <w:t>环境影响分析</w:t>
            </w:r>
          </w:p>
          <w:p w14:paraId="61C4B9B9">
            <w:pPr>
              <w:bidi w:val="0"/>
              <w:rPr>
                <w:color w:val="auto"/>
              </w:rPr>
            </w:pPr>
            <w:r>
              <w:rPr>
                <w:rFonts w:hint="eastAsia"/>
                <w:color w:val="auto"/>
              </w:rPr>
              <w:t>1、地下水、土壤污染途径</w:t>
            </w:r>
          </w:p>
          <w:p w14:paraId="27AD32CE">
            <w:pPr>
              <w:bidi w:val="0"/>
              <w:rPr>
                <w:rFonts w:hint="eastAsia"/>
                <w:color w:val="auto"/>
              </w:rPr>
            </w:pPr>
            <w:r>
              <w:rPr>
                <w:rFonts w:hint="eastAsia"/>
                <w:color w:val="auto"/>
              </w:rPr>
              <w:t>企业</w:t>
            </w:r>
            <w:r>
              <w:rPr>
                <w:rFonts w:hint="eastAsia"/>
                <w:color w:val="auto"/>
                <w:lang w:val="en-US" w:eastAsia="zh-CN"/>
              </w:rPr>
              <w:t>租赁厂区已</w:t>
            </w:r>
            <w:r>
              <w:rPr>
                <w:rFonts w:hint="eastAsia"/>
                <w:color w:val="auto"/>
              </w:rPr>
              <w:t>建立了完整的</w:t>
            </w:r>
            <w:r>
              <w:rPr>
                <w:rFonts w:hint="eastAsia"/>
                <w:color w:val="auto"/>
                <w:lang w:eastAsia="zh-CN"/>
              </w:rPr>
              <w:t>“</w:t>
            </w:r>
            <w:r>
              <w:rPr>
                <w:rFonts w:hint="eastAsia"/>
                <w:color w:val="auto"/>
              </w:rPr>
              <w:t>雨污分流、清污分流</w:t>
            </w:r>
            <w:r>
              <w:rPr>
                <w:rFonts w:hint="eastAsia"/>
                <w:color w:val="auto"/>
                <w:lang w:eastAsia="zh-CN"/>
              </w:rPr>
              <w:t>”</w:t>
            </w:r>
            <w:r>
              <w:rPr>
                <w:rFonts w:hint="eastAsia"/>
                <w:color w:val="auto"/>
              </w:rPr>
              <w:t>排水系统，雨水排入雨水管网。</w:t>
            </w:r>
          </w:p>
          <w:p w14:paraId="1753DE05">
            <w:pPr>
              <w:bidi w:val="0"/>
              <w:rPr>
                <w:color w:val="auto"/>
              </w:rPr>
            </w:pPr>
            <w:r>
              <w:rPr>
                <w:rFonts w:hint="eastAsia"/>
                <w:color w:val="auto"/>
              </w:rPr>
              <w:t>本项目可能造成土壤和地下水污染的为危废间，危废间中暂存的</w:t>
            </w:r>
            <w:r>
              <w:rPr>
                <w:rFonts w:hint="eastAsia"/>
                <w:color w:val="auto"/>
                <w:lang w:val="en-US" w:eastAsia="zh-CN"/>
              </w:rPr>
              <w:t>废机油液态物料</w:t>
            </w:r>
            <w:r>
              <w:rPr>
                <w:rFonts w:hint="eastAsia"/>
                <w:color w:val="auto"/>
              </w:rPr>
              <w:t>通过地面漫流或者垂直入渗的方式进入土壤和地下水中，导致土壤和地下水污染。</w:t>
            </w:r>
          </w:p>
          <w:p w14:paraId="0F58C9D3">
            <w:pPr>
              <w:bidi w:val="0"/>
              <w:rPr>
                <w:color w:val="auto"/>
              </w:rPr>
            </w:pPr>
            <w:r>
              <w:rPr>
                <w:rFonts w:hint="eastAsia"/>
                <w:color w:val="auto"/>
              </w:rPr>
              <w:t>本项目危废间采取重点防渗措施，液态物料存储于密闭包装桶内，危废间地面设有边沟和集液池，以防止存储物料外泄进入外环境造成污染地下水和土壤造成污染。</w:t>
            </w:r>
          </w:p>
          <w:p w14:paraId="6965EA85">
            <w:pPr>
              <w:bidi w:val="0"/>
              <w:rPr>
                <w:color w:val="auto"/>
              </w:rPr>
            </w:pPr>
            <w:r>
              <w:rPr>
                <w:rFonts w:hint="eastAsia"/>
                <w:color w:val="auto"/>
              </w:rPr>
              <w:t>2、</w:t>
            </w:r>
            <w:r>
              <w:rPr>
                <w:color w:val="auto"/>
              </w:rPr>
              <w:t>污染防治措施</w:t>
            </w:r>
          </w:p>
          <w:p w14:paraId="5B9CC76F">
            <w:pPr>
              <w:bidi w:val="0"/>
              <w:rPr>
                <w:color w:val="auto"/>
              </w:rPr>
            </w:pPr>
            <w:r>
              <w:rPr>
                <w:rFonts w:hint="eastAsia"/>
                <w:color w:val="auto"/>
              </w:rPr>
              <w:t>（1）</w:t>
            </w:r>
            <w:r>
              <w:rPr>
                <w:color w:val="auto"/>
              </w:rPr>
              <w:t>源头控制措施</w:t>
            </w:r>
          </w:p>
          <w:p w14:paraId="5905C91B">
            <w:pPr>
              <w:bidi w:val="0"/>
              <w:rPr>
                <w:color w:val="auto"/>
              </w:rPr>
            </w:pPr>
            <w:r>
              <w:rPr>
                <w:color w:val="auto"/>
              </w:rPr>
              <w:fldChar w:fldCharType="begin"/>
            </w:r>
            <w:r>
              <w:rPr>
                <w:color w:val="auto"/>
              </w:rPr>
              <w:instrText xml:space="preserve"> </w:instrText>
            </w:r>
            <w:r>
              <w:rPr>
                <w:rFonts w:hint="eastAsia"/>
                <w:color w:val="auto"/>
              </w:rPr>
              <w:instrText xml:space="preserve">= 1 \* GB3</w:instrText>
            </w:r>
            <w:r>
              <w:rPr>
                <w:color w:val="auto"/>
              </w:rPr>
              <w:instrText xml:space="preserve"> </w:instrText>
            </w:r>
            <w:r>
              <w:rPr>
                <w:color w:val="auto"/>
              </w:rPr>
              <w:fldChar w:fldCharType="separate"/>
            </w:r>
            <w:r>
              <w:rPr>
                <w:rFonts w:hint="eastAsia"/>
                <w:color w:val="auto"/>
              </w:rPr>
              <w:t>①</w:t>
            </w:r>
            <w:r>
              <w:rPr>
                <w:color w:val="auto"/>
              </w:rPr>
              <w:fldChar w:fldCharType="end"/>
            </w:r>
            <w:r>
              <w:rPr>
                <w:color w:val="auto"/>
              </w:rPr>
              <w:t>严格按照国家相关规范要求，对厂区内</w:t>
            </w:r>
            <w:r>
              <w:rPr>
                <w:rFonts w:hint="eastAsia"/>
                <w:color w:val="auto"/>
              </w:rPr>
              <w:t>液态物料存储设施</w:t>
            </w:r>
            <w:r>
              <w:rPr>
                <w:color w:val="auto"/>
              </w:rPr>
              <w:t>等采取相应措施，以防止和降低污染物的跑、冒、滴、漏，将污染物泄漏的环境风险事故降到最低程度。</w:t>
            </w:r>
          </w:p>
          <w:p w14:paraId="035C353A">
            <w:pPr>
              <w:bidi w:val="0"/>
              <w:rPr>
                <w:color w:val="auto"/>
              </w:rPr>
            </w:pPr>
            <w:r>
              <w:rPr>
                <w:color w:val="auto"/>
              </w:rPr>
              <w:fldChar w:fldCharType="begin"/>
            </w:r>
            <w:r>
              <w:rPr>
                <w:color w:val="auto"/>
              </w:rPr>
              <w:instrText xml:space="preserve"> </w:instrText>
            </w:r>
            <w:r>
              <w:rPr>
                <w:rFonts w:hint="eastAsia"/>
                <w:color w:val="auto"/>
              </w:rPr>
              <w:instrText xml:space="preserve">= 2 \* GB3</w:instrText>
            </w:r>
            <w:r>
              <w:rPr>
                <w:color w:val="auto"/>
              </w:rPr>
              <w:instrText xml:space="preserve"> </w:instrText>
            </w:r>
            <w:r>
              <w:rPr>
                <w:color w:val="auto"/>
              </w:rPr>
              <w:fldChar w:fldCharType="separate"/>
            </w:r>
            <w:r>
              <w:rPr>
                <w:rFonts w:hint="eastAsia"/>
                <w:color w:val="auto"/>
              </w:rPr>
              <w:t>②</w:t>
            </w:r>
            <w:r>
              <w:rPr>
                <w:color w:val="auto"/>
              </w:rPr>
              <w:fldChar w:fldCharType="end"/>
            </w:r>
            <w:r>
              <w:rPr>
                <w:color w:val="auto"/>
              </w:rPr>
              <w:t>设备和管线尽量采用</w:t>
            </w:r>
            <w:r>
              <w:rPr>
                <w:rFonts w:hint="eastAsia"/>
                <w:color w:val="auto"/>
                <w:lang w:eastAsia="zh-CN"/>
              </w:rPr>
              <w:t>“</w:t>
            </w:r>
            <w:r>
              <w:rPr>
                <w:color w:val="auto"/>
              </w:rPr>
              <w:t>可视化</w:t>
            </w:r>
            <w:r>
              <w:rPr>
                <w:rFonts w:hint="eastAsia"/>
                <w:color w:val="auto"/>
                <w:lang w:eastAsia="zh-CN"/>
              </w:rPr>
              <w:t>”</w:t>
            </w:r>
            <w:r>
              <w:rPr>
                <w:color w:val="auto"/>
              </w:rPr>
              <w:t>原则，即尽可能地上敷设和放置，做到污染物</w:t>
            </w:r>
            <w:r>
              <w:rPr>
                <w:rFonts w:hint="eastAsia"/>
                <w:color w:val="auto"/>
                <w:lang w:eastAsia="zh-CN"/>
              </w:rPr>
              <w:t>“</w:t>
            </w:r>
            <w:r>
              <w:rPr>
                <w:color w:val="auto"/>
              </w:rPr>
              <w:t>早发现、早处理</w:t>
            </w:r>
            <w:r>
              <w:rPr>
                <w:rFonts w:hint="eastAsia"/>
                <w:color w:val="auto"/>
                <w:lang w:eastAsia="zh-CN"/>
              </w:rPr>
              <w:t>”</w:t>
            </w:r>
            <w:r>
              <w:rPr>
                <w:color w:val="auto"/>
              </w:rPr>
              <w:t>，以减少由于埋地泄漏而可能造成的地下水污染。对地下管道、管道内外均采用防腐处理，定期对管道进行检漏，对出现泄漏处的土壤进行换土。</w:t>
            </w:r>
          </w:p>
          <w:p w14:paraId="6D752D21">
            <w:pPr>
              <w:bidi w:val="0"/>
              <w:rPr>
                <w:color w:val="auto"/>
              </w:rPr>
            </w:pPr>
            <w:r>
              <w:rPr>
                <w:color w:val="auto"/>
              </w:rPr>
              <w:fldChar w:fldCharType="begin"/>
            </w:r>
            <w:r>
              <w:rPr>
                <w:color w:val="auto"/>
              </w:rPr>
              <w:instrText xml:space="preserve"> </w:instrText>
            </w:r>
            <w:r>
              <w:rPr>
                <w:rFonts w:hint="eastAsia"/>
                <w:color w:val="auto"/>
              </w:rPr>
              <w:instrText xml:space="preserve">= 3 \* GB3</w:instrText>
            </w:r>
            <w:r>
              <w:rPr>
                <w:color w:val="auto"/>
              </w:rPr>
              <w:instrText xml:space="preserve"> </w:instrText>
            </w:r>
            <w:r>
              <w:rPr>
                <w:color w:val="auto"/>
              </w:rPr>
              <w:fldChar w:fldCharType="separate"/>
            </w:r>
            <w:r>
              <w:rPr>
                <w:rFonts w:hint="eastAsia"/>
                <w:color w:val="auto"/>
              </w:rPr>
              <w:t>③</w:t>
            </w:r>
            <w:r>
              <w:rPr>
                <w:color w:val="auto"/>
              </w:rPr>
              <w:fldChar w:fldCharType="end"/>
            </w:r>
            <w:r>
              <w:rPr>
                <w:color w:val="auto"/>
              </w:rPr>
              <w:t>严格固体废物管理，不接触外界降水，使其不产生淋滤液，严防污染物泄漏到地下水中。</w:t>
            </w:r>
          </w:p>
          <w:p w14:paraId="5A89BF6D">
            <w:pPr>
              <w:bidi w:val="0"/>
              <w:rPr>
                <w:color w:val="auto"/>
              </w:rPr>
            </w:pPr>
            <w:r>
              <w:rPr>
                <w:rFonts w:hint="eastAsia"/>
                <w:color w:val="auto"/>
              </w:rPr>
              <w:t>（2）</w:t>
            </w:r>
            <w:r>
              <w:rPr>
                <w:color w:val="auto"/>
              </w:rPr>
              <w:t>分区防渗措施</w:t>
            </w:r>
          </w:p>
          <w:p w14:paraId="36224C1C">
            <w:pPr>
              <w:bidi w:val="0"/>
              <w:rPr>
                <w:color w:val="auto"/>
              </w:rPr>
            </w:pPr>
            <w:r>
              <w:rPr>
                <w:color w:val="auto"/>
              </w:rPr>
              <w:t>针对可能对地下水</w:t>
            </w:r>
            <w:r>
              <w:rPr>
                <w:rFonts w:hint="eastAsia"/>
                <w:color w:val="auto"/>
              </w:rPr>
              <w:t>、土壤</w:t>
            </w:r>
            <w:r>
              <w:rPr>
                <w:color w:val="auto"/>
              </w:rPr>
              <w:t>造成影响的各环节，按照</w:t>
            </w:r>
            <w:r>
              <w:rPr>
                <w:rFonts w:hint="eastAsia"/>
                <w:color w:val="auto"/>
                <w:lang w:eastAsia="zh-CN"/>
              </w:rPr>
              <w:t>“</w:t>
            </w:r>
            <w:r>
              <w:rPr>
                <w:color w:val="auto"/>
              </w:rPr>
              <w:t>考虑重点，辐射全面</w:t>
            </w:r>
            <w:r>
              <w:rPr>
                <w:rFonts w:hint="eastAsia"/>
                <w:color w:val="auto"/>
                <w:lang w:eastAsia="zh-CN"/>
              </w:rPr>
              <w:t>”</w:t>
            </w:r>
            <w:r>
              <w:rPr>
                <w:color w:val="auto"/>
              </w:rPr>
              <w:t>的防腐防渗原则，按照《环境影响评价技术导则</w:t>
            </w:r>
            <w:r>
              <w:rPr>
                <w:rFonts w:hint="eastAsia"/>
                <w:color w:val="auto"/>
                <w:lang w:val="en-US" w:eastAsia="zh-CN"/>
              </w:rPr>
              <w:t xml:space="preserve"> </w:t>
            </w:r>
            <w:r>
              <w:rPr>
                <w:color w:val="auto"/>
              </w:rPr>
              <w:t>地下水环境》（HJ610-2016）中提出的根据建设项目场地天然包气带防污性能、污染控制难易程度和污染物特性，防渗技术要求进行划分。项目厂内不同区域实施分区防治，污染区划分为一般防渗区、重点防渗区、简单防渗区。</w:t>
            </w:r>
          </w:p>
          <w:p w14:paraId="13B462B0">
            <w:pPr>
              <w:bidi w:val="0"/>
              <w:rPr>
                <w:color w:val="auto"/>
              </w:rPr>
            </w:pPr>
            <w:r>
              <w:rPr>
                <w:color w:val="auto"/>
              </w:rPr>
              <w:fldChar w:fldCharType="begin"/>
            </w:r>
            <w:r>
              <w:rPr>
                <w:color w:val="auto"/>
              </w:rPr>
              <w:instrText xml:space="preserve"> = 1 \* GB3 </w:instrText>
            </w:r>
            <w:r>
              <w:rPr>
                <w:color w:val="auto"/>
              </w:rPr>
              <w:fldChar w:fldCharType="separate"/>
            </w:r>
            <w:r>
              <w:rPr>
                <w:rFonts w:hint="eastAsia"/>
                <w:color w:val="auto"/>
              </w:rPr>
              <w:t>①</w:t>
            </w:r>
            <w:r>
              <w:rPr>
                <w:color w:val="auto"/>
              </w:rPr>
              <w:fldChar w:fldCharType="end"/>
            </w:r>
            <w:r>
              <w:rPr>
                <w:color w:val="auto"/>
              </w:rPr>
              <w:t>重点防渗区</w:t>
            </w:r>
          </w:p>
          <w:p w14:paraId="529D0C5C">
            <w:pPr>
              <w:bidi w:val="0"/>
              <w:rPr>
                <w:color w:val="auto"/>
              </w:rPr>
            </w:pPr>
            <w:r>
              <w:rPr>
                <w:color w:val="auto"/>
              </w:rPr>
              <w:t>重点污染防治区主要包括</w:t>
            </w:r>
            <w:r>
              <w:rPr>
                <w:rFonts w:hint="eastAsia"/>
                <w:color w:val="auto"/>
              </w:rPr>
              <w:t>危废</w:t>
            </w:r>
            <w:r>
              <w:rPr>
                <w:color w:val="auto"/>
              </w:rPr>
              <w:t>库，防渗措施如下：</w:t>
            </w:r>
          </w:p>
          <w:p w14:paraId="6342231B">
            <w:pPr>
              <w:bidi w:val="0"/>
              <w:rPr>
                <w:rFonts w:hint="default"/>
                <w:color w:val="auto"/>
                <w:lang w:val="en-US" w:eastAsia="zh-CN"/>
              </w:rPr>
            </w:pPr>
            <w:r>
              <w:rPr>
                <w:rFonts w:hint="eastAsia"/>
                <w:color w:val="auto"/>
              </w:rPr>
              <w:t>危废</w:t>
            </w:r>
            <w:r>
              <w:rPr>
                <w:color w:val="auto"/>
              </w:rPr>
              <w:t>库</w:t>
            </w:r>
            <w:r>
              <w:rPr>
                <w:rFonts w:hint="eastAsia"/>
                <w:color w:val="auto"/>
                <w:lang w:eastAsia="zh-CN"/>
              </w:rPr>
              <w:t>：</w:t>
            </w:r>
            <w:r>
              <w:rPr>
                <w:rFonts w:hint="eastAsia"/>
                <w:color w:val="auto"/>
              </w:rPr>
              <w:t>采</w:t>
            </w:r>
            <w:r>
              <w:rPr>
                <w:color w:val="auto"/>
              </w:rPr>
              <w:t>用10</w:t>
            </w:r>
            <w:r>
              <w:rPr>
                <w:rFonts w:hint="eastAsia"/>
                <w:color w:val="auto"/>
                <w:lang w:eastAsia="zh-CN"/>
              </w:rPr>
              <w:t>—</w:t>
            </w:r>
            <w:r>
              <w:rPr>
                <w:color w:val="auto"/>
              </w:rPr>
              <w:t>15cm水泥硬化，表层涂</w:t>
            </w:r>
            <w:r>
              <w:rPr>
                <w:rFonts w:hint="eastAsia"/>
                <w:color w:val="auto"/>
                <w:lang w:eastAsia="zh-CN"/>
              </w:rPr>
              <w:t>环氧树脂</w:t>
            </w:r>
            <w:r>
              <w:rPr>
                <w:color w:val="auto"/>
              </w:rPr>
              <w:t>，以达到防腐、防渗漏目的，等效黏土防渗层Mb≥6.0m，渗透系数≤1.0×10</w:t>
            </w:r>
            <w:r>
              <w:rPr>
                <w:rFonts w:hint="eastAsia"/>
                <w:color w:val="auto"/>
                <w:vertAlign w:val="superscript"/>
              </w:rPr>
              <w:t>-7</w:t>
            </w:r>
            <w:r>
              <w:rPr>
                <w:color w:val="auto"/>
              </w:rPr>
              <w:t>cm/s。</w:t>
            </w:r>
            <w:r>
              <w:rPr>
                <w:rFonts w:hint="eastAsia"/>
                <w:color w:val="auto"/>
                <w:lang w:val="en-US" w:eastAsia="zh-CN"/>
              </w:rPr>
              <w:t>危废间。</w:t>
            </w:r>
          </w:p>
          <w:p w14:paraId="235AFED4">
            <w:pPr>
              <w:bidi w:val="0"/>
              <w:rPr>
                <w:color w:val="auto"/>
              </w:rPr>
            </w:pPr>
            <w:r>
              <w:rPr>
                <w:rFonts w:hint="eastAsia"/>
                <w:color w:val="auto"/>
              </w:rPr>
              <w:t>②</w:t>
            </w:r>
            <w:r>
              <w:rPr>
                <w:color w:val="auto"/>
              </w:rPr>
              <w:t>一般防渗区</w:t>
            </w:r>
          </w:p>
          <w:p w14:paraId="60EDB44C">
            <w:pPr>
              <w:bidi w:val="0"/>
              <w:rPr>
                <w:color w:val="auto"/>
              </w:rPr>
            </w:pPr>
            <w:r>
              <w:rPr>
                <w:color w:val="auto"/>
              </w:rPr>
              <w:t>主要包括</w:t>
            </w:r>
            <w:r>
              <w:rPr>
                <w:rFonts w:hint="eastAsia"/>
                <w:color w:val="auto"/>
              </w:rPr>
              <w:t>生产厂房区域</w:t>
            </w:r>
            <w:r>
              <w:rPr>
                <w:rFonts w:hint="eastAsia"/>
                <w:color w:val="auto"/>
                <w:lang w:eastAsia="zh-CN"/>
              </w:rPr>
              <w:t>、</w:t>
            </w:r>
            <w:r>
              <w:rPr>
                <w:rFonts w:hint="eastAsia"/>
                <w:color w:val="auto"/>
                <w:lang w:val="en-US" w:eastAsia="zh-CN"/>
              </w:rPr>
              <w:t>原料库</w:t>
            </w:r>
            <w:r>
              <w:rPr>
                <w:rFonts w:hint="eastAsia"/>
                <w:color w:val="auto"/>
              </w:rPr>
              <w:t>，采取</w:t>
            </w:r>
            <w:r>
              <w:rPr>
                <w:color w:val="auto"/>
              </w:rPr>
              <w:t>15</w:t>
            </w:r>
            <w:r>
              <w:rPr>
                <w:rFonts w:hint="eastAsia"/>
                <w:color w:val="auto"/>
                <w:lang w:eastAsia="zh-CN"/>
              </w:rPr>
              <w:t>—</w:t>
            </w:r>
            <w:r>
              <w:rPr>
                <w:color w:val="auto"/>
              </w:rPr>
              <w:t>20cm的水泥进行硬化。</w:t>
            </w:r>
            <w:r>
              <w:rPr>
                <w:rFonts w:hint="eastAsia"/>
                <w:color w:val="auto"/>
              </w:rPr>
              <w:t>根据现场实际踏勘，厂区一般防渗区主要包括一般固废间</w:t>
            </w:r>
            <w:r>
              <w:rPr>
                <w:rFonts w:hint="eastAsia"/>
                <w:color w:val="auto"/>
                <w:lang w:eastAsia="zh-CN"/>
              </w:rPr>
              <w:t>、</w:t>
            </w:r>
            <w:r>
              <w:rPr>
                <w:rFonts w:hint="eastAsia"/>
                <w:color w:val="auto"/>
                <w:lang w:val="en-US" w:eastAsia="zh-CN"/>
              </w:rPr>
              <w:t>车间地面</w:t>
            </w:r>
            <w:r>
              <w:rPr>
                <w:rFonts w:hint="eastAsia"/>
                <w:color w:val="auto"/>
              </w:rPr>
              <w:t>。</w:t>
            </w:r>
          </w:p>
          <w:p w14:paraId="5D0342C7">
            <w:pPr>
              <w:bidi w:val="0"/>
              <w:rPr>
                <w:color w:val="auto"/>
              </w:rPr>
            </w:pPr>
            <w:r>
              <w:rPr>
                <w:rFonts w:hint="eastAsia"/>
                <w:color w:val="auto"/>
              </w:rPr>
              <w:t>③</w:t>
            </w:r>
            <w:r>
              <w:rPr>
                <w:color w:val="auto"/>
              </w:rPr>
              <w:t>简单防渗区</w:t>
            </w:r>
          </w:p>
          <w:p w14:paraId="09AAE1C9">
            <w:pPr>
              <w:bidi w:val="0"/>
              <w:rPr>
                <w:color w:val="auto"/>
              </w:rPr>
            </w:pPr>
            <w:r>
              <w:rPr>
                <w:color w:val="auto"/>
              </w:rPr>
              <w:t>主要包括厂区道路、绿化区等不会对地下水造成污染的区域，一般地面硬化的方式进行防渗处理。</w:t>
            </w:r>
            <w:r>
              <w:rPr>
                <w:rFonts w:hint="eastAsia"/>
                <w:color w:val="auto"/>
              </w:rPr>
              <w:t>经现场踏勘，厂区地面均已进行硬化处理。</w:t>
            </w:r>
          </w:p>
          <w:p w14:paraId="1F29DD30">
            <w:pPr>
              <w:bidi w:val="0"/>
              <w:rPr>
                <w:color w:val="auto"/>
              </w:rPr>
            </w:pPr>
            <w:r>
              <w:rPr>
                <w:color w:val="auto"/>
              </w:rPr>
              <w:t>本项目地下水分区防渗措施见表</w:t>
            </w:r>
            <w:r>
              <w:rPr>
                <w:rFonts w:hint="eastAsia"/>
                <w:color w:val="auto"/>
              </w:rPr>
              <w:t>4</w:t>
            </w:r>
            <w:r>
              <w:rPr>
                <w:color w:val="auto"/>
              </w:rPr>
              <w:t>-</w:t>
            </w:r>
            <w:r>
              <w:rPr>
                <w:rFonts w:hint="eastAsia"/>
                <w:color w:val="auto"/>
              </w:rPr>
              <w:t>1</w:t>
            </w:r>
            <w:r>
              <w:rPr>
                <w:rFonts w:hint="eastAsia"/>
                <w:color w:val="auto"/>
                <w:lang w:val="en-US" w:eastAsia="zh-CN"/>
              </w:rPr>
              <w:t>8</w:t>
            </w:r>
            <w:r>
              <w:rPr>
                <w:color w:val="auto"/>
              </w:rPr>
              <w:t>。</w:t>
            </w:r>
          </w:p>
          <w:p w14:paraId="30B3BF47">
            <w:pPr>
              <w:pStyle w:val="21"/>
              <w:bidi w:val="0"/>
              <w:rPr>
                <w:color w:val="auto"/>
              </w:rPr>
            </w:pPr>
            <w:r>
              <w:rPr>
                <w:rFonts w:hint="eastAsia"/>
                <w:color w:val="auto"/>
              </w:rPr>
              <w:t>表4-1</w:t>
            </w:r>
            <w:r>
              <w:rPr>
                <w:rFonts w:hint="eastAsia"/>
                <w:color w:val="auto"/>
                <w:lang w:val="en-US" w:eastAsia="zh-CN"/>
              </w:rPr>
              <w:t>8</w:t>
            </w:r>
            <w:r>
              <w:rPr>
                <w:rFonts w:hint="eastAsia"/>
                <w:color w:val="auto"/>
              </w:rPr>
              <w:t xml:space="preserve"> </w:t>
            </w:r>
            <w:r>
              <w:rPr>
                <w:rFonts w:hint="eastAsia"/>
                <w:color w:val="auto"/>
                <w:lang w:val="en-US" w:eastAsia="zh-CN"/>
              </w:rPr>
              <w:t xml:space="preserve"> </w:t>
            </w:r>
            <w:r>
              <w:rPr>
                <w:rFonts w:hint="eastAsia"/>
                <w:color w:val="auto"/>
              </w:rPr>
              <w:t>地下水分区防渗措施一览表</w:t>
            </w:r>
          </w:p>
          <w:tbl>
            <w:tblPr>
              <w:tblStyle w:val="1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306"/>
              <w:gridCol w:w="1954"/>
              <w:gridCol w:w="2390"/>
              <w:gridCol w:w="2680"/>
            </w:tblGrid>
            <w:tr w14:paraId="7E8D4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83" w:type="pct"/>
                  <w:noWrap/>
                  <w:vAlign w:val="center"/>
                </w:tcPr>
                <w:p w14:paraId="34823717">
                  <w:pPr>
                    <w:pStyle w:val="22"/>
                    <w:bidi w:val="0"/>
                    <w:rPr>
                      <w:rFonts w:hint="eastAsia"/>
                      <w:b/>
                      <w:bCs/>
                      <w:color w:val="auto"/>
                    </w:rPr>
                  </w:pPr>
                  <w:r>
                    <w:rPr>
                      <w:rFonts w:hint="eastAsia"/>
                      <w:b/>
                      <w:bCs/>
                      <w:color w:val="auto"/>
                    </w:rPr>
                    <w:t>污染区</w:t>
                  </w:r>
                </w:p>
              </w:tc>
              <w:tc>
                <w:tcPr>
                  <w:tcW w:w="1172" w:type="pct"/>
                  <w:noWrap/>
                  <w:vAlign w:val="center"/>
                </w:tcPr>
                <w:p w14:paraId="1B5A9CAE">
                  <w:pPr>
                    <w:pStyle w:val="22"/>
                    <w:bidi w:val="0"/>
                    <w:rPr>
                      <w:rFonts w:hint="eastAsia"/>
                      <w:b/>
                      <w:bCs/>
                      <w:color w:val="auto"/>
                    </w:rPr>
                  </w:pPr>
                  <w:r>
                    <w:rPr>
                      <w:rFonts w:hint="eastAsia"/>
                      <w:b/>
                      <w:bCs/>
                      <w:color w:val="auto"/>
                    </w:rPr>
                    <w:t>构筑物名称</w:t>
                  </w:r>
                </w:p>
              </w:tc>
              <w:tc>
                <w:tcPr>
                  <w:tcW w:w="1434" w:type="pct"/>
                  <w:noWrap/>
                  <w:vAlign w:val="center"/>
                </w:tcPr>
                <w:p w14:paraId="6EB971C5">
                  <w:pPr>
                    <w:pStyle w:val="22"/>
                    <w:bidi w:val="0"/>
                    <w:rPr>
                      <w:rFonts w:hint="eastAsia"/>
                      <w:b/>
                      <w:bCs/>
                      <w:color w:val="auto"/>
                    </w:rPr>
                  </w:pPr>
                  <w:r>
                    <w:rPr>
                      <w:rFonts w:hint="eastAsia"/>
                      <w:b/>
                      <w:bCs/>
                      <w:color w:val="auto"/>
                    </w:rPr>
                    <w:t>防腐防渗措施</w:t>
                  </w:r>
                </w:p>
              </w:tc>
              <w:tc>
                <w:tcPr>
                  <w:tcW w:w="1608" w:type="pct"/>
                  <w:noWrap w:val="0"/>
                  <w:vAlign w:val="center"/>
                </w:tcPr>
                <w:p w14:paraId="4D3D0E79">
                  <w:pPr>
                    <w:pStyle w:val="22"/>
                    <w:bidi w:val="0"/>
                    <w:rPr>
                      <w:rFonts w:hint="eastAsia"/>
                      <w:b/>
                      <w:bCs/>
                      <w:color w:val="auto"/>
                    </w:rPr>
                  </w:pPr>
                  <w:r>
                    <w:rPr>
                      <w:rFonts w:hint="eastAsia"/>
                      <w:b/>
                      <w:bCs/>
                      <w:color w:val="auto"/>
                    </w:rPr>
                    <w:t>防渗技术要求</w:t>
                  </w:r>
                </w:p>
              </w:tc>
            </w:tr>
            <w:tr w14:paraId="57A6F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83" w:type="pct"/>
                  <w:noWrap/>
                  <w:vAlign w:val="center"/>
                </w:tcPr>
                <w:p w14:paraId="3873164B">
                  <w:pPr>
                    <w:pStyle w:val="22"/>
                    <w:bidi w:val="0"/>
                    <w:rPr>
                      <w:rFonts w:hint="eastAsia"/>
                      <w:color w:val="auto"/>
                    </w:rPr>
                  </w:pPr>
                  <w:r>
                    <w:rPr>
                      <w:rFonts w:hint="eastAsia"/>
                      <w:color w:val="auto"/>
                    </w:rPr>
                    <w:t>简单防渗区</w:t>
                  </w:r>
                </w:p>
              </w:tc>
              <w:tc>
                <w:tcPr>
                  <w:tcW w:w="1172" w:type="pct"/>
                  <w:noWrap/>
                  <w:vAlign w:val="center"/>
                </w:tcPr>
                <w:p w14:paraId="433C819D">
                  <w:pPr>
                    <w:pStyle w:val="22"/>
                    <w:bidi w:val="0"/>
                    <w:rPr>
                      <w:rFonts w:hint="eastAsia"/>
                      <w:color w:val="auto"/>
                    </w:rPr>
                  </w:pPr>
                  <w:r>
                    <w:rPr>
                      <w:rFonts w:hint="eastAsia"/>
                      <w:color w:val="auto"/>
                    </w:rPr>
                    <w:t>厂区道路</w:t>
                  </w:r>
                </w:p>
              </w:tc>
              <w:tc>
                <w:tcPr>
                  <w:tcW w:w="1434" w:type="pct"/>
                  <w:noWrap/>
                  <w:vAlign w:val="center"/>
                </w:tcPr>
                <w:p w14:paraId="49A30036">
                  <w:pPr>
                    <w:pStyle w:val="22"/>
                    <w:bidi w:val="0"/>
                    <w:rPr>
                      <w:rFonts w:hint="eastAsia"/>
                      <w:color w:val="auto"/>
                    </w:rPr>
                  </w:pPr>
                  <w:r>
                    <w:rPr>
                      <w:rFonts w:hint="eastAsia"/>
                      <w:color w:val="auto"/>
                    </w:rPr>
                    <w:t>天然</w:t>
                  </w:r>
                  <w:r>
                    <w:rPr>
                      <w:rFonts w:hint="eastAsia"/>
                      <w:color w:val="auto"/>
                      <w:lang w:eastAsia="zh-CN"/>
                    </w:rPr>
                    <w:t>黏土层</w:t>
                  </w:r>
                  <w:r>
                    <w:rPr>
                      <w:rFonts w:hint="eastAsia"/>
                      <w:color w:val="auto"/>
                    </w:rPr>
                    <w:t>+一般地面硬化</w:t>
                  </w:r>
                </w:p>
              </w:tc>
              <w:tc>
                <w:tcPr>
                  <w:tcW w:w="1608" w:type="pct"/>
                  <w:noWrap w:val="0"/>
                  <w:vAlign w:val="center"/>
                </w:tcPr>
                <w:p w14:paraId="26497566">
                  <w:pPr>
                    <w:pStyle w:val="22"/>
                    <w:bidi w:val="0"/>
                    <w:rPr>
                      <w:rFonts w:hint="eastAsia"/>
                      <w:color w:val="auto"/>
                    </w:rPr>
                  </w:pPr>
                  <w:r>
                    <w:rPr>
                      <w:rFonts w:hint="eastAsia"/>
                      <w:color w:val="auto"/>
                    </w:rPr>
                    <w:t>一般地面硬化</w:t>
                  </w:r>
                </w:p>
              </w:tc>
            </w:tr>
            <w:tr w14:paraId="78EF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83" w:type="pct"/>
                  <w:noWrap/>
                  <w:vAlign w:val="center"/>
                </w:tcPr>
                <w:p w14:paraId="339B2FB8">
                  <w:pPr>
                    <w:pStyle w:val="22"/>
                    <w:bidi w:val="0"/>
                    <w:rPr>
                      <w:rFonts w:hint="eastAsia"/>
                      <w:color w:val="auto"/>
                    </w:rPr>
                  </w:pPr>
                  <w:r>
                    <w:rPr>
                      <w:rFonts w:hint="eastAsia"/>
                      <w:color w:val="auto"/>
                    </w:rPr>
                    <w:t>一般防渗区</w:t>
                  </w:r>
                </w:p>
              </w:tc>
              <w:tc>
                <w:tcPr>
                  <w:tcW w:w="1172" w:type="pct"/>
                  <w:noWrap/>
                  <w:vAlign w:val="center"/>
                </w:tcPr>
                <w:p w14:paraId="5303450E">
                  <w:pPr>
                    <w:pStyle w:val="22"/>
                    <w:bidi w:val="0"/>
                    <w:rPr>
                      <w:rFonts w:hint="eastAsia" w:eastAsia="宋体"/>
                      <w:color w:val="auto"/>
                      <w:lang w:val="en-US" w:eastAsia="zh-CN"/>
                    </w:rPr>
                  </w:pPr>
                  <w:r>
                    <w:rPr>
                      <w:rFonts w:hint="eastAsia"/>
                      <w:color w:val="auto"/>
                      <w:lang w:val="en-US" w:eastAsia="zh-CN"/>
                    </w:rPr>
                    <w:t>车间地面、一般固废间、原料库</w:t>
                  </w:r>
                </w:p>
              </w:tc>
              <w:tc>
                <w:tcPr>
                  <w:tcW w:w="1434" w:type="pct"/>
                  <w:noWrap/>
                  <w:vAlign w:val="center"/>
                </w:tcPr>
                <w:p w14:paraId="3FAD685A">
                  <w:pPr>
                    <w:pStyle w:val="22"/>
                    <w:bidi w:val="0"/>
                    <w:rPr>
                      <w:rFonts w:hint="eastAsia"/>
                      <w:color w:val="auto"/>
                    </w:rPr>
                  </w:pPr>
                  <w:r>
                    <w:rPr>
                      <w:rFonts w:hint="eastAsia"/>
                      <w:color w:val="auto"/>
                    </w:rPr>
                    <w:t>采用抗渗等级不低于P1级的抗渗混凝土（渗透系数约0.4×10</w:t>
                  </w:r>
                  <w:r>
                    <w:rPr>
                      <w:rFonts w:hint="eastAsia"/>
                      <w:color w:val="auto"/>
                      <w:vertAlign w:val="superscript"/>
                    </w:rPr>
                    <w:t>-7</w:t>
                  </w:r>
                  <w:r>
                    <w:rPr>
                      <w:rFonts w:hint="eastAsia"/>
                      <w:color w:val="auto"/>
                    </w:rPr>
                    <w:t>cm/s，厚度不低于20cm）</w:t>
                  </w:r>
                </w:p>
              </w:tc>
              <w:tc>
                <w:tcPr>
                  <w:tcW w:w="1608" w:type="pct"/>
                  <w:noWrap w:val="0"/>
                  <w:vAlign w:val="center"/>
                </w:tcPr>
                <w:p w14:paraId="7AAA5D52">
                  <w:pPr>
                    <w:pStyle w:val="22"/>
                    <w:bidi w:val="0"/>
                    <w:rPr>
                      <w:rFonts w:hint="eastAsia"/>
                      <w:color w:val="auto"/>
                    </w:rPr>
                  </w:pPr>
                  <w:r>
                    <w:rPr>
                      <w:rFonts w:hint="eastAsia"/>
                      <w:color w:val="auto"/>
                    </w:rPr>
                    <w:t>等效黏土防渗层Mb≥1.5m，K≤10</w:t>
                  </w:r>
                  <w:r>
                    <w:rPr>
                      <w:rFonts w:hint="eastAsia"/>
                      <w:color w:val="auto"/>
                      <w:vertAlign w:val="superscript"/>
                    </w:rPr>
                    <w:t>-7</w:t>
                  </w:r>
                  <w:r>
                    <w:rPr>
                      <w:rFonts w:hint="eastAsia"/>
                      <w:color w:val="auto"/>
                    </w:rPr>
                    <w:t>cm/s；或参照GB16889执行</w:t>
                  </w:r>
                </w:p>
              </w:tc>
            </w:tr>
            <w:tr w14:paraId="6057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83" w:type="pct"/>
                  <w:noWrap/>
                  <w:vAlign w:val="center"/>
                </w:tcPr>
                <w:p w14:paraId="6E0F85E3">
                  <w:pPr>
                    <w:pStyle w:val="22"/>
                    <w:bidi w:val="0"/>
                    <w:rPr>
                      <w:rFonts w:hint="eastAsia"/>
                      <w:color w:val="auto"/>
                    </w:rPr>
                  </w:pPr>
                  <w:r>
                    <w:rPr>
                      <w:rFonts w:hint="eastAsia"/>
                      <w:color w:val="auto"/>
                    </w:rPr>
                    <w:t>重点防渗区</w:t>
                  </w:r>
                </w:p>
              </w:tc>
              <w:tc>
                <w:tcPr>
                  <w:tcW w:w="1172" w:type="pct"/>
                  <w:noWrap/>
                  <w:vAlign w:val="center"/>
                </w:tcPr>
                <w:p w14:paraId="43F27BF0">
                  <w:pPr>
                    <w:pStyle w:val="22"/>
                    <w:bidi w:val="0"/>
                    <w:rPr>
                      <w:rFonts w:hint="default"/>
                      <w:color w:val="auto"/>
                      <w:lang w:val="en-US" w:eastAsia="zh-CN"/>
                    </w:rPr>
                  </w:pPr>
                  <w:r>
                    <w:rPr>
                      <w:rFonts w:hint="eastAsia"/>
                      <w:color w:val="auto"/>
                    </w:rPr>
                    <w:t>危废</w:t>
                  </w:r>
                  <w:r>
                    <w:rPr>
                      <w:color w:val="auto"/>
                    </w:rPr>
                    <w:t>库</w:t>
                  </w:r>
                </w:p>
              </w:tc>
              <w:tc>
                <w:tcPr>
                  <w:tcW w:w="1434" w:type="pct"/>
                  <w:noWrap/>
                  <w:vAlign w:val="center"/>
                </w:tcPr>
                <w:p w14:paraId="0F0E5478">
                  <w:pPr>
                    <w:pStyle w:val="22"/>
                    <w:bidi w:val="0"/>
                    <w:rPr>
                      <w:rFonts w:hint="default"/>
                      <w:color w:val="auto"/>
                      <w:lang w:val="en-US"/>
                    </w:rPr>
                  </w:pPr>
                  <w:r>
                    <w:rPr>
                      <w:rFonts w:hint="default"/>
                      <w:color w:val="auto"/>
                      <w:lang w:val="en-US"/>
                    </w:rPr>
                    <w:t>采用30cm厚普通粘土垫层，并加铺2</w:t>
                  </w:r>
                  <w:r>
                    <w:rPr>
                      <w:rFonts w:hint="eastAsia"/>
                      <w:color w:val="auto"/>
                      <w:lang w:val="en-US" w:eastAsia="zh-CN"/>
                    </w:rPr>
                    <w:t>mm</w:t>
                  </w:r>
                  <w:r>
                    <w:rPr>
                      <w:rFonts w:hint="default"/>
                      <w:color w:val="auto"/>
                      <w:lang w:val="en-US"/>
                    </w:rPr>
                    <w:t>厚高密度聚乙烯，或至少 2</w:t>
                  </w:r>
                  <w:r>
                    <w:rPr>
                      <w:rFonts w:hint="eastAsia"/>
                      <w:color w:val="auto"/>
                      <w:lang w:val="en-US" w:eastAsia="zh-CN"/>
                    </w:rPr>
                    <w:t>mm</w:t>
                  </w:r>
                  <w:r>
                    <w:rPr>
                      <w:rFonts w:hint="default"/>
                      <w:color w:val="auto"/>
                      <w:lang w:val="en-US"/>
                    </w:rPr>
                    <w:t>厚的其它人工防渗材料，渗透系数≤10</w:t>
                  </w:r>
                  <w:r>
                    <w:rPr>
                      <w:rFonts w:hint="default"/>
                      <w:color w:val="auto"/>
                      <w:vertAlign w:val="superscript"/>
                      <w:lang w:val="en-US"/>
                    </w:rPr>
                    <w:t>-1</w:t>
                  </w:r>
                  <w:r>
                    <w:rPr>
                      <w:rFonts w:hint="eastAsia"/>
                      <w:color w:val="auto"/>
                      <w:vertAlign w:val="baseline"/>
                      <w:lang w:val="en-US" w:eastAsia="zh-CN"/>
                    </w:rPr>
                    <w:t>cm</w:t>
                  </w:r>
                  <w:r>
                    <w:rPr>
                      <w:rFonts w:hint="default"/>
                      <w:color w:val="auto"/>
                      <w:lang w:val="en-US"/>
                    </w:rPr>
                    <w:t>/</w:t>
                  </w:r>
                  <w:r>
                    <w:rPr>
                      <w:rFonts w:hint="eastAsia"/>
                      <w:color w:val="auto"/>
                      <w:lang w:val="en-US" w:eastAsia="zh-CN"/>
                    </w:rPr>
                    <w:t>s</w:t>
                  </w:r>
                  <w:r>
                    <w:rPr>
                      <w:rFonts w:hint="default"/>
                      <w:color w:val="auto"/>
                      <w:lang w:val="en-US"/>
                    </w:rPr>
                    <w:t>。</w:t>
                  </w:r>
                </w:p>
              </w:tc>
              <w:tc>
                <w:tcPr>
                  <w:tcW w:w="1608" w:type="pct"/>
                  <w:noWrap w:val="0"/>
                  <w:vAlign w:val="center"/>
                </w:tcPr>
                <w:p w14:paraId="02A55510">
                  <w:pPr>
                    <w:pStyle w:val="22"/>
                    <w:bidi w:val="0"/>
                    <w:rPr>
                      <w:rFonts w:hint="eastAsia"/>
                      <w:color w:val="auto"/>
                    </w:rPr>
                  </w:pPr>
                  <w:r>
                    <w:rPr>
                      <w:rFonts w:hint="eastAsia"/>
                      <w:color w:val="auto"/>
                    </w:rPr>
                    <w:t>等效黏土防渗层Mb≥6.0m，K≤10</w:t>
                  </w:r>
                  <w:r>
                    <w:rPr>
                      <w:rFonts w:hint="eastAsia"/>
                      <w:color w:val="auto"/>
                      <w:vertAlign w:val="superscript"/>
                    </w:rPr>
                    <w:t>-7</w:t>
                  </w:r>
                  <w:r>
                    <w:rPr>
                      <w:rFonts w:hint="eastAsia"/>
                      <w:color w:val="auto"/>
                    </w:rPr>
                    <w:t>cm/s；或参照GB18598执行</w:t>
                  </w:r>
                </w:p>
              </w:tc>
            </w:tr>
          </w:tbl>
          <w:p w14:paraId="0C0358A5">
            <w:pPr>
              <w:bidi w:val="0"/>
              <w:rPr>
                <w:color w:val="auto"/>
              </w:rPr>
            </w:pPr>
            <w:r>
              <w:rPr>
                <w:color w:val="auto"/>
              </w:rPr>
              <w:t>（</w:t>
            </w:r>
            <w:r>
              <w:rPr>
                <w:rFonts w:hint="eastAsia"/>
                <w:color w:val="auto"/>
                <w:lang w:val="en-US" w:eastAsia="zh-CN"/>
              </w:rPr>
              <w:t>3</w:t>
            </w:r>
            <w:r>
              <w:rPr>
                <w:color w:val="auto"/>
              </w:rPr>
              <w:t>）日常检查工作：加强地下水污染源的日常管理与维护，尤其是重点防治区域，发现防渗性能有明显下降时应及时补修；定期检查项目各污水、废水管道、</w:t>
            </w:r>
            <w:r>
              <w:rPr>
                <w:rFonts w:hint="eastAsia"/>
                <w:color w:val="auto"/>
              </w:rPr>
              <w:t>防渗措施</w:t>
            </w:r>
            <w:r>
              <w:rPr>
                <w:color w:val="auto"/>
              </w:rPr>
              <w:t>的完好性，厂区排水沟定期清淤，发现</w:t>
            </w:r>
            <w:r>
              <w:rPr>
                <w:rFonts w:hint="eastAsia"/>
                <w:color w:val="auto"/>
                <w:lang w:eastAsia="zh-CN"/>
              </w:rPr>
              <w:t>泄漏</w:t>
            </w:r>
            <w:r>
              <w:rPr>
                <w:color w:val="auto"/>
              </w:rPr>
              <w:t>时应及时维修。</w:t>
            </w:r>
          </w:p>
          <w:p w14:paraId="6F5A1EEB">
            <w:pPr>
              <w:bidi w:val="0"/>
              <w:rPr>
                <w:color w:val="auto"/>
              </w:rPr>
            </w:pPr>
            <w:r>
              <w:rPr>
                <w:color w:val="auto"/>
              </w:rPr>
              <w:t>采取上述措施后，本项目营运期基本不会对地下水水质造成影响。</w:t>
            </w:r>
          </w:p>
          <w:p w14:paraId="0764C45F">
            <w:pPr>
              <w:bidi w:val="0"/>
              <w:rPr>
                <w:b/>
                <w:bCs/>
                <w:color w:val="auto"/>
              </w:rPr>
            </w:pPr>
            <w:r>
              <w:rPr>
                <w:rFonts w:hint="eastAsia"/>
                <w:b/>
                <w:bCs/>
                <w:color w:val="auto"/>
              </w:rPr>
              <w:t>六</w:t>
            </w:r>
            <w:r>
              <w:rPr>
                <w:b/>
                <w:bCs/>
                <w:color w:val="auto"/>
              </w:rPr>
              <w:t>、环境风险分析</w:t>
            </w:r>
          </w:p>
          <w:p w14:paraId="66C10CE0">
            <w:pPr>
              <w:bidi w:val="0"/>
              <w:rPr>
                <w:b/>
                <w:bCs/>
                <w:color w:val="auto"/>
                <w:lang w:val="en-US" w:eastAsia="zh-CN"/>
              </w:rPr>
            </w:pPr>
            <w:r>
              <w:rPr>
                <w:rFonts w:hint="eastAsia"/>
                <w:b/>
                <w:bCs/>
                <w:color w:val="auto"/>
                <w:lang w:val="en-US" w:eastAsia="zh-CN"/>
              </w:rPr>
              <w:t>（1）物质危险性识别</w:t>
            </w:r>
          </w:p>
          <w:p w14:paraId="0F8A8FC8">
            <w:pPr>
              <w:bidi w:val="0"/>
              <w:rPr>
                <w:rFonts w:hint="eastAsia"/>
                <w:color w:val="auto"/>
                <w:lang w:val="en-US" w:eastAsia="zh-CN"/>
              </w:rPr>
            </w:pPr>
            <w:r>
              <w:rPr>
                <w:rFonts w:hint="eastAsia"/>
                <w:color w:val="auto"/>
                <w:lang w:val="en-US" w:eastAsia="zh-CN"/>
              </w:rPr>
              <w:t>根据风险导则识别有毒有害和易燃易爆危险物质，通过对全厂涉及的原料、辅料、产品及废物等物质进行调查，涉及的危险物质主要有：油类物质废机油、废活性炭。</w:t>
            </w:r>
          </w:p>
          <w:p w14:paraId="217A607A">
            <w:pPr>
              <w:bidi w:val="0"/>
              <w:rPr>
                <w:b/>
                <w:bCs/>
                <w:color w:val="auto"/>
                <w:lang w:val="en-US" w:eastAsia="zh-CN"/>
              </w:rPr>
            </w:pPr>
            <w:r>
              <w:rPr>
                <w:rFonts w:hint="eastAsia"/>
                <w:b/>
                <w:bCs/>
                <w:color w:val="auto"/>
                <w:lang w:val="en-US" w:eastAsia="zh-CN"/>
              </w:rPr>
              <w:t>（2）生产系统危险性识别</w:t>
            </w:r>
          </w:p>
          <w:p w14:paraId="214EC8AA">
            <w:pPr>
              <w:bidi w:val="0"/>
              <w:rPr>
                <w:color w:val="auto"/>
                <w:lang w:val="en-US" w:eastAsia="zh-CN"/>
              </w:rPr>
            </w:pPr>
            <w:r>
              <w:rPr>
                <w:rFonts w:hint="eastAsia"/>
                <w:color w:val="auto"/>
                <w:lang w:val="en-US" w:eastAsia="zh-CN"/>
              </w:rPr>
              <w:t>本项目涉及危险物质的危险单元主要为危废库。</w:t>
            </w:r>
            <w:r>
              <w:rPr>
                <w:color w:val="auto"/>
                <w:lang w:val="en-US" w:eastAsia="zh-CN"/>
              </w:rPr>
              <w:t>根据《建设项目环境风险评价技术导则》（HJ/T169－2018）附录</w:t>
            </w:r>
            <w:r>
              <w:rPr>
                <w:rFonts w:hint="eastAsia"/>
                <w:color w:val="auto"/>
                <w:lang w:val="en-US" w:eastAsia="zh-CN"/>
              </w:rPr>
              <w:t>C</w:t>
            </w:r>
            <w:r>
              <w:rPr>
                <w:color w:val="auto"/>
                <w:lang w:val="en-US" w:eastAsia="zh-CN"/>
              </w:rPr>
              <w:t>，Q按下式进行计算：</w:t>
            </w:r>
          </w:p>
          <w:p w14:paraId="087DB572">
            <w:pPr>
              <w:adjustRightInd w:val="0"/>
              <w:snapToGrid w:val="0"/>
              <w:spacing w:before="24" w:after="24"/>
              <w:ind w:left="0" w:leftChars="0" w:firstLine="0" w:firstLineChars="0"/>
              <w:jc w:val="center"/>
              <w:rPr>
                <w:color w:val="auto"/>
                <w:sz w:val="24"/>
              </w:rPr>
            </w:pPr>
            <w:r>
              <w:rPr>
                <w:color w:val="auto"/>
              </w:rPr>
              <w:drawing>
                <wp:inline distT="0" distB="0" distL="114300" distR="114300">
                  <wp:extent cx="1891665" cy="471170"/>
                  <wp:effectExtent l="0" t="0" r="13335" b="5080"/>
                  <wp:docPr id="7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0"/>
                          <pic:cNvPicPr>
                            <a:picLocks noChangeAspect="1"/>
                          </pic:cNvPicPr>
                        </pic:nvPicPr>
                        <pic:blipFill>
                          <a:blip r:embed="rId25"/>
                          <a:stretch>
                            <a:fillRect/>
                          </a:stretch>
                        </pic:blipFill>
                        <pic:spPr>
                          <a:xfrm>
                            <a:off x="0" y="0"/>
                            <a:ext cx="1891665" cy="471170"/>
                          </a:xfrm>
                          <a:prstGeom prst="rect">
                            <a:avLst/>
                          </a:prstGeom>
                          <a:noFill/>
                          <a:ln>
                            <a:noFill/>
                          </a:ln>
                        </pic:spPr>
                      </pic:pic>
                    </a:graphicData>
                  </a:graphic>
                </wp:inline>
              </w:drawing>
            </w:r>
          </w:p>
          <w:p w14:paraId="3050524E">
            <w:pPr>
              <w:bidi w:val="0"/>
              <w:rPr>
                <w:color w:val="auto"/>
                <w:lang w:val="en-US" w:eastAsia="zh-CN"/>
              </w:rPr>
            </w:pPr>
            <w:r>
              <w:rPr>
                <w:color w:val="auto"/>
                <w:lang w:val="en-US" w:eastAsia="zh-CN"/>
              </w:rPr>
              <w:t>式中：q1，q2……qn—每种危险物质的最大存在量，t；</w:t>
            </w:r>
          </w:p>
          <w:p w14:paraId="3D8C7269">
            <w:pPr>
              <w:bidi w:val="0"/>
              <w:rPr>
                <w:color w:val="auto"/>
                <w:lang w:val="en-US" w:eastAsia="zh-CN"/>
              </w:rPr>
            </w:pPr>
            <w:r>
              <w:rPr>
                <w:color w:val="auto"/>
                <w:lang w:val="en-US" w:eastAsia="zh-CN"/>
              </w:rPr>
              <w:t>Q1，Q2…Qn—每种危险物质的临界量，t。</w:t>
            </w:r>
          </w:p>
          <w:p w14:paraId="0C725966">
            <w:pPr>
              <w:bidi w:val="0"/>
              <w:rPr>
                <w:color w:val="auto"/>
                <w:lang w:val="en-US" w:eastAsia="zh-CN"/>
              </w:rPr>
            </w:pPr>
            <w:r>
              <w:rPr>
                <w:color w:val="auto"/>
                <w:lang w:val="en-US" w:eastAsia="zh-CN"/>
              </w:rPr>
              <w:t>当Q＜1时，该项目环境风险潜势为I。</w:t>
            </w:r>
          </w:p>
          <w:p w14:paraId="2E66C8C7">
            <w:pPr>
              <w:bidi w:val="0"/>
              <w:rPr>
                <w:color w:val="auto"/>
                <w:lang w:val="en-US" w:eastAsia="zh-CN"/>
              </w:rPr>
            </w:pPr>
            <w:r>
              <w:rPr>
                <w:color w:val="auto"/>
                <w:lang w:val="en-US" w:eastAsia="zh-CN"/>
              </w:rPr>
              <w:t>当Q≥1时，将Q值划分为：（1）1≤Q＜10；（2）10≤Q＜100；（3）Q≥100。</w:t>
            </w:r>
          </w:p>
          <w:p w14:paraId="7569C2E2">
            <w:pPr>
              <w:bidi w:val="0"/>
              <w:rPr>
                <w:color w:val="auto"/>
              </w:rPr>
            </w:pPr>
            <w:r>
              <w:rPr>
                <w:color w:val="auto"/>
                <w:lang w:val="en-US" w:eastAsia="zh-CN"/>
              </w:rPr>
              <w:t>计算结果如下表所示：</w:t>
            </w:r>
          </w:p>
          <w:p w14:paraId="358AF5C6">
            <w:pPr>
              <w:pStyle w:val="21"/>
              <w:bidi w:val="0"/>
              <w:rPr>
                <w:color w:val="auto"/>
              </w:rPr>
            </w:pPr>
            <w:r>
              <w:rPr>
                <w:color w:val="auto"/>
              </w:rPr>
              <w:t>表4-</w:t>
            </w:r>
            <w:r>
              <w:rPr>
                <w:rFonts w:hint="eastAsia"/>
                <w:color w:val="auto"/>
              </w:rPr>
              <w:t>1</w:t>
            </w:r>
            <w:r>
              <w:rPr>
                <w:rFonts w:hint="eastAsia"/>
                <w:color w:val="auto"/>
                <w:lang w:val="en-US" w:eastAsia="zh-CN"/>
              </w:rPr>
              <w:t xml:space="preserve">9 </w:t>
            </w:r>
            <w:r>
              <w:rPr>
                <w:color w:val="auto"/>
              </w:rPr>
              <w:t xml:space="preserve"> </w:t>
            </w:r>
            <w:r>
              <w:rPr>
                <w:rFonts w:hint="eastAsia"/>
                <w:color w:val="auto"/>
              </w:rPr>
              <w:t>全厂危险物质Q值</w:t>
            </w:r>
            <w:r>
              <w:rPr>
                <w:color w:val="auto"/>
              </w:rPr>
              <w:t>计算一览表</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864"/>
              <w:gridCol w:w="1740"/>
              <w:gridCol w:w="2710"/>
              <w:gridCol w:w="3017"/>
            </w:tblGrid>
            <w:tr w14:paraId="20FA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exact"/>
                <w:jc w:val="center"/>
              </w:trPr>
              <w:tc>
                <w:tcPr>
                  <w:tcW w:w="518" w:type="pct"/>
                  <w:noWrap w:val="0"/>
                  <w:vAlign w:val="center"/>
                </w:tcPr>
                <w:p w14:paraId="79F4F15F">
                  <w:pPr>
                    <w:pStyle w:val="22"/>
                    <w:bidi w:val="0"/>
                    <w:rPr>
                      <w:b/>
                      <w:bCs/>
                      <w:color w:val="auto"/>
                    </w:rPr>
                  </w:pPr>
                  <w:r>
                    <w:rPr>
                      <w:b/>
                      <w:bCs/>
                      <w:color w:val="auto"/>
                    </w:rPr>
                    <w:t>序号</w:t>
                  </w:r>
                </w:p>
              </w:tc>
              <w:tc>
                <w:tcPr>
                  <w:tcW w:w="1044" w:type="pct"/>
                  <w:noWrap w:val="0"/>
                  <w:vAlign w:val="center"/>
                </w:tcPr>
                <w:p w14:paraId="7C768AEE">
                  <w:pPr>
                    <w:pStyle w:val="22"/>
                    <w:bidi w:val="0"/>
                    <w:rPr>
                      <w:b/>
                      <w:bCs/>
                      <w:color w:val="auto"/>
                    </w:rPr>
                  </w:pPr>
                  <w:r>
                    <w:rPr>
                      <w:b/>
                      <w:bCs/>
                      <w:color w:val="auto"/>
                    </w:rPr>
                    <w:t>危险物质名称</w:t>
                  </w:r>
                </w:p>
              </w:tc>
              <w:tc>
                <w:tcPr>
                  <w:tcW w:w="1626" w:type="pct"/>
                  <w:noWrap w:val="0"/>
                  <w:vAlign w:val="center"/>
                </w:tcPr>
                <w:p w14:paraId="066C8B94">
                  <w:pPr>
                    <w:pStyle w:val="22"/>
                    <w:bidi w:val="0"/>
                    <w:rPr>
                      <w:rFonts w:hint="eastAsia"/>
                      <w:b/>
                      <w:bCs/>
                      <w:color w:val="auto"/>
                      <w:lang w:val="en-US" w:eastAsia="zh-CN"/>
                    </w:rPr>
                  </w:pPr>
                  <w:r>
                    <w:rPr>
                      <w:b/>
                      <w:bCs/>
                      <w:color w:val="auto"/>
                    </w:rPr>
                    <w:t>最大</w:t>
                  </w:r>
                  <w:r>
                    <w:rPr>
                      <w:rFonts w:hint="eastAsia"/>
                      <w:b/>
                      <w:bCs/>
                      <w:color w:val="auto"/>
                      <w:lang w:val="en-US" w:eastAsia="zh-CN"/>
                    </w:rPr>
                    <w:t>存在</w:t>
                  </w:r>
                  <w:r>
                    <w:rPr>
                      <w:b/>
                      <w:bCs/>
                      <w:color w:val="auto"/>
                    </w:rPr>
                    <w:t>量</w:t>
                  </w:r>
                  <w:r>
                    <w:rPr>
                      <w:rFonts w:hint="eastAsia"/>
                      <w:b/>
                      <w:bCs/>
                      <w:color w:val="auto"/>
                      <w:lang w:val="en-US" w:eastAsia="zh-CN"/>
                    </w:rPr>
                    <w:t>t</w:t>
                  </w:r>
                </w:p>
              </w:tc>
              <w:tc>
                <w:tcPr>
                  <w:tcW w:w="1810" w:type="pct"/>
                  <w:noWrap w:val="0"/>
                  <w:vAlign w:val="center"/>
                </w:tcPr>
                <w:p w14:paraId="1C87E110">
                  <w:pPr>
                    <w:pStyle w:val="22"/>
                    <w:bidi w:val="0"/>
                    <w:rPr>
                      <w:b/>
                      <w:bCs/>
                      <w:color w:val="auto"/>
                    </w:rPr>
                  </w:pPr>
                  <w:r>
                    <w:rPr>
                      <w:b/>
                      <w:bCs/>
                      <w:color w:val="auto"/>
                    </w:rPr>
                    <w:t>临界量Qn/t</w:t>
                  </w:r>
                </w:p>
              </w:tc>
            </w:tr>
            <w:tr w14:paraId="63EE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exact"/>
                <w:jc w:val="center"/>
              </w:trPr>
              <w:tc>
                <w:tcPr>
                  <w:tcW w:w="518" w:type="pct"/>
                  <w:noWrap w:val="0"/>
                  <w:vAlign w:val="center"/>
                </w:tcPr>
                <w:p w14:paraId="33C15E0F">
                  <w:pPr>
                    <w:pStyle w:val="22"/>
                    <w:bidi w:val="0"/>
                    <w:rPr>
                      <w:rFonts w:hint="eastAsia"/>
                      <w:color w:val="auto"/>
                      <w:lang w:eastAsia="zh-CN"/>
                    </w:rPr>
                  </w:pPr>
                  <w:r>
                    <w:rPr>
                      <w:rFonts w:hint="eastAsia"/>
                      <w:color w:val="auto"/>
                      <w:lang w:val="en-US" w:eastAsia="zh-CN"/>
                    </w:rPr>
                    <w:t>1</w:t>
                  </w:r>
                </w:p>
              </w:tc>
              <w:tc>
                <w:tcPr>
                  <w:tcW w:w="1044" w:type="pct"/>
                  <w:noWrap w:val="0"/>
                  <w:vAlign w:val="center"/>
                </w:tcPr>
                <w:p w14:paraId="16ABE11D">
                  <w:pPr>
                    <w:pStyle w:val="22"/>
                    <w:bidi w:val="0"/>
                    <w:rPr>
                      <w:rFonts w:hint="default"/>
                      <w:color w:val="auto"/>
                      <w:lang w:val="en-US" w:eastAsia="zh-CN"/>
                    </w:rPr>
                  </w:pPr>
                  <w:r>
                    <w:rPr>
                      <w:rFonts w:hint="eastAsia"/>
                      <w:color w:val="auto"/>
                      <w:lang w:val="en-US" w:eastAsia="zh-CN"/>
                    </w:rPr>
                    <w:t>废机油</w:t>
                  </w:r>
                </w:p>
              </w:tc>
              <w:tc>
                <w:tcPr>
                  <w:tcW w:w="1626" w:type="pct"/>
                  <w:noWrap w:val="0"/>
                  <w:vAlign w:val="center"/>
                </w:tcPr>
                <w:p w14:paraId="3D25FEA2">
                  <w:pPr>
                    <w:pStyle w:val="22"/>
                    <w:bidi w:val="0"/>
                    <w:rPr>
                      <w:rFonts w:hint="default"/>
                      <w:color w:val="auto"/>
                      <w:lang w:val="en-US" w:eastAsia="zh-CN"/>
                    </w:rPr>
                  </w:pPr>
                  <w:r>
                    <w:rPr>
                      <w:rFonts w:hint="eastAsia"/>
                      <w:color w:val="auto"/>
                      <w:lang w:val="en-US" w:eastAsia="zh-CN"/>
                    </w:rPr>
                    <w:t>0.05</w:t>
                  </w:r>
                </w:p>
              </w:tc>
              <w:tc>
                <w:tcPr>
                  <w:tcW w:w="1810" w:type="pct"/>
                  <w:noWrap w:val="0"/>
                  <w:vAlign w:val="center"/>
                </w:tcPr>
                <w:p w14:paraId="4FE3DE50">
                  <w:pPr>
                    <w:pStyle w:val="22"/>
                    <w:bidi w:val="0"/>
                    <w:rPr>
                      <w:rFonts w:hint="eastAsia"/>
                      <w:color w:val="auto"/>
                    </w:rPr>
                  </w:pPr>
                  <w:r>
                    <w:rPr>
                      <w:rFonts w:hint="eastAsia"/>
                      <w:color w:val="auto"/>
                      <w:lang w:val="en-US" w:eastAsia="zh-CN"/>
                    </w:rPr>
                    <w:t>250</w:t>
                  </w:r>
                  <w:r>
                    <w:rPr>
                      <w:rFonts w:hint="eastAsia"/>
                      <w:color w:val="auto"/>
                    </w:rPr>
                    <w:t>0</w:t>
                  </w:r>
                </w:p>
              </w:tc>
            </w:tr>
            <w:tr w14:paraId="3FF1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exact"/>
                <w:jc w:val="center"/>
              </w:trPr>
              <w:tc>
                <w:tcPr>
                  <w:tcW w:w="518" w:type="pct"/>
                  <w:noWrap w:val="0"/>
                  <w:vAlign w:val="center"/>
                </w:tcPr>
                <w:p w14:paraId="12036C5E">
                  <w:pPr>
                    <w:pStyle w:val="22"/>
                    <w:bidi w:val="0"/>
                    <w:rPr>
                      <w:rFonts w:hint="default"/>
                      <w:color w:val="auto"/>
                      <w:lang w:val="en-US" w:eastAsia="zh-CN"/>
                    </w:rPr>
                  </w:pPr>
                  <w:r>
                    <w:rPr>
                      <w:rFonts w:hint="eastAsia"/>
                      <w:color w:val="auto"/>
                      <w:lang w:val="en-US" w:eastAsia="zh-CN"/>
                    </w:rPr>
                    <w:t>2</w:t>
                  </w:r>
                </w:p>
              </w:tc>
              <w:tc>
                <w:tcPr>
                  <w:tcW w:w="1044" w:type="pct"/>
                  <w:noWrap w:val="0"/>
                  <w:vAlign w:val="center"/>
                </w:tcPr>
                <w:p w14:paraId="1E94EAB3">
                  <w:pPr>
                    <w:pStyle w:val="22"/>
                    <w:bidi w:val="0"/>
                    <w:rPr>
                      <w:rFonts w:hint="default"/>
                      <w:color w:val="auto"/>
                      <w:lang w:val="en-US" w:eastAsia="zh-CN"/>
                    </w:rPr>
                  </w:pPr>
                  <w:r>
                    <w:rPr>
                      <w:rFonts w:hint="eastAsia"/>
                      <w:color w:val="auto"/>
                      <w:lang w:val="en-US" w:eastAsia="zh-CN"/>
                    </w:rPr>
                    <w:t>废活性炭</w:t>
                  </w:r>
                </w:p>
              </w:tc>
              <w:tc>
                <w:tcPr>
                  <w:tcW w:w="1626" w:type="pct"/>
                  <w:noWrap w:val="0"/>
                  <w:vAlign w:val="center"/>
                </w:tcPr>
                <w:p w14:paraId="0B3D4399">
                  <w:pPr>
                    <w:pStyle w:val="22"/>
                    <w:bidi w:val="0"/>
                    <w:rPr>
                      <w:rFonts w:hint="default"/>
                      <w:color w:val="auto"/>
                      <w:lang w:val="en-US" w:eastAsia="zh-CN"/>
                    </w:rPr>
                  </w:pPr>
                  <w:r>
                    <w:rPr>
                      <w:rFonts w:hint="eastAsia"/>
                      <w:color w:val="auto"/>
                      <w:lang w:val="en-US" w:eastAsia="zh-CN"/>
                    </w:rPr>
                    <w:t>0.878</w:t>
                  </w:r>
                </w:p>
              </w:tc>
              <w:tc>
                <w:tcPr>
                  <w:tcW w:w="1810" w:type="pct"/>
                  <w:noWrap w:val="0"/>
                  <w:vAlign w:val="center"/>
                </w:tcPr>
                <w:p w14:paraId="0470B01A">
                  <w:pPr>
                    <w:pStyle w:val="22"/>
                    <w:bidi w:val="0"/>
                    <w:rPr>
                      <w:rFonts w:hint="default"/>
                      <w:color w:val="auto"/>
                      <w:lang w:val="en-US" w:eastAsia="zh-CN"/>
                    </w:rPr>
                  </w:pPr>
                  <w:r>
                    <w:rPr>
                      <w:rFonts w:hint="eastAsia"/>
                      <w:color w:val="auto"/>
                      <w:lang w:val="en-US" w:eastAsia="zh-CN"/>
                    </w:rPr>
                    <w:t>50</w:t>
                  </w:r>
                </w:p>
              </w:tc>
            </w:tr>
            <w:tr w14:paraId="4FEA9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exact"/>
                <w:jc w:val="center"/>
              </w:trPr>
              <w:tc>
                <w:tcPr>
                  <w:tcW w:w="3189" w:type="pct"/>
                  <w:gridSpan w:val="3"/>
                  <w:noWrap w:val="0"/>
                  <w:vAlign w:val="center"/>
                </w:tcPr>
                <w:p w14:paraId="7728BAE2">
                  <w:pPr>
                    <w:pStyle w:val="22"/>
                    <w:bidi w:val="0"/>
                    <w:rPr>
                      <w:color w:val="auto"/>
                    </w:rPr>
                  </w:pPr>
                  <w:r>
                    <w:rPr>
                      <w:color w:val="auto"/>
                    </w:rPr>
                    <w:t>项目Q值Σ</w:t>
                  </w:r>
                </w:p>
              </w:tc>
              <w:tc>
                <w:tcPr>
                  <w:tcW w:w="1810" w:type="pct"/>
                  <w:noWrap w:val="0"/>
                  <w:vAlign w:val="center"/>
                </w:tcPr>
                <w:p w14:paraId="7652BC9F">
                  <w:pPr>
                    <w:pStyle w:val="22"/>
                    <w:bidi w:val="0"/>
                    <w:rPr>
                      <w:rFonts w:hint="default"/>
                      <w:color w:val="auto"/>
                      <w:lang w:val="en-US" w:eastAsia="zh-CN"/>
                    </w:rPr>
                  </w:pPr>
                  <w:r>
                    <w:rPr>
                      <w:rFonts w:hint="eastAsia"/>
                      <w:color w:val="auto"/>
                      <w:lang w:val="en-US" w:eastAsia="zh-CN"/>
                    </w:rPr>
                    <w:t>0.01758</w:t>
                  </w:r>
                </w:p>
              </w:tc>
            </w:tr>
          </w:tbl>
          <w:p w14:paraId="0D3E3DDE">
            <w:pPr>
              <w:bidi w:val="0"/>
              <w:rPr>
                <w:rFonts w:hint="eastAsia"/>
                <w:color w:val="auto"/>
                <w:lang w:val="en-US" w:eastAsia="zh-CN"/>
              </w:rPr>
            </w:pPr>
            <w:r>
              <w:rPr>
                <w:rFonts w:hint="eastAsia"/>
                <w:color w:val="auto"/>
                <w:lang w:val="en-US" w:eastAsia="zh-CN"/>
              </w:rPr>
              <w:t>根据</w:t>
            </w:r>
            <w:r>
              <w:rPr>
                <w:color w:val="auto"/>
                <w:lang w:val="en-US" w:eastAsia="zh-CN"/>
              </w:rPr>
              <w:t>《建设项目环境风险评价技术导则》</w:t>
            </w:r>
            <w:r>
              <w:rPr>
                <w:rFonts w:hint="eastAsia"/>
                <w:color w:val="auto"/>
                <w:lang w:val="en-US" w:eastAsia="zh-CN"/>
              </w:rPr>
              <w:t>（</w:t>
            </w:r>
            <w:r>
              <w:rPr>
                <w:color w:val="auto"/>
                <w:lang w:val="en-US" w:eastAsia="zh-CN"/>
              </w:rPr>
              <w:t>HJ169-2018</w:t>
            </w:r>
            <w:r>
              <w:rPr>
                <w:rFonts w:hint="eastAsia"/>
                <w:color w:val="auto"/>
                <w:lang w:val="en-US" w:eastAsia="zh-CN"/>
              </w:rPr>
              <w:t>）油类物质临界量2500t，废活性炭因吸附各类有机废气，具有一定的毒性，其临界量参照</w:t>
            </w:r>
            <w:r>
              <w:rPr>
                <w:color w:val="auto"/>
                <w:lang w:val="en-US" w:eastAsia="zh-CN"/>
              </w:rPr>
              <w:t>《建设项目环境风险评价技术导则》</w:t>
            </w:r>
            <w:r>
              <w:rPr>
                <w:rFonts w:hint="eastAsia"/>
                <w:color w:val="auto"/>
                <w:lang w:val="en-US" w:eastAsia="zh-CN"/>
              </w:rPr>
              <w:t>（</w:t>
            </w:r>
            <w:r>
              <w:rPr>
                <w:color w:val="auto"/>
                <w:lang w:val="en-US" w:eastAsia="zh-CN"/>
              </w:rPr>
              <w:t>HJ169-2018</w:t>
            </w:r>
            <w:r>
              <w:rPr>
                <w:rFonts w:hint="eastAsia"/>
                <w:color w:val="auto"/>
                <w:lang w:val="en-US" w:eastAsia="zh-CN"/>
              </w:rPr>
              <w:t>）</w:t>
            </w:r>
            <w:r>
              <w:rPr>
                <w:color w:val="auto"/>
                <w:lang w:val="en-US" w:eastAsia="zh-CN"/>
              </w:rPr>
              <w:t>附录</w:t>
            </w:r>
            <w:r>
              <w:rPr>
                <w:rFonts w:hint="eastAsia"/>
                <w:color w:val="auto"/>
                <w:lang w:val="en-US" w:eastAsia="zh-CN"/>
              </w:rPr>
              <w:t>B中表B.2健康危险急性毒性物质（类别</w:t>
            </w:r>
            <w:r>
              <w:rPr>
                <w:color w:val="auto"/>
                <w:lang w:val="en-US" w:eastAsia="zh-CN"/>
              </w:rPr>
              <w:t>2</w:t>
            </w:r>
            <w:r>
              <w:rPr>
                <w:rFonts w:hint="eastAsia"/>
                <w:color w:val="auto"/>
                <w:lang w:val="en-US" w:eastAsia="zh-CN"/>
              </w:rPr>
              <w:t>，类别</w:t>
            </w:r>
            <w:r>
              <w:rPr>
                <w:color w:val="auto"/>
                <w:lang w:val="en-US" w:eastAsia="zh-CN"/>
              </w:rPr>
              <w:t>3</w:t>
            </w:r>
            <w:r>
              <w:rPr>
                <w:rFonts w:hint="eastAsia"/>
                <w:color w:val="auto"/>
                <w:lang w:val="en-US" w:eastAsia="zh-CN"/>
              </w:rPr>
              <w:t>）临界量50t计算。</w:t>
            </w:r>
          </w:p>
          <w:p w14:paraId="59780967">
            <w:pPr>
              <w:bidi w:val="0"/>
              <w:rPr>
                <w:color w:val="auto"/>
              </w:rPr>
            </w:pPr>
            <w:r>
              <w:rPr>
                <w:color w:val="auto"/>
                <w:lang w:val="en-US" w:eastAsia="zh-CN"/>
              </w:rPr>
              <w:t>根据《建设项目环境风险评价技术导则》(HJ169-2018)，当Q＜1时，项目环境风险潜势为I</w:t>
            </w:r>
            <w:r>
              <w:rPr>
                <w:color w:val="auto"/>
              </w:rPr>
              <w:t>，</w:t>
            </w:r>
            <w:r>
              <w:rPr>
                <w:rFonts w:hint="eastAsia"/>
                <w:color w:val="auto"/>
                <w:lang w:val="en-US" w:eastAsia="zh-CN"/>
              </w:rPr>
              <w:t>本次就风险物质的分布及可能的影响途径，提出相对应的风险防范措施</w:t>
            </w:r>
            <w:r>
              <w:rPr>
                <w:color w:val="auto"/>
              </w:rPr>
              <w:t>。</w:t>
            </w:r>
          </w:p>
          <w:p w14:paraId="1570A9DE">
            <w:pPr>
              <w:bidi w:val="0"/>
              <w:rPr>
                <w:rFonts w:hint="default"/>
                <w:b/>
                <w:bCs/>
                <w:color w:val="auto"/>
                <w:lang w:val="en-US"/>
              </w:rPr>
            </w:pPr>
            <w:r>
              <w:rPr>
                <w:rFonts w:hint="eastAsia"/>
                <w:b/>
                <w:bCs/>
                <w:color w:val="auto"/>
                <w:lang w:val="en-US" w:eastAsia="zh-CN"/>
              </w:rPr>
              <w:t>1</w:t>
            </w:r>
            <w:r>
              <w:rPr>
                <w:b/>
                <w:bCs/>
                <w:color w:val="auto"/>
              </w:rPr>
              <w:t>）</w:t>
            </w:r>
            <w:r>
              <w:rPr>
                <w:rFonts w:hint="eastAsia"/>
                <w:b/>
                <w:bCs/>
                <w:color w:val="auto"/>
                <w:lang w:val="en-US" w:eastAsia="zh-CN"/>
              </w:rPr>
              <w:t>风险物质的分布及可能的影响途径</w:t>
            </w:r>
          </w:p>
          <w:p w14:paraId="785994FF">
            <w:pPr>
              <w:bidi w:val="0"/>
              <w:rPr>
                <w:color w:val="auto"/>
              </w:rPr>
            </w:pPr>
            <w:r>
              <w:rPr>
                <w:color w:val="auto"/>
              </w:rPr>
              <w:t>根据调查，项目生产、使用、存储过程中涉及的有毒有害、易燃易爆物质为</w:t>
            </w:r>
            <w:r>
              <w:rPr>
                <w:rFonts w:hint="eastAsia"/>
                <w:color w:val="auto"/>
                <w:lang w:val="en-US" w:eastAsia="zh-CN"/>
              </w:rPr>
              <w:t>油类物质废机油、废活性炭</w:t>
            </w:r>
            <w:r>
              <w:rPr>
                <w:rFonts w:hint="eastAsia"/>
                <w:color w:val="auto"/>
              </w:rPr>
              <w:t>。本项目风险事故类型：</w:t>
            </w:r>
          </w:p>
          <w:p w14:paraId="085E6CFB">
            <w:pPr>
              <w:bidi w:val="0"/>
              <w:rPr>
                <w:color w:val="auto"/>
              </w:rPr>
            </w:pPr>
            <w:r>
              <w:rPr>
                <w:color w:val="auto"/>
              </w:rPr>
              <w:t>①</w:t>
            </w:r>
            <w:r>
              <w:rPr>
                <w:rFonts w:hint="eastAsia"/>
                <w:color w:val="auto"/>
                <w:lang w:val="en-US" w:eastAsia="zh-CN"/>
              </w:rPr>
              <w:t>废机油</w:t>
            </w:r>
            <w:r>
              <w:rPr>
                <w:color w:val="auto"/>
                <w:szCs w:val="21"/>
                <w:lang w:bidi="ar"/>
              </w:rPr>
              <w:t>发生</w:t>
            </w:r>
            <w:r>
              <w:rPr>
                <w:rFonts w:hint="eastAsia"/>
                <w:color w:val="auto"/>
                <w:szCs w:val="21"/>
                <w:lang w:val="en-US" w:eastAsia="zh-CN" w:bidi="ar"/>
              </w:rPr>
              <w:t>泄漏、火灾</w:t>
            </w:r>
            <w:r>
              <w:rPr>
                <w:color w:val="auto"/>
                <w:szCs w:val="21"/>
                <w:lang w:bidi="ar"/>
              </w:rPr>
              <w:t>伴生环境事件</w:t>
            </w:r>
            <w:r>
              <w:rPr>
                <w:color w:val="auto"/>
              </w:rPr>
              <w:t>；</w:t>
            </w:r>
          </w:p>
          <w:p w14:paraId="509EE756">
            <w:pPr>
              <w:bidi w:val="0"/>
              <w:rPr>
                <w:color w:val="auto"/>
              </w:rPr>
            </w:pPr>
            <w:r>
              <w:rPr>
                <w:color w:val="auto"/>
              </w:rPr>
              <w:t>②</w:t>
            </w:r>
            <w:r>
              <w:rPr>
                <w:rFonts w:hint="eastAsia"/>
                <w:color w:val="auto"/>
                <w:lang w:val="en-US" w:eastAsia="zh-CN"/>
              </w:rPr>
              <w:t>废气装置事故</w:t>
            </w:r>
            <w:r>
              <w:rPr>
                <w:color w:val="auto"/>
              </w:rPr>
              <w:t>；</w:t>
            </w:r>
          </w:p>
          <w:p w14:paraId="35DAD238">
            <w:pPr>
              <w:pStyle w:val="21"/>
              <w:bidi w:val="0"/>
              <w:rPr>
                <w:color w:val="auto"/>
              </w:rPr>
            </w:pPr>
            <w:r>
              <w:rPr>
                <w:color w:val="auto"/>
              </w:rPr>
              <w:t>表</w:t>
            </w:r>
            <w:r>
              <w:rPr>
                <w:rFonts w:hint="eastAsia"/>
                <w:color w:val="auto"/>
              </w:rPr>
              <w:t>4</w:t>
            </w:r>
            <w:r>
              <w:rPr>
                <w:color w:val="auto"/>
              </w:rPr>
              <w:t>-</w:t>
            </w:r>
            <w:r>
              <w:rPr>
                <w:rFonts w:hint="eastAsia"/>
                <w:color w:val="auto"/>
                <w:lang w:val="en-US" w:eastAsia="zh-CN"/>
              </w:rPr>
              <w:t xml:space="preserve">20 </w:t>
            </w:r>
            <w:r>
              <w:rPr>
                <w:color w:val="auto"/>
              </w:rPr>
              <w:t xml:space="preserve"> 项目危险单元</w:t>
            </w:r>
            <w:r>
              <w:rPr>
                <w:rFonts w:hint="eastAsia"/>
                <w:color w:val="auto"/>
              </w:rPr>
              <w:t>识别表</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602"/>
              <w:gridCol w:w="997"/>
              <w:gridCol w:w="898"/>
              <w:gridCol w:w="1538"/>
              <w:gridCol w:w="1415"/>
              <w:gridCol w:w="2881"/>
            </w:tblGrid>
            <w:tr w14:paraId="5E79B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61" w:type="pct"/>
                  <w:noWrap w:val="0"/>
                  <w:vAlign w:val="center"/>
                </w:tcPr>
                <w:p w14:paraId="175CEA5D">
                  <w:pPr>
                    <w:pStyle w:val="22"/>
                    <w:bidi w:val="0"/>
                    <w:rPr>
                      <w:b/>
                      <w:bCs/>
                      <w:color w:val="auto"/>
                    </w:rPr>
                  </w:pPr>
                  <w:r>
                    <w:rPr>
                      <w:rFonts w:hint="eastAsia"/>
                      <w:b/>
                      <w:bCs/>
                      <w:color w:val="auto"/>
                    </w:rPr>
                    <w:t>序号</w:t>
                  </w:r>
                </w:p>
              </w:tc>
              <w:tc>
                <w:tcPr>
                  <w:tcW w:w="598" w:type="pct"/>
                  <w:noWrap w:val="0"/>
                  <w:vAlign w:val="center"/>
                </w:tcPr>
                <w:p w14:paraId="22F53E3B">
                  <w:pPr>
                    <w:pStyle w:val="22"/>
                    <w:bidi w:val="0"/>
                    <w:rPr>
                      <w:b/>
                      <w:bCs/>
                      <w:color w:val="auto"/>
                    </w:rPr>
                  </w:pPr>
                  <w:r>
                    <w:rPr>
                      <w:rFonts w:hint="eastAsia"/>
                      <w:b/>
                      <w:bCs/>
                      <w:color w:val="auto"/>
                    </w:rPr>
                    <w:t>危险单元</w:t>
                  </w:r>
                </w:p>
              </w:tc>
              <w:tc>
                <w:tcPr>
                  <w:tcW w:w="538" w:type="pct"/>
                  <w:noWrap w:val="0"/>
                  <w:vAlign w:val="center"/>
                </w:tcPr>
                <w:p w14:paraId="3B0ED235">
                  <w:pPr>
                    <w:pStyle w:val="22"/>
                    <w:bidi w:val="0"/>
                    <w:rPr>
                      <w:b/>
                      <w:bCs/>
                      <w:color w:val="auto"/>
                    </w:rPr>
                  </w:pPr>
                  <w:r>
                    <w:rPr>
                      <w:rFonts w:hint="eastAsia"/>
                      <w:b/>
                      <w:bCs/>
                      <w:color w:val="auto"/>
                    </w:rPr>
                    <w:t>风险源</w:t>
                  </w:r>
                </w:p>
              </w:tc>
              <w:tc>
                <w:tcPr>
                  <w:tcW w:w="923" w:type="pct"/>
                  <w:noWrap w:val="0"/>
                  <w:vAlign w:val="center"/>
                </w:tcPr>
                <w:p w14:paraId="6C46D893">
                  <w:pPr>
                    <w:pStyle w:val="22"/>
                    <w:bidi w:val="0"/>
                    <w:rPr>
                      <w:b/>
                      <w:bCs/>
                      <w:color w:val="auto"/>
                    </w:rPr>
                  </w:pPr>
                  <w:r>
                    <w:rPr>
                      <w:rFonts w:hint="eastAsia"/>
                      <w:b/>
                      <w:bCs/>
                      <w:color w:val="auto"/>
                    </w:rPr>
                    <w:t>主要危险物质</w:t>
                  </w:r>
                </w:p>
              </w:tc>
              <w:tc>
                <w:tcPr>
                  <w:tcW w:w="849" w:type="pct"/>
                  <w:noWrap w:val="0"/>
                  <w:vAlign w:val="center"/>
                </w:tcPr>
                <w:p w14:paraId="458CD5B5">
                  <w:pPr>
                    <w:pStyle w:val="22"/>
                    <w:bidi w:val="0"/>
                    <w:rPr>
                      <w:b/>
                      <w:bCs/>
                      <w:color w:val="auto"/>
                    </w:rPr>
                  </w:pPr>
                  <w:r>
                    <w:rPr>
                      <w:rFonts w:hint="eastAsia"/>
                      <w:b/>
                      <w:bCs/>
                      <w:color w:val="auto"/>
                    </w:rPr>
                    <w:t>事故类型</w:t>
                  </w:r>
                </w:p>
              </w:tc>
              <w:tc>
                <w:tcPr>
                  <w:tcW w:w="1729" w:type="pct"/>
                  <w:noWrap w:val="0"/>
                  <w:vAlign w:val="center"/>
                </w:tcPr>
                <w:p w14:paraId="62381805">
                  <w:pPr>
                    <w:pStyle w:val="22"/>
                    <w:bidi w:val="0"/>
                    <w:rPr>
                      <w:rFonts w:hint="eastAsia"/>
                      <w:b/>
                      <w:bCs/>
                      <w:color w:val="auto"/>
                      <w:lang w:eastAsia="zh-CN"/>
                    </w:rPr>
                  </w:pPr>
                  <w:r>
                    <w:rPr>
                      <w:rFonts w:hint="eastAsia"/>
                      <w:b/>
                      <w:bCs/>
                      <w:color w:val="auto"/>
                      <w:lang w:val="en-US" w:eastAsia="zh-CN"/>
                    </w:rPr>
                    <w:t>转移途径</w:t>
                  </w:r>
                </w:p>
              </w:tc>
            </w:tr>
            <w:tr w14:paraId="1B15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61" w:type="pct"/>
                  <w:vMerge w:val="restart"/>
                  <w:noWrap w:val="0"/>
                  <w:vAlign w:val="center"/>
                </w:tcPr>
                <w:p w14:paraId="594A1E71">
                  <w:pPr>
                    <w:pStyle w:val="22"/>
                    <w:bidi w:val="0"/>
                    <w:rPr>
                      <w:rFonts w:hint="eastAsia"/>
                      <w:color w:val="auto"/>
                      <w:lang w:eastAsia="zh-CN"/>
                    </w:rPr>
                  </w:pPr>
                  <w:r>
                    <w:rPr>
                      <w:rFonts w:hint="eastAsia"/>
                      <w:color w:val="auto"/>
                      <w:lang w:val="en-US" w:eastAsia="zh-CN"/>
                    </w:rPr>
                    <w:t>1</w:t>
                  </w:r>
                </w:p>
              </w:tc>
              <w:tc>
                <w:tcPr>
                  <w:tcW w:w="598" w:type="pct"/>
                  <w:vMerge w:val="restart"/>
                  <w:noWrap w:val="0"/>
                  <w:vAlign w:val="center"/>
                </w:tcPr>
                <w:p w14:paraId="29F70534">
                  <w:pPr>
                    <w:pStyle w:val="22"/>
                    <w:bidi w:val="0"/>
                    <w:rPr>
                      <w:rFonts w:hint="eastAsia"/>
                      <w:color w:val="auto"/>
                    </w:rPr>
                  </w:pPr>
                  <w:r>
                    <w:rPr>
                      <w:rFonts w:hint="eastAsia"/>
                      <w:color w:val="auto"/>
                    </w:rPr>
                    <w:t>仓储</w:t>
                  </w:r>
                </w:p>
              </w:tc>
              <w:tc>
                <w:tcPr>
                  <w:tcW w:w="538" w:type="pct"/>
                  <w:vMerge w:val="restart"/>
                  <w:noWrap w:val="0"/>
                  <w:vAlign w:val="center"/>
                </w:tcPr>
                <w:p w14:paraId="2F105D91">
                  <w:pPr>
                    <w:pStyle w:val="22"/>
                    <w:bidi w:val="0"/>
                    <w:rPr>
                      <w:rFonts w:hint="eastAsia"/>
                      <w:color w:val="auto"/>
                    </w:rPr>
                  </w:pPr>
                  <w:r>
                    <w:rPr>
                      <w:rFonts w:hint="eastAsia"/>
                      <w:color w:val="auto"/>
                    </w:rPr>
                    <w:t>危废暂存间</w:t>
                  </w:r>
                </w:p>
              </w:tc>
              <w:tc>
                <w:tcPr>
                  <w:tcW w:w="923" w:type="pct"/>
                  <w:vMerge w:val="restart"/>
                  <w:noWrap w:val="0"/>
                  <w:vAlign w:val="center"/>
                </w:tcPr>
                <w:p w14:paraId="77EF92D1">
                  <w:pPr>
                    <w:pStyle w:val="22"/>
                    <w:bidi w:val="0"/>
                    <w:rPr>
                      <w:rFonts w:hint="default"/>
                      <w:color w:val="auto"/>
                      <w:lang w:val="en-US" w:eastAsia="zh-CN"/>
                    </w:rPr>
                  </w:pPr>
                  <w:r>
                    <w:rPr>
                      <w:color w:val="auto"/>
                    </w:rPr>
                    <w:t>废机油</w:t>
                  </w:r>
                </w:p>
              </w:tc>
              <w:tc>
                <w:tcPr>
                  <w:tcW w:w="849" w:type="pct"/>
                  <w:noWrap w:val="0"/>
                  <w:vAlign w:val="center"/>
                </w:tcPr>
                <w:p w14:paraId="74DD653D">
                  <w:pPr>
                    <w:pStyle w:val="22"/>
                    <w:bidi w:val="0"/>
                    <w:rPr>
                      <w:rFonts w:hint="eastAsia"/>
                      <w:color w:val="auto"/>
                    </w:rPr>
                  </w:pPr>
                  <w:r>
                    <w:rPr>
                      <w:rFonts w:hint="eastAsia"/>
                      <w:color w:val="auto"/>
                    </w:rPr>
                    <w:t>泄露</w:t>
                  </w:r>
                </w:p>
              </w:tc>
              <w:tc>
                <w:tcPr>
                  <w:tcW w:w="1729" w:type="pct"/>
                  <w:noWrap w:val="0"/>
                  <w:vAlign w:val="center"/>
                </w:tcPr>
                <w:p w14:paraId="0A66D984">
                  <w:pPr>
                    <w:pStyle w:val="22"/>
                    <w:bidi w:val="0"/>
                    <w:rPr>
                      <w:rFonts w:hint="eastAsia"/>
                      <w:color w:val="auto"/>
                      <w:lang w:eastAsia="zh-CN"/>
                    </w:rPr>
                  </w:pPr>
                  <w:r>
                    <w:rPr>
                      <w:rFonts w:hint="eastAsia"/>
                      <w:color w:val="auto"/>
                      <w:lang w:val="en-US" w:eastAsia="zh-CN"/>
                    </w:rPr>
                    <w:t>大气扩散</w:t>
                  </w:r>
                </w:p>
              </w:tc>
            </w:tr>
            <w:tr w14:paraId="2CF15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61" w:type="pct"/>
                  <w:vMerge w:val="continue"/>
                  <w:noWrap w:val="0"/>
                  <w:vAlign w:val="center"/>
                </w:tcPr>
                <w:p w14:paraId="0B20F67C">
                  <w:pPr>
                    <w:pStyle w:val="22"/>
                    <w:bidi w:val="0"/>
                    <w:rPr>
                      <w:rFonts w:hint="eastAsia"/>
                      <w:color w:val="auto"/>
                      <w:lang w:val="en-US" w:eastAsia="zh-CN"/>
                    </w:rPr>
                  </w:pPr>
                </w:p>
              </w:tc>
              <w:tc>
                <w:tcPr>
                  <w:tcW w:w="598" w:type="pct"/>
                  <w:vMerge w:val="continue"/>
                  <w:noWrap w:val="0"/>
                  <w:vAlign w:val="center"/>
                </w:tcPr>
                <w:p w14:paraId="6CD122FC">
                  <w:pPr>
                    <w:pStyle w:val="22"/>
                    <w:bidi w:val="0"/>
                    <w:rPr>
                      <w:rFonts w:hint="eastAsia"/>
                      <w:color w:val="auto"/>
                    </w:rPr>
                  </w:pPr>
                </w:p>
              </w:tc>
              <w:tc>
                <w:tcPr>
                  <w:tcW w:w="538" w:type="pct"/>
                  <w:vMerge w:val="continue"/>
                  <w:noWrap w:val="0"/>
                  <w:vAlign w:val="center"/>
                </w:tcPr>
                <w:p w14:paraId="6F038D11">
                  <w:pPr>
                    <w:pStyle w:val="22"/>
                    <w:bidi w:val="0"/>
                    <w:rPr>
                      <w:rFonts w:hint="eastAsia"/>
                      <w:color w:val="auto"/>
                    </w:rPr>
                  </w:pPr>
                </w:p>
              </w:tc>
              <w:tc>
                <w:tcPr>
                  <w:tcW w:w="923" w:type="pct"/>
                  <w:vMerge w:val="continue"/>
                  <w:noWrap w:val="0"/>
                  <w:vAlign w:val="center"/>
                </w:tcPr>
                <w:p w14:paraId="2B414AA2">
                  <w:pPr>
                    <w:pStyle w:val="22"/>
                    <w:bidi w:val="0"/>
                    <w:rPr>
                      <w:color w:val="auto"/>
                    </w:rPr>
                  </w:pPr>
                </w:p>
              </w:tc>
              <w:tc>
                <w:tcPr>
                  <w:tcW w:w="849" w:type="pct"/>
                  <w:noWrap w:val="0"/>
                  <w:vAlign w:val="center"/>
                </w:tcPr>
                <w:p w14:paraId="7FA6AE37">
                  <w:pPr>
                    <w:pStyle w:val="22"/>
                    <w:bidi w:val="0"/>
                    <w:rPr>
                      <w:rFonts w:hint="eastAsia"/>
                      <w:color w:val="auto"/>
                    </w:rPr>
                  </w:pPr>
                  <w:r>
                    <w:rPr>
                      <w:rFonts w:hint="eastAsia"/>
                      <w:color w:val="auto"/>
                    </w:rPr>
                    <w:t>火灾</w:t>
                  </w:r>
                </w:p>
              </w:tc>
              <w:tc>
                <w:tcPr>
                  <w:tcW w:w="1729" w:type="pct"/>
                  <w:noWrap w:val="0"/>
                  <w:vAlign w:val="center"/>
                </w:tcPr>
                <w:p w14:paraId="293E84B8">
                  <w:pPr>
                    <w:pStyle w:val="22"/>
                    <w:bidi w:val="0"/>
                    <w:rPr>
                      <w:rFonts w:hint="default"/>
                      <w:color w:val="auto"/>
                      <w:lang w:val="en-US" w:eastAsia="zh-CN"/>
                    </w:rPr>
                  </w:pPr>
                  <w:r>
                    <w:rPr>
                      <w:rFonts w:hint="eastAsia"/>
                      <w:color w:val="auto"/>
                      <w:lang w:val="en-US" w:eastAsia="zh-CN"/>
                    </w:rPr>
                    <w:t>废水、雨水、消防废水等</w:t>
                  </w:r>
                </w:p>
              </w:tc>
            </w:tr>
            <w:tr w14:paraId="2F17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61" w:type="pct"/>
                  <w:vMerge w:val="continue"/>
                  <w:noWrap w:val="0"/>
                  <w:vAlign w:val="center"/>
                </w:tcPr>
                <w:p w14:paraId="0F72228B">
                  <w:pPr>
                    <w:pStyle w:val="22"/>
                    <w:bidi w:val="0"/>
                    <w:rPr>
                      <w:rFonts w:hint="eastAsia"/>
                      <w:color w:val="auto"/>
                      <w:lang w:val="en-US" w:eastAsia="zh-CN"/>
                    </w:rPr>
                  </w:pPr>
                </w:p>
              </w:tc>
              <w:tc>
                <w:tcPr>
                  <w:tcW w:w="598" w:type="pct"/>
                  <w:vMerge w:val="continue"/>
                  <w:noWrap w:val="0"/>
                  <w:vAlign w:val="center"/>
                </w:tcPr>
                <w:p w14:paraId="44AFBEC4">
                  <w:pPr>
                    <w:pStyle w:val="22"/>
                    <w:bidi w:val="0"/>
                    <w:rPr>
                      <w:rFonts w:hint="eastAsia"/>
                      <w:color w:val="auto"/>
                    </w:rPr>
                  </w:pPr>
                </w:p>
              </w:tc>
              <w:tc>
                <w:tcPr>
                  <w:tcW w:w="538" w:type="pct"/>
                  <w:vMerge w:val="continue"/>
                  <w:noWrap w:val="0"/>
                  <w:vAlign w:val="center"/>
                </w:tcPr>
                <w:p w14:paraId="4437CA6C">
                  <w:pPr>
                    <w:pStyle w:val="22"/>
                    <w:bidi w:val="0"/>
                    <w:rPr>
                      <w:rFonts w:hint="eastAsia"/>
                      <w:color w:val="auto"/>
                    </w:rPr>
                  </w:pPr>
                </w:p>
              </w:tc>
              <w:tc>
                <w:tcPr>
                  <w:tcW w:w="923" w:type="pct"/>
                  <w:vMerge w:val="continue"/>
                  <w:noWrap w:val="0"/>
                  <w:vAlign w:val="center"/>
                </w:tcPr>
                <w:p w14:paraId="43696743">
                  <w:pPr>
                    <w:pStyle w:val="22"/>
                    <w:bidi w:val="0"/>
                    <w:rPr>
                      <w:color w:val="auto"/>
                    </w:rPr>
                  </w:pPr>
                </w:p>
              </w:tc>
              <w:tc>
                <w:tcPr>
                  <w:tcW w:w="849" w:type="pct"/>
                  <w:noWrap w:val="0"/>
                  <w:vAlign w:val="center"/>
                </w:tcPr>
                <w:p w14:paraId="568F16CC">
                  <w:pPr>
                    <w:pStyle w:val="22"/>
                    <w:bidi w:val="0"/>
                    <w:rPr>
                      <w:rFonts w:hint="eastAsia"/>
                      <w:color w:val="auto"/>
                    </w:rPr>
                  </w:pPr>
                  <w:r>
                    <w:rPr>
                      <w:rFonts w:hint="eastAsia"/>
                      <w:color w:val="auto"/>
                    </w:rPr>
                    <w:t>爆炸</w:t>
                  </w:r>
                </w:p>
              </w:tc>
              <w:tc>
                <w:tcPr>
                  <w:tcW w:w="1729" w:type="pct"/>
                  <w:noWrap w:val="0"/>
                  <w:vAlign w:val="center"/>
                </w:tcPr>
                <w:p w14:paraId="4601BC3A">
                  <w:pPr>
                    <w:pStyle w:val="22"/>
                    <w:bidi w:val="0"/>
                    <w:rPr>
                      <w:rFonts w:hint="default"/>
                      <w:color w:val="auto"/>
                      <w:lang w:val="en-US" w:eastAsia="zh-CN"/>
                    </w:rPr>
                  </w:pPr>
                  <w:r>
                    <w:rPr>
                      <w:rFonts w:hint="eastAsia"/>
                      <w:color w:val="auto"/>
                      <w:lang w:val="en-US" w:eastAsia="zh-CN"/>
                    </w:rPr>
                    <w:t>大气扩散</w:t>
                  </w:r>
                </w:p>
              </w:tc>
            </w:tr>
            <w:tr w14:paraId="46D68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61" w:type="pct"/>
                  <w:noWrap w:val="0"/>
                  <w:vAlign w:val="center"/>
                </w:tcPr>
                <w:p w14:paraId="11A3052D">
                  <w:pPr>
                    <w:pStyle w:val="22"/>
                    <w:bidi w:val="0"/>
                    <w:rPr>
                      <w:rFonts w:hint="default"/>
                      <w:color w:val="auto"/>
                      <w:lang w:val="en-US" w:eastAsia="zh-CN"/>
                    </w:rPr>
                  </w:pPr>
                  <w:r>
                    <w:rPr>
                      <w:rFonts w:hint="eastAsia"/>
                      <w:color w:val="auto"/>
                      <w:lang w:val="en-US" w:eastAsia="zh-CN"/>
                    </w:rPr>
                    <w:t>2</w:t>
                  </w:r>
                </w:p>
              </w:tc>
              <w:tc>
                <w:tcPr>
                  <w:tcW w:w="598" w:type="pct"/>
                  <w:noWrap w:val="0"/>
                  <w:vAlign w:val="center"/>
                </w:tcPr>
                <w:p w14:paraId="79B4405F">
                  <w:pPr>
                    <w:pStyle w:val="22"/>
                    <w:bidi w:val="0"/>
                    <w:rPr>
                      <w:rFonts w:hint="default" w:eastAsia="宋体"/>
                      <w:color w:val="auto"/>
                      <w:lang w:val="en-US" w:eastAsia="zh-CN"/>
                    </w:rPr>
                  </w:pPr>
                  <w:r>
                    <w:rPr>
                      <w:rFonts w:hint="eastAsia"/>
                      <w:color w:val="auto"/>
                      <w:lang w:val="en-US" w:eastAsia="zh-CN"/>
                    </w:rPr>
                    <w:t>环保工程</w:t>
                  </w:r>
                </w:p>
              </w:tc>
              <w:tc>
                <w:tcPr>
                  <w:tcW w:w="538" w:type="pct"/>
                  <w:noWrap w:val="0"/>
                  <w:vAlign w:val="center"/>
                </w:tcPr>
                <w:p w14:paraId="6A82FADA">
                  <w:pPr>
                    <w:pStyle w:val="22"/>
                    <w:bidi w:val="0"/>
                    <w:rPr>
                      <w:rFonts w:hint="default" w:eastAsia="宋体"/>
                      <w:color w:val="auto"/>
                      <w:lang w:val="en-US" w:eastAsia="zh-CN"/>
                    </w:rPr>
                  </w:pPr>
                  <w:r>
                    <w:rPr>
                      <w:rFonts w:hint="eastAsia"/>
                      <w:color w:val="auto"/>
                      <w:lang w:val="en-US" w:eastAsia="zh-CN"/>
                    </w:rPr>
                    <w:t>有机废气处理装置</w:t>
                  </w:r>
                </w:p>
              </w:tc>
              <w:tc>
                <w:tcPr>
                  <w:tcW w:w="923" w:type="pct"/>
                  <w:noWrap w:val="0"/>
                  <w:vAlign w:val="center"/>
                </w:tcPr>
                <w:p w14:paraId="2BE929DE">
                  <w:pPr>
                    <w:pStyle w:val="22"/>
                    <w:bidi w:val="0"/>
                    <w:rPr>
                      <w:rFonts w:hint="eastAsia" w:eastAsia="宋体"/>
                      <w:color w:val="auto"/>
                      <w:lang w:val="en-US" w:eastAsia="zh-CN"/>
                    </w:rPr>
                  </w:pPr>
                  <w:r>
                    <w:rPr>
                      <w:rFonts w:hint="eastAsia"/>
                      <w:color w:val="auto"/>
                      <w:lang w:val="en-US" w:eastAsia="zh-CN"/>
                    </w:rPr>
                    <w:t>有机废气</w:t>
                  </w:r>
                </w:p>
              </w:tc>
              <w:tc>
                <w:tcPr>
                  <w:tcW w:w="849" w:type="pct"/>
                  <w:noWrap w:val="0"/>
                  <w:vAlign w:val="center"/>
                </w:tcPr>
                <w:p w14:paraId="034073D3">
                  <w:pPr>
                    <w:pStyle w:val="22"/>
                    <w:bidi w:val="0"/>
                    <w:rPr>
                      <w:rFonts w:hint="default" w:eastAsia="宋体"/>
                      <w:color w:val="auto"/>
                      <w:lang w:val="en-US" w:eastAsia="zh-CN"/>
                    </w:rPr>
                  </w:pPr>
                  <w:r>
                    <w:rPr>
                      <w:rFonts w:hint="eastAsia"/>
                      <w:color w:val="auto"/>
                      <w:lang w:val="en-US" w:eastAsia="zh-CN"/>
                    </w:rPr>
                    <w:t>装置失效</w:t>
                  </w:r>
                </w:p>
              </w:tc>
              <w:tc>
                <w:tcPr>
                  <w:tcW w:w="1729" w:type="pct"/>
                  <w:noWrap w:val="0"/>
                  <w:vAlign w:val="center"/>
                </w:tcPr>
                <w:p w14:paraId="3A2838F8">
                  <w:pPr>
                    <w:pStyle w:val="22"/>
                    <w:bidi w:val="0"/>
                    <w:rPr>
                      <w:rFonts w:hint="eastAsia"/>
                      <w:color w:val="auto"/>
                      <w:lang w:val="en-US" w:eastAsia="zh-CN"/>
                    </w:rPr>
                  </w:pPr>
                  <w:r>
                    <w:rPr>
                      <w:rFonts w:hint="eastAsia"/>
                      <w:color w:val="auto"/>
                      <w:lang w:val="en-US" w:eastAsia="zh-CN"/>
                    </w:rPr>
                    <w:t>大气扩散</w:t>
                  </w:r>
                </w:p>
              </w:tc>
            </w:tr>
          </w:tbl>
          <w:p w14:paraId="0D44CAD6">
            <w:pPr>
              <w:numPr>
                <w:ilvl w:val="0"/>
                <w:numId w:val="0"/>
              </w:numPr>
              <w:bidi w:val="0"/>
              <w:ind w:firstLine="482" w:firstLineChars="200"/>
              <w:rPr>
                <w:b/>
                <w:bCs/>
                <w:color w:val="auto"/>
              </w:rPr>
            </w:pPr>
            <w:r>
              <w:rPr>
                <w:rFonts w:ascii="Times New Roman" w:hAnsi="Times New Roman" w:eastAsia="宋体" w:cs="Times New Roman"/>
                <w:b/>
                <w:bCs/>
                <w:color w:val="auto"/>
                <w:kern w:val="2"/>
                <w:sz w:val="24"/>
                <w:szCs w:val="24"/>
                <w:lang w:val="en-US" w:eastAsia="zh-CN" w:bidi="ar-SA"/>
              </w:rPr>
              <w:t>2）</w:t>
            </w:r>
            <w:r>
              <w:rPr>
                <w:b/>
                <w:bCs/>
                <w:color w:val="auto"/>
              </w:rPr>
              <w:t>环境风险防范措施</w:t>
            </w:r>
          </w:p>
          <w:p w14:paraId="77C1605C">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b/>
                <w:bCs/>
                <w:color w:val="auto"/>
                <w:lang w:val="en-US" w:eastAsia="zh-CN"/>
              </w:rPr>
            </w:pPr>
            <w:r>
              <w:rPr>
                <w:rFonts w:hint="eastAsia"/>
                <w:b/>
                <w:bCs/>
                <w:color w:val="auto"/>
                <w:lang w:eastAsia="zh-CN"/>
              </w:rPr>
              <w:t>①</w:t>
            </w:r>
            <w:r>
              <w:rPr>
                <w:rFonts w:hint="eastAsia"/>
                <w:b/>
                <w:bCs/>
                <w:color w:val="auto"/>
                <w:lang w:val="en-US" w:eastAsia="zh-CN"/>
              </w:rPr>
              <w:t>仓储泄漏风险防范措施</w:t>
            </w:r>
          </w:p>
          <w:p w14:paraId="2BFF2517">
            <w:pPr>
              <w:bidi w:val="0"/>
              <w:rPr>
                <w:rFonts w:hint="eastAsia"/>
                <w:color w:val="auto"/>
              </w:rPr>
            </w:pPr>
            <w:r>
              <w:rPr>
                <w:rFonts w:hint="eastAsia"/>
                <w:color w:val="auto"/>
                <w:lang w:val="en-US" w:eastAsia="zh-CN"/>
              </w:rPr>
              <w:t>1、</w:t>
            </w:r>
            <w:r>
              <w:rPr>
                <w:rFonts w:hint="eastAsia"/>
                <w:color w:val="auto"/>
              </w:rPr>
              <w:t>远离火种、热源。</w:t>
            </w:r>
          </w:p>
          <w:p w14:paraId="1FA10324">
            <w:pPr>
              <w:bidi w:val="0"/>
              <w:rPr>
                <w:rFonts w:hint="eastAsia"/>
                <w:color w:val="auto"/>
              </w:rPr>
            </w:pPr>
            <w:r>
              <w:rPr>
                <w:rFonts w:hint="eastAsia"/>
                <w:color w:val="auto"/>
                <w:lang w:val="en-US" w:eastAsia="zh-CN"/>
              </w:rPr>
              <w:t>2、</w:t>
            </w:r>
            <w:r>
              <w:rPr>
                <w:rFonts w:hint="eastAsia"/>
                <w:color w:val="auto"/>
              </w:rPr>
              <w:t>周围采用防爆型照明、通风设施。</w:t>
            </w:r>
          </w:p>
          <w:p w14:paraId="42A6C91D">
            <w:pPr>
              <w:bidi w:val="0"/>
              <w:rPr>
                <w:rFonts w:hint="eastAsia"/>
                <w:color w:val="auto"/>
              </w:rPr>
            </w:pPr>
            <w:r>
              <w:rPr>
                <w:rFonts w:hint="eastAsia"/>
                <w:color w:val="auto"/>
                <w:lang w:val="en-US" w:eastAsia="zh-CN"/>
              </w:rPr>
              <w:t>3、</w:t>
            </w:r>
            <w:r>
              <w:rPr>
                <w:rFonts w:hint="eastAsia"/>
                <w:color w:val="auto"/>
              </w:rPr>
              <w:t>禁止使用易产生火花的设备和工具。</w:t>
            </w:r>
          </w:p>
          <w:p w14:paraId="14F0544C">
            <w:pPr>
              <w:bidi w:val="0"/>
              <w:rPr>
                <w:rFonts w:hint="eastAsia"/>
                <w:color w:val="auto"/>
              </w:rPr>
            </w:pPr>
            <w:r>
              <w:rPr>
                <w:rFonts w:hint="eastAsia"/>
                <w:color w:val="auto"/>
                <w:lang w:val="en-US" w:eastAsia="zh-CN"/>
              </w:rPr>
              <w:t>4、</w:t>
            </w:r>
            <w:r>
              <w:rPr>
                <w:rFonts w:hint="eastAsia"/>
                <w:color w:val="auto"/>
              </w:rPr>
              <w:t>储存区应备有泄漏应急处理设备和合适的收容材料。</w:t>
            </w:r>
          </w:p>
          <w:p w14:paraId="08298B3D">
            <w:pPr>
              <w:bidi w:val="0"/>
              <w:rPr>
                <w:rFonts w:hint="eastAsia"/>
                <w:color w:val="auto"/>
              </w:rPr>
            </w:pPr>
            <w:r>
              <w:rPr>
                <w:rFonts w:hint="eastAsia"/>
                <w:color w:val="auto"/>
                <w:lang w:val="en-US" w:eastAsia="zh-CN"/>
              </w:rPr>
              <w:t>5、</w:t>
            </w:r>
            <w:r>
              <w:rPr>
                <w:rFonts w:hint="eastAsia"/>
                <w:color w:val="auto"/>
              </w:rPr>
              <w:t>贴有安全事故告知标识、区域安全提示牌、</w:t>
            </w:r>
            <w:r>
              <w:rPr>
                <w:rFonts w:hint="eastAsia"/>
                <w:color w:val="auto"/>
                <w:lang w:eastAsia="zh-CN"/>
              </w:rPr>
              <w:t>“</w:t>
            </w:r>
            <w:r>
              <w:rPr>
                <w:rFonts w:hint="eastAsia"/>
                <w:color w:val="auto"/>
              </w:rPr>
              <w:t>禁止烟火</w:t>
            </w:r>
            <w:r>
              <w:rPr>
                <w:rFonts w:hint="eastAsia"/>
                <w:color w:val="auto"/>
                <w:lang w:eastAsia="zh-CN"/>
              </w:rPr>
              <w:t>”“</w:t>
            </w:r>
            <w:r>
              <w:rPr>
                <w:rFonts w:hint="eastAsia"/>
                <w:color w:val="auto"/>
              </w:rPr>
              <w:t>职业病危害告知</w:t>
            </w:r>
            <w:r>
              <w:rPr>
                <w:rFonts w:hint="eastAsia"/>
                <w:color w:val="auto"/>
                <w:lang w:eastAsia="zh-CN"/>
              </w:rPr>
              <w:t>”</w:t>
            </w:r>
            <w:r>
              <w:rPr>
                <w:rFonts w:hint="eastAsia"/>
                <w:color w:val="auto"/>
              </w:rPr>
              <w:t>等制度及标识。</w:t>
            </w:r>
          </w:p>
          <w:p w14:paraId="4B4570D7">
            <w:pPr>
              <w:bidi w:val="0"/>
              <w:rPr>
                <w:color w:val="0000FF"/>
              </w:rPr>
            </w:pPr>
            <w:r>
              <w:rPr>
                <w:rFonts w:hint="eastAsia"/>
                <w:color w:val="auto"/>
                <w:lang w:val="en-US" w:eastAsia="zh-CN"/>
              </w:rPr>
              <w:t>6、</w:t>
            </w:r>
            <w:r>
              <w:rPr>
                <w:rFonts w:hint="eastAsia"/>
                <w:color w:val="auto"/>
              </w:rPr>
              <w:t>加强生产设备、环保设备运行管理，厂区各设施及生产、危废存储区均按照相关标准及规范设置。废气处理设备和生产设备同步投入运行，废气处理设备发生故障时，企业采取停止生产的措施。</w:t>
            </w:r>
          </w:p>
          <w:p w14:paraId="0EDF4862">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eastAsia="宋体"/>
                <w:b/>
                <w:bCs/>
                <w:color w:val="auto"/>
                <w:lang w:eastAsia="zh-CN"/>
              </w:rPr>
            </w:pPr>
            <w:r>
              <w:rPr>
                <w:rFonts w:hint="eastAsia"/>
                <w:b/>
                <w:bCs/>
                <w:color w:val="auto"/>
                <w:lang w:eastAsia="zh-CN"/>
              </w:rPr>
              <w:t>②</w:t>
            </w:r>
            <w:r>
              <w:rPr>
                <w:rFonts w:hint="eastAsia"/>
                <w:b/>
                <w:bCs/>
                <w:color w:val="auto"/>
                <w:lang w:val="en-US" w:eastAsia="zh-CN"/>
              </w:rPr>
              <w:t>火灾、爆炸风险防范措施</w:t>
            </w:r>
          </w:p>
          <w:p w14:paraId="32615C35">
            <w:pPr>
              <w:ind w:firstLine="480"/>
              <w:rPr>
                <w:rFonts w:hint="eastAsia"/>
                <w:color w:val="0000FF"/>
                <w:lang w:val="en-US" w:eastAsia="zh-CN"/>
              </w:rPr>
            </w:pPr>
            <w:r>
              <w:rPr>
                <w:rFonts w:hint="eastAsia"/>
                <w:color w:val="auto"/>
                <w:lang w:val="en-US" w:eastAsia="zh-CN"/>
              </w:rPr>
              <w:t>本项目选址位于安徽潘集经济开发区（北区），租赁园区现有闲置厂房，厂区已建设雨污分流系统。安徽潘集经济开发区（北区）</w:t>
            </w:r>
            <w:r>
              <w:rPr>
                <w:rFonts w:hint="eastAsia"/>
                <w:color w:val="auto"/>
                <w:lang w:eastAsia="zh-CN"/>
              </w:rPr>
              <w:t>已建设一座园区污水缓冲池，正常情况下，企业生产废水经“一企一管”进入缓冲池后，暂存于缓冲池后经管道输送至进入园区污水处理厂处理，事故状态下，园区污水缓冲池可临时作为事故水缓存装置，事故时，企业雨水管网关闭，企业内部事故水分批经污水管网进入缓冲池，污水缓冲池容积（</w:t>
            </w:r>
            <w:r>
              <w:rPr>
                <w:rFonts w:hint="eastAsia"/>
                <w:color w:val="auto"/>
                <w:lang w:val="en-US" w:eastAsia="zh-CN"/>
              </w:rPr>
              <w:t>1000</w:t>
            </w:r>
            <w:r>
              <w:rPr>
                <w:rFonts w:hint="eastAsia" w:ascii="Times New Roman"/>
                <w:color w:val="auto"/>
                <w:lang w:eastAsia="zh-CN"/>
              </w:rPr>
              <w:t>m</w:t>
            </w:r>
            <w:r>
              <w:rPr>
                <w:rFonts w:hint="eastAsia" w:ascii="Times New Roman"/>
                <w:color w:val="auto"/>
                <w:vertAlign w:val="superscript"/>
                <w:lang w:eastAsia="zh-CN"/>
              </w:rPr>
              <w:t>3</w:t>
            </w:r>
            <w:r>
              <w:rPr>
                <w:rFonts w:hint="eastAsia"/>
                <w:color w:val="auto"/>
                <w:vertAlign w:val="baseline"/>
                <w:lang w:eastAsia="zh-CN"/>
              </w:rPr>
              <w:t>，扣除日常暂存水量</w:t>
            </w:r>
            <w:r>
              <w:rPr>
                <w:rFonts w:hint="eastAsia"/>
                <w:color w:val="auto"/>
                <w:lang w:eastAsia="zh-CN"/>
              </w:rPr>
              <w:t>），事故结束后，缓冲池内污水经管道进入园区污水处理厂进行分批处理。</w:t>
            </w:r>
          </w:p>
          <w:p w14:paraId="7CAB9EDA">
            <w:pPr>
              <w:ind w:firstLine="4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综上，本项目风险潜势为I，环境风险影响较小。项目可能发生的风险事故为辅料库、危废间发生泄漏、火灾，通过采取风险防治措施，可有效降低事故发生概率，对外环境造成环境可接受。因此，本项目的环境风险可防控。</w:t>
            </w:r>
          </w:p>
          <w:p w14:paraId="78314255">
            <w:pPr>
              <w:rPr>
                <w:rFonts w:ascii="Times New Roman"/>
                <w:b w:val="0"/>
                <w:bCs w:val="0"/>
                <w:color w:val="0000FF"/>
                <w:sz w:val="21"/>
                <w:szCs w:val="21"/>
                <w:lang w:val="en-US" w:eastAsia="zh-CN"/>
              </w:rPr>
            </w:pPr>
          </w:p>
          <w:p w14:paraId="21B22209">
            <w:pPr>
              <w:rPr>
                <w:rFonts w:ascii="Times New Roman"/>
                <w:b w:val="0"/>
                <w:bCs w:val="0"/>
                <w:color w:val="0000FF"/>
                <w:sz w:val="21"/>
                <w:szCs w:val="21"/>
                <w:lang w:val="en-US" w:eastAsia="zh-CN"/>
              </w:rPr>
            </w:pPr>
          </w:p>
          <w:p w14:paraId="336F8076">
            <w:pPr>
              <w:rPr>
                <w:rFonts w:ascii="Times New Roman"/>
                <w:b w:val="0"/>
                <w:bCs w:val="0"/>
                <w:color w:val="0000FF"/>
                <w:sz w:val="21"/>
                <w:szCs w:val="21"/>
                <w:lang w:val="en-US" w:eastAsia="zh-CN"/>
              </w:rPr>
            </w:pPr>
          </w:p>
          <w:p w14:paraId="440B98F6">
            <w:pPr>
              <w:rPr>
                <w:rFonts w:ascii="Times New Roman"/>
                <w:b w:val="0"/>
                <w:bCs w:val="0"/>
                <w:color w:val="0000FF"/>
                <w:sz w:val="21"/>
                <w:szCs w:val="21"/>
                <w:lang w:val="en-US" w:eastAsia="zh-CN"/>
              </w:rPr>
            </w:pPr>
          </w:p>
          <w:p w14:paraId="4BE21B4D">
            <w:pPr>
              <w:rPr>
                <w:rFonts w:ascii="Times New Roman"/>
                <w:b w:val="0"/>
                <w:bCs w:val="0"/>
                <w:color w:val="0000FF"/>
                <w:sz w:val="21"/>
                <w:szCs w:val="21"/>
                <w:lang w:val="en-US" w:eastAsia="zh-CN"/>
              </w:rPr>
            </w:pPr>
          </w:p>
          <w:p w14:paraId="6A79861E">
            <w:pPr>
              <w:rPr>
                <w:rFonts w:ascii="Times New Roman"/>
                <w:b w:val="0"/>
                <w:bCs w:val="0"/>
                <w:color w:val="0000FF"/>
                <w:sz w:val="21"/>
                <w:szCs w:val="21"/>
                <w:lang w:val="en-US" w:eastAsia="zh-CN"/>
              </w:rPr>
            </w:pPr>
          </w:p>
          <w:p w14:paraId="2ED2AB5C">
            <w:pPr>
              <w:rPr>
                <w:rFonts w:ascii="Times New Roman"/>
                <w:b w:val="0"/>
                <w:bCs w:val="0"/>
                <w:color w:val="0000FF"/>
                <w:sz w:val="21"/>
                <w:szCs w:val="21"/>
                <w:lang w:val="en-US" w:eastAsia="zh-CN"/>
              </w:rPr>
            </w:pPr>
          </w:p>
          <w:p w14:paraId="04BB578D">
            <w:pPr>
              <w:rPr>
                <w:rFonts w:ascii="Times New Roman"/>
                <w:b w:val="0"/>
                <w:bCs w:val="0"/>
                <w:color w:val="0000FF"/>
                <w:sz w:val="21"/>
                <w:szCs w:val="21"/>
                <w:lang w:val="en-US" w:eastAsia="zh-CN"/>
              </w:rPr>
            </w:pPr>
          </w:p>
          <w:p w14:paraId="45E38A3D">
            <w:pPr>
              <w:rPr>
                <w:rFonts w:ascii="Times New Roman"/>
                <w:b w:val="0"/>
                <w:bCs w:val="0"/>
                <w:color w:val="0000FF"/>
                <w:sz w:val="21"/>
                <w:szCs w:val="21"/>
                <w:lang w:val="en-US" w:eastAsia="zh-CN"/>
              </w:rPr>
            </w:pPr>
          </w:p>
          <w:p w14:paraId="02BEB634">
            <w:pPr>
              <w:rPr>
                <w:rFonts w:ascii="Times New Roman"/>
                <w:b w:val="0"/>
                <w:bCs w:val="0"/>
                <w:color w:val="0000FF"/>
                <w:sz w:val="21"/>
                <w:szCs w:val="21"/>
                <w:lang w:val="en-US" w:eastAsia="zh-CN"/>
              </w:rPr>
            </w:pPr>
          </w:p>
          <w:p w14:paraId="6D97A599">
            <w:pPr>
              <w:rPr>
                <w:rFonts w:ascii="Times New Roman"/>
                <w:b w:val="0"/>
                <w:bCs w:val="0"/>
                <w:color w:val="0000FF"/>
                <w:sz w:val="21"/>
                <w:szCs w:val="21"/>
                <w:lang w:val="en-US" w:eastAsia="zh-CN"/>
              </w:rPr>
            </w:pPr>
          </w:p>
          <w:p w14:paraId="0D1841E7">
            <w:pPr>
              <w:rPr>
                <w:rFonts w:ascii="Times New Roman"/>
                <w:b w:val="0"/>
                <w:bCs w:val="0"/>
                <w:color w:val="0000FF"/>
                <w:sz w:val="21"/>
                <w:szCs w:val="21"/>
                <w:lang w:val="en-US" w:eastAsia="zh-CN"/>
              </w:rPr>
            </w:pPr>
          </w:p>
          <w:p w14:paraId="0A7C2856">
            <w:pPr>
              <w:rPr>
                <w:rFonts w:ascii="Times New Roman"/>
                <w:b w:val="0"/>
                <w:bCs w:val="0"/>
                <w:color w:val="0000FF"/>
                <w:sz w:val="21"/>
                <w:szCs w:val="21"/>
                <w:lang w:val="en-US" w:eastAsia="zh-CN"/>
              </w:rPr>
            </w:pPr>
          </w:p>
          <w:p w14:paraId="54080401">
            <w:pPr>
              <w:pStyle w:val="2"/>
              <w:rPr>
                <w:rFonts w:ascii="Times New Roman"/>
                <w:b w:val="0"/>
                <w:bCs w:val="0"/>
                <w:color w:val="0000FF"/>
                <w:sz w:val="21"/>
                <w:szCs w:val="21"/>
                <w:lang w:val="en-US" w:eastAsia="zh-CN"/>
              </w:rPr>
            </w:pPr>
          </w:p>
          <w:p w14:paraId="62FF3BDA">
            <w:pPr>
              <w:pStyle w:val="2"/>
              <w:rPr>
                <w:rFonts w:ascii="Times New Roman"/>
                <w:b w:val="0"/>
                <w:bCs w:val="0"/>
                <w:color w:val="0000FF"/>
                <w:sz w:val="21"/>
                <w:szCs w:val="21"/>
                <w:lang w:val="en-US" w:eastAsia="zh-CN"/>
              </w:rPr>
            </w:pPr>
          </w:p>
          <w:p w14:paraId="47045AD7">
            <w:pPr>
              <w:pStyle w:val="2"/>
              <w:rPr>
                <w:rFonts w:ascii="Times New Roman"/>
                <w:b w:val="0"/>
                <w:bCs w:val="0"/>
                <w:color w:val="0000FF"/>
                <w:sz w:val="21"/>
                <w:szCs w:val="21"/>
                <w:lang w:val="en-US" w:eastAsia="zh-CN"/>
              </w:rPr>
            </w:pPr>
          </w:p>
          <w:p w14:paraId="25881DEA">
            <w:pPr>
              <w:pStyle w:val="2"/>
              <w:rPr>
                <w:rFonts w:ascii="Times New Roman"/>
                <w:b w:val="0"/>
                <w:bCs w:val="0"/>
                <w:color w:val="0000FF"/>
                <w:sz w:val="21"/>
                <w:szCs w:val="21"/>
                <w:lang w:val="en-US" w:eastAsia="zh-CN"/>
              </w:rPr>
            </w:pPr>
          </w:p>
          <w:p w14:paraId="11AFBE00">
            <w:pPr>
              <w:rPr>
                <w:rFonts w:hint="eastAsia" w:ascii="Times New Roman"/>
                <w:b w:val="0"/>
                <w:bCs w:val="0"/>
                <w:color w:val="0000FF"/>
                <w:sz w:val="21"/>
                <w:szCs w:val="21"/>
                <w:lang w:val="en-US" w:eastAsia="zh-CN"/>
              </w:rPr>
            </w:pPr>
          </w:p>
        </w:tc>
      </w:tr>
    </w:tbl>
    <w:p w14:paraId="2C90987E">
      <w:pPr>
        <w:bidi w:val="0"/>
        <w:rPr>
          <w:color w:val="0000FF"/>
        </w:rPr>
        <w:sectPr>
          <w:pgSz w:w="11907" w:h="16840"/>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65DA2E21">
      <w:pPr>
        <w:pStyle w:val="3"/>
        <w:bidi w:val="0"/>
        <w:rPr>
          <w:color w:val="auto"/>
        </w:rPr>
      </w:pPr>
      <w:r>
        <w:rPr>
          <w:color w:val="auto"/>
        </w:rPr>
        <w:t>五、</w:t>
      </w:r>
      <w:bookmarkStart w:id="8" w:name="_Hlk54167917"/>
      <w:r>
        <w:rPr>
          <w:color w:val="auto"/>
        </w:rPr>
        <w:t>环境保护措施监督检查清单</w:t>
      </w:r>
      <w:bookmarkEnd w:id="8"/>
    </w:p>
    <w:tbl>
      <w:tblPr>
        <w:tblStyle w:val="12"/>
        <w:tblW w:w="543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3" w:type="dxa"/>
          <w:bottom w:w="0" w:type="dxa"/>
          <w:right w:w="23" w:type="dxa"/>
        </w:tblCellMar>
      </w:tblPr>
      <w:tblGrid>
        <w:gridCol w:w="1480"/>
        <w:gridCol w:w="1725"/>
        <w:gridCol w:w="1207"/>
        <w:gridCol w:w="2546"/>
        <w:gridCol w:w="2121"/>
      </w:tblGrid>
      <w:tr w14:paraId="648403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tcBorders>
              <w:tl2br w:val="single" w:color="auto" w:sz="4" w:space="0"/>
            </w:tcBorders>
            <w:noWrap w:val="0"/>
            <w:vAlign w:val="top"/>
          </w:tcPr>
          <w:p w14:paraId="13F0504D">
            <w:pPr>
              <w:pStyle w:val="22"/>
              <w:bidi w:val="0"/>
              <w:jc w:val="right"/>
              <w:rPr>
                <w:color w:val="auto"/>
              </w:rPr>
            </w:pPr>
            <w:r>
              <w:rPr>
                <w:color w:val="auto"/>
              </w:rPr>
              <w:t>内容</w:t>
            </w:r>
          </w:p>
          <w:p w14:paraId="251D392B">
            <w:pPr>
              <w:pStyle w:val="22"/>
              <w:bidi w:val="0"/>
              <w:jc w:val="left"/>
              <w:rPr>
                <w:color w:val="auto"/>
              </w:rPr>
            </w:pPr>
            <w:r>
              <w:rPr>
                <w:color w:val="auto"/>
              </w:rPr>
              <w:t>要素</w:t>
            </w:r>
          </w:p>
        </w:tc>
        <w:tc>
          <w:tcPr>
            <w:tcW w:w="1725" w:type="dxa"/>
            <w:noWrap w:val="0"/>
            <w:vAlign w:val="center"/>
          </w:tcPr>
          <w:p w14:paraId="050F84CF">
            <w:pPr>
              <w:pStyle w:val="22"/>
              <w:bidi w:val="0"/>
              <w:rPr>
                <w:color w:val="auto"/>
              </w:rPr>
            </w:pPr>
            <w:r>
              <w:rPr>
                <w:color w:val="auto"/>
              </w:rPr>
              <w:t>排放口</w:t>
            </w:r>
            <w:r>
              <w:rPr>
                <w:rFonts w:hint="eastAsia"/>
                <w:color w:val="auto"/>
                <w:lang w:eastAsia="zh-CN"/>
              </w:rPr>
              <w:t>（</w:t>
            </w:r>
            <w:r>
              <w:rPr>
                <w:color w:val="auto"/>
              </w:rPr>
              <w:t>编号、</w:t>
            </w:r>
          </w:p>
          <w:p w14:paraId="13559019">
            <w:pPr>
              <w:pStyle w:val="22"/>
              <w:bidi w:val="0"/>
              <w:rPr>
                <w:color w:val="auto"/>
              </w:rPr>
            </w:pPr>
            <w:r>
              <w:rPr>
                <w:color w:val="auto"/>
              </w:rPr>
              <w:t>名称</w:t>
            </w:r>
            <w:r>
              <w:rPr>
                <w:rFonts w:hint="eastAsia"/>
                <w:color w:val="auto"/>
                <w:lang w:eastAsia="zh-CN"/>
              </w:rPr>
              <w:t>）</w:t>
            </w:r>
            <w:r>
              <w:rPr>
                <w:color w:val="auto"/>
              </w:rPr>
              <w:t>/污染源</w:t>
            </w:r>
          </w:p>
        </w:tc>
        <w:tc>
          <w:tcPr>
            <w:tcW w:w="1207" w:type="dxa"/>
            <w:noWrap w:val="0"/>
            <w:vAlign w:val="center"/>
          </w:tcPr>
          <w:p w14:paraId="01118063">
            <w:pPr>
              <w:pStyle w:val="22"/>
              <w:bidi w:val="0"/>
              <w:rPr>
                <w:color w:val="auto"/>
              </w:rPr>
            </w:pPr>
            <w:r>
              <w:rPr>
                <w:color w:val="auto"/>
              </w:rPr>
              <w:t>污染物</w:t>
            </w:r>
          </w:p>
          <w:p w14:paraId="36189EAC">
            <w:pPr>
              <w:pStyle w:val="22"/>
              <w:bidi w:val="0"/>
              <w:rPr>
                <w:color w:val="auto"/>
              </w:rPr>
            </w:pPr>
            <w:r>
              <w:rPr>
                <w:color w:val="auto"/>
              </w:rPr>
              <w:t>项目</w:t>
            </w:r>
          </w:p>
        </w:tc>
        <w:tc>
          <w:tcPr>
            <w:tcW w:w="2546" w:type="dxa"/>
            <w:noWrap w:val="0"/>
            <w:vAlign w:val="center"/>
          </w:tcPr>
          <w:p w14:paraId="7DD2575C">
            <w:pPr>
              <w:pStyle w:val="22"/>
              <w:bidi w:val="0"/>
              <w:rPr>
                <w:color w:val="auto"/>
              </w:rPr>
            </w:pPr>
            <w:r>
              <w:rPr>
                <w:color w:val="auto"/>
              </w:rPr>
              <w:t>环境保护措施</w:t>
            </w:r>
          </w:p>
        </w:tc>
        <w:tc>
          <w:tcPr>
            <w:tcW w:w="2121" w:type="dxa"/>
            <w:noWrap w:val="0"/>
            <w:vAlign w:val="center"/>
          </w:tcPr>
          <w:p w14:paraId="2634DC5C">
            <w:pPr>
              <w:pStyle w:val="22"/>
              <w:bidi w:val="0"/>
              <w:rPr>
                <w:color w:val="auto"/>
              </w:rPr>
            </w:pPr>
            <w:r>
              <w:rPr>
                <w:color w:val="auto"/>
              </w:rPr>
              <w:t>执行标准</w:t>
            </w:r>
          </w:p>
        </w:tc>
      </w:tr>
      <w:tr w14:paraId="30EC6F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1034" w:hRule="atLeast"/>
          <w:jc w:val="center"/>
        </w:trPr>
        <w:tc>
          <w:tcPr>
            <w:tcW w:w="1480" w:type="dxa"/>
            <w:vMerge w:val="restart"/>
            <w:noWrap w:val="0"/>
            <w:vAlign w:val="center"/>
          </w:tcPr>
          <w:p w14:paraId="1DCB1EAD">
            <w:pPr>
              <w:pStyle w:val="22"/>
              <w:bidi w:val="0"/>
              <w:rPr>
                <w:color w:val="auto"/>
              </w:rPr>
            </w:pPr>
            <w:r>
              <w:rPr>
                <w:color w:val="auto"/>
              </w:rPr>
              <w:t>大气环境</w:t>
            </w:r>
          </w:p>
        </w:tc>
        <w:tc>
          <w:tcPr>
            <w:tcW w:w="1725" w:type="dxa"/>
            <w:vMerge w:val="restart"/>
            <w:noWrap w:val="0"/>
            <w:vAlign w:val="center"/>
          </w:tcPr>
          <w:p w14:paraId="03B47544">
            <w:pPr>
              <w:pStyle w:val="22"/>
              <w:bidi w:val="0"/>
              <w:rPr>
                <w:rFonts w:hint="eastAsia"/>
                <w:color w:val="auto"/>
                <w:lang w:val="en-US" w:eastAsia="zh-CN"/>
              </w:rPr>
            </w:pPr>
            <w:r>
              <w:rPr>
                <w:rFonts w:hint="eastAsia"/>
                <w:color w:val="auto"/>
                <w:lang w:val="en-US" w:eastAsia="zh-CN"/>
              </w:rPr>
              <w:t>厂界</w:t>
            </w:r>
          </w:p>
        </w:tc>
        <w:tc>
          <w:tcPr>
            <w:tcW w:w="1207" w:type="dxa"/>
            <w:noWrap w:val="0"/>
            <w:vAlign w:val="center"/>
          </w:tcPr>
          <w:p w14:paraId="21161AF9">
            <w:pPr>
              <w:pStyle w:val="22"/>
              <w:bidi w:val="0"/>
              <w:rPr>
                <w:color w:val="auto"/>
              </w:rPr>
            </w:pPr>
            <w:r>
              <w:rPr>
                <w:rFonts w:hint="eastAsia"/>
                <w:color w:val="auto"/>
              </w:rPr>
              <w:t>颗粒物</w:t>
            </w:r>
          </w:p>
        </w:tc>
        <w:tc>
          <w:tcPr>
            <w:tcW w:w="2546" w:type="dxa"/>
            <w:noWrap w:val="0"/>
            <w:vAlign w:val="center"/>
          </w:tcPr>
          <w:p w14:paraId="188F1C80">
            <w:pPr>
              <w:pStyle w:val="22"/>
              <w:bidi w:val="0"/>
              <w:rPr>
                <w:rFonts w:hint="default"/>
                <w:color w:val="auto"/>
                <w:lang w:val="en-US" w:eastAsia="zh-CN"/>
              </w:rPr>
            </w:pPr>
            <w:r>
              <w:rPr>
                <w:rFonts w:hint="eastAsia"/>
                <w:color w:val="auto"/>
                <w:lang w:val="en-US" w:eastAsia="zh-CN"/>
              </w:rPr>
              <w:t>加大废气收集效率，选用粒径较大清洁塑料粒子，配套收集处置措施</w:t>
            </w:r>
          </w:p>
        </w:tc>
        <w:tc>
          <w:tcPr>
            <w:tcW w:w="2121" w:type="dxa"/>
            <w:vMerge w:val="restart"/>
            <w:noWrap w:val="0"/>
            <w:vAlign w:val="center"/>
          </w:tcPr>
          <w:p w14:paraId="4474871C">
            <w:pPr>
              <w:pStyle w:val="22"/>
              <w:bidi w:val="0"/>
              <w:rPr>
                <w:color w:val="auto"/>
              </w:rPr>
            </w:pPr>
            <w:r>
              <w:rPr>
                <w:color w:val="auto"/>
              </w:rPr>
              <w:t>《</w:t>
            </w:r>
            <w:r>
              <w:rPr>
                <w:rFonts w:hint="eastAsia"/>
                <w:color w:val="auto"/>
                <w:lang w:val="en-US" w:eastAsia="zh-CN"/>
              </w:rPr>
              <w:t>合成树脂工业污染物排放标准</w:t>
            </w:r>
            <w:r>
              <w:rPr>
                <w:color w:val="auto"/>
              </w:rPr>
              <w:t>》（</w:t>
            </w:r>
            <w:r>
              <w:rPr>
                <w:rFonts w:hint="eastAsia"/>
                <w:color w:val="auto"/>
              </w:rPr>
              <w:t>GB31572-2015</w:t>
            </w:r>
            <w:r>
              <w:rPr>
                <w:rFonts w:hint="eastAsia"/>
                <w:color w:val="auto"/>
                <w:lang w:eastAsia="zh-CN"/>
              </w:rPr>
              <w:t>，</w:t>
            </w:r>
            <w:r>
              <w:rPr>
                <w:rFonts w:hint="eastAsia"/>
                <w:color w:val="auto"/>
                <w:lang w:val="en-US" w:eastAsia="zh-CN"/>
              </w:rPr>
              <w:t>含2024年修改单</w:t>
            </w:r>
            <w:r>
              <w:rPr>
                <w:color w:val="auto"/>
              </w:rPr>
              <w:t>）</w:t>
            </w:r>
            <w:r>
              <w:rPr>
                <w:rFonts w:hint="eastAsia"/>
                <w:color w:val="auto"/>
              </w:rPr>
              <w:t>表9企业边界大气污染物浓度限值要求</w:t>
            </w:r>
          </w:p>
        </w:tc>
      </w:tr>
      <w:tr w14:paraId="48591D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vMerge w:val="continue"/>
            <w:noWrap w:val="0"/>
            <w:vAlign w:val="center"/>
          </w:tcPr>
          <w:p w14:paraId="4EF2AD0E">
            <w:pPr>
              <w:pStyle w:val="22"/>
              <w:bidi w:val="0"/>
              <w:rPr>
                <w:color w:val="auto"/>
              </w:rPr>
            </w:pPr>
          </w:p>
        </w:tc>
        <w:tc>
          <w:tcPr>
            <w:tcW w:w="1725" w:type="dxa"/>
            <w:vMerge w:val="continue"/>
            <w:noWrap w:val="0"/>
            <w:vAlign w:val="center"/>
          </w:tcPr>
          <w:p w14:paraId="79155764">
            <w:pPr>
              <w:pStyle w:val="22"/>
              <w:bidi w:val="0"/>
              <w:rPr>
                <w:rFonts w:hint="eastAsia"/>
                <w:color w:val="auto"/>
              </w:rPr>
            </w:pPr>
          </w:p>
        </w:tc>
        <w:tc>
          <w:tcPr>
            <w:tcW w:w="1207" w:type="dxa"/>
            <w:noWrap w:val="0"/>
            <w:vAlign w:val="center"/>
          </w:tcPr>
          <w:p w14:paraId="322218CF">
            <w:pPr>
              <w:pStyle w:val="22"/>
              <w:bidi w:val="0"/>
              <w:rPr>
                <w:rFonts w:hint="eastAsia"/>
                <w:color w:val="auto"/>
              </w:rPr>
            </w:pPr>
            <w:r>
              <w:rPr>
                <w:rFonts w:hint="eastAsia"/>
                <w:color w:val="auto"/>
              </w:rPr>
              <w:t>非甲烷总烃</w:t>
            </w:r>
          </w:p>
        </w:tc>
        <w:tc>
          <w:tcPr>
            <w:tcW w:w="2546" w:type="dxa"/>
            <w:noWrap w:val="0"/>
            <w:vAlign w:val="center"/>
          </w:tcPr>
          <w:p w14:paraId="36ECC515">
            <w:pPr>
              <w:pStyle w:val="22"/>
              <w:bidi w:val="0"/>
              <w:rPr>
                <w:rFonts w:hint="eastAsia"/>
                <w:color w:val="auto"/>
                <w:lang w:val="en-US" w:eastAsia="zh-CN"/>
              </w:rPr>
            </w:pPr>
            <w:r>
              <w:rPr>
                <w:color w:val="auto"/>
              </w:rPr>
              <w:t>密闭车间，提高废气收集效率，减少无组织排放</w:t>
            </w:r>
          </w:p>
        </w:tc>
        <w:tc>
          <w:tcPr>
            <w:tcW w:w="2121" w:type="dxa"/>
            <w:vMerge w:val="continue"/>
            <w:noWrap w:val="0"/>
            <w:vAlign w:val="center"/>
          </w:tcPr>
          <w:p w14:paraId="6E31F608">
            <w:pPr>
              <w:pStyle w:val="22"/>
              <w:bidi w:val="0"/>
              <w:rPr>
                <w:color w:val="auto"/>
              </w:rPr>
            </w:pPr>
          </w:p>
        </w:tc>
      </w:tr>
      <w:tr w14:paraId="1DE0ED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1267" w:hRule="atLeast"/>
          <w:jc w:val="center"/>
        </w:trPr>
        <w:tc>
          <w:tcPr>
            <w:tcW w:w="1480" w:type="dxa"/>
            <w:vMerge w:val="continue"/>
            <w:noWrap w:val="0"/>
            <w:vAlign w:val="center"/>
          </w:tcPr>
          <w:p w14:paraId="07AE6435">
            <w:pPr>
              <w:pStyle w:val="22"/>
              <w:bidi w:val="0"/>
              <w:rPr>
                <w:color w:val="auto"/>
              </w:rPr>
            </w:pPr>
          </w:p>
        </w:tc>
        <w:tc>
          <w:tcPr>
            <w:tcW w:w="1725" w:type="dxa"/>
            <w:noWrap w:val="0"/>
            <w:vAlign w:val="center"/>
          </w:tcPr>
          <w:p w14:paraId="3243E839">
            <w:pPr>
              <w:pStyle w:val="22"/>
              <w:bidi w:val="0"/>
              <w:rPr>
                <w:rFonts w:hint="default"/>
                <w:color w:val="auto"/>
                <w:lang w:val="en-US" w:eastAsia="zh-CN"/>
              </w:rPr>
            </w:pPr>
            <w:r>
              <w:rPr>
                <w:rFonts w:hint="eastAsia"/>
                <w:color w:val="auto"/>
                <w:lang w:val="en-US" w:eastAsia="zh-CN"/>
              </w:rPr>
              <w:t>DA002</w:t>
            </w:r>
          </w:p>
        </w:tc>
        <w:tc>
          <w:tcPr>
            <w:tcW w:w="1207" w:type="dxa"/>
            <w:noWrap w:val="0"/>
            <w:vAlign w:val="center"/>
          </w:tcPr>
          <w:p w14:paraId="6DB3B000">
            <w:pPr>
              <w:pStyle w:val="22"/>
              <w:bidi w:val="0"/>
              <w:rPr>
                <w:rFonts w:hint="eastAsia" w:eastAsia="宋体"/>
                <w:color w:val="auto"/>
                <w:lang w:eastAsia="zh-CN"/>
              </w:rPr>
            </w:pPr>
            <w:r>
              <w:rPr>
                <w:rFonts w:hint="eastAsia"/>
                <w:color w:val="auto"/>
                <w:lang w:val="en-US" w:eastAsia="zh-CN"/>
              </w:rPr>
              <w:t>颗粒物</w:t>
            </w:r>
          </w:p>
        </w:tc>
        <w:tc>
          <w:tcPr>
            <w:tcW w:w="2546" w:type="dxa"/>
            <w:noWrap w:val="0"/>
            <w:vAlign w:val="center"/>
          </w:tcPr>
          <w:p w14:paraId="71BC12C0">
            <w:pPr>
              <w:pStyle w:val="22"/>
              <w:bidi w:val="0"/>
              <w:rPr>
                <w:rFonts w:hint="default"/>
                <w:color w:val="auto"/>
                <w:lang w:val="en-US" w:eastAsia="zh-CN"/>
              </w:rPr>
            </w:pPr>
            <w:r>
              <w:rPr>
                <w:rFonts w:hint="eastAsia"/>
                <w:color w:val="auto"/>
                <w:lang w:val="en-US" w:eastAsia="zh-CN"/>
              </w:rPr>
              <w:t>上料料斗上方安装集气罩收集粉尘经布袋除尘器处理后经15mDA002排放。破碎粉尘密闭收集并入废气处理装置处理经DA002排放。</w:t>
            </w:r>
          </w:p>
        </w:tc>
        <w:tc>
          <w:tcPr>
            <w:tcW w:w="2121" w:type="dxa"/>
            <w:noWrap w:val="0"/>
            <w:vAlign w:val="center"/>
          </w:tcPr>
          <w:p w14:paraId="6F7583F9">
            <w:pPr>
              <w:pStyle w:val="22"/>
              <w:bidi w:val="0"/>
              <w:rPr>
                <w:rFonts w:hint="default" w:eastAsia="宋体"/>
                <w:color w:val="auto"/>
                <w:lang w:val="en-US" w:eastAsia="zh-CN"/>
              </w:rPr>
            </w:pPr>
            <w:r>
              <w:rPr>
                <w:color w:val="auto"/>
              </w:rPr>
              <w:t>《</w:t>
            </w:r>
            <w:r>
              <w:rPr>
                <w:rFonts w:hint="eastAsia"/>
                <w:color w:val="auto"/>
                <w:lang w:val="en-US" w:eastAsia="zh-CN"/>
              </w:rPr>
              <w:t>合成树脂工业污染物排放标准</w:t>
            </w:r>
            <w:r>
              <w:rPr>
                <w:color w:val="auto"/>
              </w:rPr>
              <w:t>》（</w:t>
            </w:r>
            <w:r>
              <w:rPr>
                <w:rFonts w:hint="eastAsia"/>
                <w:color w:val="auto"/>
              </w:rPr>
              <w:t>GB31572-2015</w:t>
            </w:r>
            <w:r>
              <w:rPr>
                <w:rFonts w:hint="eastAsia"/>
                <w:color w:val="auto"/>
                <w:lang w:eastAsia="zh-CN"/>
              </w:rPr>
              <w:t>，</w:t>
            </w:r>
            <w:r>
              <w:rPr>
                <w:rFonts w:hint="eastAsia"/>
                <w:color w:val="auto"/>
                <w:lang w:val="en-US" w:eastAsia="zh-CN"/>
              </w:rPr>
              <w:t>含2024年修改单</w:t>
            </w:r>
            <w:r>
              <w:rPr>
                <w:color w:val="auto"/>
              </w:rPr>
              <w:t>）</w:t>
            </w:r>
            <w:r>
              <w:rPr>
                <w:rFonts w:hint="eastAsia"/>
                <w:color w:val="auto"/>
                <w:lang w:val="en-US" w:eastAsia="zh-CN"/>
              </w:rPr>
              <w:t>表5</w:t>
            </w:r>
          </w:p>
        </w:tc>
      </w:tr>
      <w:tr w14:paraId="4D7610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vMerge w:val="continue"/>
            <w:noWrap w:val="0"/>
            <w:vAlign w:val="center"/>
          </w:tcPr>
          <w:p w14:paraId="714D1032">
            <w:pPr>
              <w:pStyle w:val="22"/>
              <w:bidi w:val="0"/>
              <w:rPr>
                <w:color w:val="auto"/>
              </w:rPr>
            </w:pPr>
          </w:p>
        </w:tc>
        <w:tc>
          <w:tcPr>
            <w:tcW w:w="1725" w:type="dxa"/>
            <w:noWrap w:val="0"/>
            <w:vAlign w:val="center"/>
          </w:tcPr>
          <w:p w14:paraId="76ECAC54">
            <w:pPr>
              <w:pStyle w:val="22"/>
              <w:bidi w:val="0"/>
              <w:rPr>
                <w:rFonts w:hint="default"/>
                <w:color w:val="auto"/>
                <w:lang w:val="en-US" w:eastAsia="zh-CN"/>
              </w:rPr>
            </w:pPr>
            <w:r>
              <w:rPr>
                <w:rFonts w:hint="eastAsia"/>
                <w:color w:val="auto"/>
                <w:lang w:val="en-US" w:eastAsia="zh-CN"/>
              </w:rPr>
              <w:t>DA001</w:t>
            </w:r>
          </w:p>
        </w:tc>
        <w:tc>
          <w:tcPr>
            <w:tcW w:w="1207" w:type="dxa"/>
            <w:noWrap w:val="0"/>
            <w:vAlign w:val="center"/>
          </w:tcPr>
          <w:p w14:paraId="493DBC64">
            <w:pPr>
              <w:pStyle w:val="22"/>
              <w:bidi w:val="0"/>
              <w:rPr>
                <w:rFonts w:hint="eastAsia"/>
                <w:color w:val="auto"/>
              </w:rPr>
            </w:pPr>
            <w:r>
              <w:rPr>
                <w:rFonts w:hint="eastAsia"/>
                <w:color w:val="auto"/>
              </w:rPr>
              <w:t>非甲烷总烃</w:t>
            </w:r>
          </w:p>
        </w:tc>
        <w:tc>
          <w:tcPr>
            <w:tcW w:w="2546" w:type="dxa"/>
            <w:noWrap w:val="0"/>
            <w:vAlign w:val="center"/>
          </w:tcPr>
          <w:p w14:paraId="61A8D54D">
            <w:pPr>
              <w:pStyle w:val="22"/>
              <w:bidi w:val="0"/>
              <w:rPr>
                <w:rFonts w:hint="eastAsia"/>
                <w:color w:val="auto"/>
                <w:lang w:val="en-US" w:eastAsia="zh-CN"/>
              </w:rPr>
            </w:pPr>
            <w:r>
              <w:rPr>
                <w:rFonts w:hint="eastAsia"/>
                <w:color w:val="auto"/>
                <w:lang w:val="en-US" w:eastAsia="zh-CN"/>
              </w:rPr>
              <w:t>危废间内有机废气经密闭负压收集后并入废气处理装置，熔融挤出环节产生有机废气经集气罩收集采用二级活性炭装置处理后经15m排气筒DA001排放</w:t>
            </w:r>
          </w:p>
        </w:tc>
        <w:tc>
          <w:tcPr>
            <w:tcW w:w="2121" w:type="dxa"/>
            <w:noWrap w:val="0"/>
            <w:vAlign w:val="center"/>
          </w:tcPr>
          <w:p w14:paraId="05BEF0CA">
            <w:pPr>
              <w:pStyle w:val="22"/>
              <w:bidi w:val="0"/>
              <w:rPr>
                <w:color w:val="auto"/>
              </w:rPr>
            </w:pPr>
            <w:r>
              <w:rPr>
                <w:rFonts w:hint="eastAsia"/>
                <w:color w:val="auto"/>
              </w:rPr>
              <w:t>《固定源挥发性有机物综合排放标准第6部分</w:t>
            </w:r>
            <w:r>
              <w:rPr>
                <w:rFonts w:hint="eastAsia"/>
                <w:color w:val="auto"/>
                <w:lang w:eastAsia="zh-CN"/>
              </w:rPr>
              <w:t>：</w:t>
            </w:r>
            <w:r>
              <w:rPr>
                <w:rFonts w:hint="eastAsia"/>
                <w:color w:val="auto"/>
              </w:rPr>
              <w:t>其他行业》（DB34/4812.6-2024）</w:t>
            </w:r>
            <w:r>
              <w:rPr>
                <w:rFonts w:hint="eastAsia"/>
                <w:color w:val="auto"/>
                <w:lang w:val="en-US" w:eastAsia="zh-CN"/>
              </w:rPr>
              <w:t>表1</w:t>
            </w:r>
          </w:p>
        </w:tc>
      </w:tr>
      <w:tr w14:paraId="3D80E9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vMerge w:val="continue"/>
            <w:noWrap w:val="0"/>
            <w:vAlign w:val="center"/>
          </w:tcPr>
          <w:p w14:paraId="063C0977">
            <w:pPr>
              <w:pStyle w:val="22"/>
              <w:bidi w:val="0"/>
              <w:rPr>
                <w:rFonts w:hint="eastAsia"/>
                <w:color w:val="auto"/>
                <w:lang w:val="en-US" w:eastAsia="zh-CN"/>
              </w:rPr>
            </w:pPr>
            <w:r>
              <w:rPr>
                <w:rFonts w:hint="eastAsia"/>
                <w:color w:val="auto"/>
                <w:lang w:val="en-US" w:eastAsia="zh-CN"/>
              </w:rPr>
              <w:t>厂界</w:t>
            </w:r>
          </w:p>
        </w:tc>
        <w:tc>
          <w:tcPr>
            <w:tcW w:w="1725" w:type="dxa"/>
            <w:noWrap w:val="0"/>
            <w:vAlign w:val="center"/>
          </w:tcPr>
          <w:p w14:paraId="76F0A5F8">
            <w:pPr>
              <w:pStyle w:val="22"/>
              <w:bidi w:val="0"/>
              <w:rPr>
                <w:rFonts w:hint="eastAsia"/>
                <w:color w:val="auto"/>
              </w:rPr>
            </w:pPr>
            <w:r>
              <w:rPr>
                <w:rFonts w:hint="eastAsia"/>
                <w:color w:val="auto"/>
              </w:rPr>
              <w:t>厂区内</w:t>
            </w:r>
          </w:p>
        </w:tc>
        <w:tc>
          <w:tcPr>
            <w:tcW w:w="1207" w:type="dxa"/>
            <w:tcBorders>
              <w:top w:val="single" w:color="auto" w:sz="4" w:space="0"/>
            </w:tcBorders>
            <w:noWrap w:val="0"/>
            <w:vAlign w:val="center"/>
          </w:tcPr>
          <w:p w14:paraId="54F8DAB2">
            <w:pPr>
              <w:pStyle w:val="22"/>
              <w:bidi w:val="0"/>
              <w:rPr>
                <w:rFonts w:hint="eastAsia"/>
                <w:color w:val="auto"/>
              </w:rPr>
            </w:pPr>
            <w:r>
              <w:rPr>
                <w:rFonts w:hint="eastAsia"/>
                <w:color w:val="auto"/>
              </w:rPr>
              <w:t>非甲烷总烃</w:t>
            </w:r>
          </w:p>
        </w:tc>
        <w:tc>
          <w:tcPr>
            <w:tcW w:w="2546" w:type="dxa"/>
            <w:noWrap w:val="0"/>
            <w:vAlign w:val="center"/>
          </w:tcPr>
          <w:p w14:paraId="11C328C9">
            <w:pPr>
              <w:pStyle w:val="22"/>
              <w:bidi w:val="0"/>
              <w:rPr>
                <w:color w:val="auto"/>
              </w:rPr>
            </w:pPr>
            <w:r>
              <w:rPr>
                <w:color w:val="auto"/>
              </w:rPr>
              <w:t>密闭车间，提高废气收集效率，减少无组织排放</w:t>
            </w:r>
            <w:r>
              <w:rPr>
                <w:rFonts w:hint="eastAsia"/>
                <w:color w:val="auto"/>
              </w:rPr>
              <w:t>，</w:t>
            </w:r>
          </w:p>
        </w:tc>
        <w:tc>
          <w:tcPr>
            <w:tcW w:w="2121" w:type="dxa"/>
            <w:noWrap w:val="0"/>
            <w:vAlign w:val="center"/>
          </w:tcPr>
          <w:p w14:paraId="2243E80C">
            <w:pPr>
              <w:pStyle w:val="22"/>
              <w:bidi w:val="0"/>
              <w:rPr>
                <w:rFonts w:hint="default"/>
                <w:color w:val="auto"/>
                <w:lang w:val="en-US" w:eastAsia="zh-CN"/>
              </w:rPr>
            </w:pPr>
            <w:r>
              <w:rPr>
                <w:rFonts w:hint="eastAsia"/>
                <w:color w:val="auto"/>
              </w:rPr>
              <w:t>《固定源挥发性有机物综合排放标准第6部分</w:t>
            </w:r>
            <w:r>
              <w:rPr>
                <w:rFonts w:hint="eastAsia"/>
                <w:color w:val="auto"/>
                <w:lang w:eastAsia="zh-CN"/>
              </w:rPr>
              <w:t>：</w:t>
            </w:r>
            <w:r>
              <w:rPr>
                <w:rFonts w:hint="eastAsia"/>
                <w:color w:val="auto"/>
              </w:rPr>
              <w:t>其他行业》（DB34/4812.6-2024）</w:t>
            </w:r>
            <w:r>
              <w:rPr>
                <w:rFonts w:hint="eastAsia"/>
                <w:color w:val="auto"/>
                <w:lang w:val="en-US" w:eastAsia="zh-CN"/>
              </w:rPr>
              <w:t>表4</w:t>
            </w:r>
          </w:p>
        </w:tc>
      </w:tr>
      <w:tr w14:paraId="723EEF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noWrap w:val="0"/>
            <w:vAlign w:val="center"/>
          </w:tcPr>
          <w:p w14:paraId="0F27E894">
            <w:pPr>
              <w:pStyle w:val="22"/>
              <w:bidi w:val="0"/>
              <w:rPr>
                <w:color w:val="auto"/>
              </w:rPr>
            </w:pPr>
            <w:r>
              <w:rPr>
                <w:color w:val="auto"/>
              </w:rPr>
              <w:t>地表水环境</w:t>
            </w:r>
          </w:p>
        </w:tc>
        <w:tc>
          <w:tcPr>
            <w:tcW w:w="1725" w:type="dxa"/>
            <w:noWrap w:val="0"/>
            <w:vAlign w:val="center"/>
          </w:tcPr>
          <w:p w14:paraId="64F0E7B3">
            <w:pPr>
              <w:pStyle w:val="22"/>
              <w:bidi w:val="0"/>
              <w:rPr>
                <w:color w:val="auto"/>
              </w:rPr>
            </w:pPr>
            <w:r>
              <w:rPr>
                <w:rFonts w:hint="eastAsia"/>
                <w:color w:val="auto"/>
              </w:rPr>
              <w:t>/</w:t>
            </w:r>
          </w:p>
        </w:tc>
        <w:tc>
          <w:tcPr>
            <w:tcW w:w="1207" w:type="dxa"/>
            <w:noWrap w:val="0"/>
            <w:vAlign w:val="center"/>
          </w:tcPr>
          <w:p w14:paraId="133A6C0F">
            <w:pPr>
              <w:pStyle w:val="22"/>
              <w:bidi w:val="0"/>
              <w:rPr>
                <w:color w:val="auto"/>
              </w:rPr>
            </w:pPr>
            <w:r>
              <w:rPr>
                <w:rFonts w:hint="eastAsia"/>
                <w:color w:val="auto"/>
              </w:rPr>
              <w:t>/</w:t>
            </w:r>
          </w:p>
        </w:tc>
        <w:tc>
          <w:tcPr>
            <w:tcW w:w="2546" w:type="dxa"/>
            <w:noWrap w:val="0"/>
            <w:vAlign w:val="center"/>
          </w:tcPr>
          <w:p w14:paraId="27CFF8EF">
            <w:pPr>
              <w:pStyle w:val="22"/>
              <w:bidi w:val="0"/>
              <w:rPr>
                <w:color w:val="auto"/>
              </w:rPr>
            </w:pPr>
            <w:r>
              <w:rPr>
                <w:rFonts w:hint="eastAsia"/>
                <w:color w:val="auto"/>
              </w:rPr>
              <w:t>/</w:t>
            </w:r>
          </w:p>
        </w:tc>
        <w:tc>
          <w:tcPr>
            <w:tcW w:w="2121" w:type="dxa"/>
            <w:noWrap w:val="0"/>
            <w:vAlign w:val="center"/>
          </w:tcPr>
          <w:p w14:paraId="3493284F">
            <w:pPr>
              <w:pStyle w:val="22"/>
              <w:bidi w:val="0"/>
              <w:rPr>
                <w:color w:val="auto"/>
              </w:rPr>
            </w:pPr>
            <w:r>
              <w:rPr>
                <w:rFonts w:hint="eastAsia"/>
                <w:color w:val="auto"/>
              </w:rPr>
              <w:t>/</w:t>
            </w:r>
          </w:p>
        </w:tc>
      </w:tr>
      <w:tr w14:paraId="078FF2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noWrap w:val="0"/>
            <w:vAlign w:val="center"/>
          </w:tcPr>
          <w:p w14:paraId="3ECAD391">
            <w:pPr>
              <w:pStyle w:val="22"/>
              <w:bidi w:val="0"/>
              <w:rPr>
                <w:color w:val="auto"/>
              </w:rPr>
            </w:pPr>
            <w:r>
              <w:rPr>
                <w:color w:val="auto"/>
              </w:rPr>
              <w:t>声环境</w:t>
            </w:r>
          </w:p>
        </w:tc>
        <w:tc>
          <w:tcPr>
            <w:tcW w:w="1725" w:type="dxa"/>
            <w:noWrap w:val="0"/>
            <w:vAlign w:val="center"/>
          </w:tcPr>
          <w:p w14:paraId="06BE172C">
            <w:pPr>
              <w:pStyle w:val="22"/>
              <w:bidi w:val="0"/>
              <w:rPr>
                <w:color w:val="auto"/>
              </w:rPr>
            </w:pPr>
            <w:r>
              <w:rPr>
                <w:color w:val="auto"/>
              </w:rPr>
              <w:t>厂界</w:t>
            </w:r>
            <w:r>
              <w:rPr>
                <w:rFonts w:hint="eastAsia"/>
                <w:color w:val="auto"/>
              </w:rPr>
              <w:t>1m</w:t>
            </w:r>
          </w:p>
        </w:tc>
        <w:tc>
          <w:tcPr>
            <w:tcW w:w="1207" w:type="dxa"/>
            <w:noWrap w:val="0"/>
            <w:vAlign w:val="center"/>
          </w:tcPr>
          <w:p w14:paraId="71A901D6">
            <w:pPr>
              <w:pStyle w:val="22"/>
              <w:bidi w:val="0"/>
              <w:rPr>
                <w:color w:val="auto"/>
              </w:rPr>
            </w:pPr>
            <w:r>
              <w:rPr>
                <w:color w:val="auto"/>
              </w:rPr>
              <w:t>设备噪声</w:t>
            </w:r>
          </w:p>
        </w:tc>
        <w:tc>
          <w:tcPr>
            <w:tcW w:w="2546" w:type="dxa"/>
            <w:noWrap w:val="0"/>
            <w:vAlign w:val="center"/>
          </w:tcPr>
          <w:p w14:paraId="1BBD1DDB">
            <w:pPr>
              <w:pStyle w:val="22"/>
              <w:bidi w:val="0"/>
              <w:rPr>
                <w:rFonts w:hint="eastAsia"/>
                <w:color w:val="auto"/>
                <w:lang w:eastAsia="zh-CN"/>
              </w:rPr>
            </w:pPr>
            <w:r>
              <w:rPr>
                <w:color w:val="auto"/>
              </w:rPr>
              <w:t>优先选用低噪声设备，</w:t>
            </w:r>
            <w:r>
              <w:rPr>
                <w:rFonts w:hint="eastAsia"/>
                <w:color w:val="auto"/>
              </w:rPr>
              <w:t>安装隔声罩，厂界墙体隔声</w:t>
            </w:r>
          </w:p>
        </w:tc>
        <w:tc>
          <w:tcPr>
            <w:tcW w:w="2121" w:type="dxa"/>
            <w:noWrap w:val="0"/>
            <w:vAlign w:val="center"/>
          </w:tcPr>
          <w:p w14:paraId="735D324B">
            <w:pPr>
              <w:pStyle w:val="22"/>
              <w:bidi w:val="0"/>
              <w:rPr>
                <w:color w:val="auto"/>
              </w:rPr>
            </w:pPr>
            <w:r>
              <w:rPr>
                <w:color w:val="auto"/>
              </w:rPr>
              <w:t>GB12348-2008《工业企业厂界环境噪声排放标准》中</w:t>
            </w:r>
            <w:r>
              <w:rPr>
                <w:rFonts w:hint="eastAsia"/>
                <w:color w:val="auto"/>
              </w:rPr>
              <w:t>3</w:t>
            </w:r>
            <w:r>
              <w:rPr>
                <w:color w:val="auto"/>
              </w:rPr>
              <w:t>类标准</w:t>
            </w:r>
          </w:p>
        </w:tc>
      </w:tr>
      <w:tr w14:paraId="4C193B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noWrap w:val="0"/>
            <w:vAlign w:val="center"/>
          </w:tcPr>
          <w:p w14:paraId="60E2AF49">
            <w:pPr>
              <w:pStyle w:val="22"/>
              <w:bidi w:val="0"/>
              <w:rPr>
                <w:color w:val="auto"/>
              </w:rPr>
            </w:pPr>
            <w:r>
              <w:rPr>
                <w:color w:val="auto"/>
              </w:rPr>
              <w:t>电磁辐射</w:t>
            </w:r>
          </w:p>
        </w:tc>
        <w:tc>
          <w:tcPr>
            <w:tcW w:w="1725" w:type="dxa"/>
            <w:noWrap w:val="0"/>
            <w:vAlign w:val="center"/>
          </w:tcPr>
          <w:p w14:paraId="1301250E">
            <w:pPr>
              <w:pStyle w:val="22"/>
              <w:bidi w:val="0"/>
              <w:rPr>
                <w:color w:val="auto"/>
              </w:rPr>
            </w:pPr>
            <w:r>
              <w:rPr>
                <w:color w:val="auto"/>
              </w:rPr>
              <w:t>/</w:t>
            </w:r>
          </w:p>
        </w:tc>
        <w:tc>
          <w:tcPr>
            <w:tcW w:w="1207" w:type="dxa"/>
            <w:noWrap w:val="0"/>
            <w:vAlign w:val="center"/>
          </w:tcPr>
          <w:p w14:paraId="6174F09C">
            <w:pPr>
              <w:pStyle w:val="22"/>
              <w:bidi w:val="0"/>
              <w:rPr>
                <w:color w:val="auto"/>
              </w:rPr>
            </w:pPr>
            <w:r>
              <w:rPr>
                <w:color w:val="auto"/>
              </w:rPr>
              <w:t>/</w:t>
            </w:r>
          </w:p>
        </w:tc>
        <w:tc>
          <w:tcPr>
            <w:tcW w:w="2546" w:type="dxa"/>
            <w:noWrap w:val="0"/>
            <w:vAlign w:val="center"/>
          </w:tcPr>
          <w:p w14:paraId="45B76EA8">
            <w:pPr>
              <w:pStyle w:val="22"/>
              <w:bidi w:val="0"/>
              <w:rPr>
                <w:color w:val="auto"/>
              </w:rPr>
            </w:pPr>
            <w:r>
              <w:rPr>
                <w:color w:val="auto"/>
              </w:rPr>
              <w:t>/</w:t>
            </w:r>
          </w:p>
        </w:tc>
        <w:tc>
          <w:tcPr>
            <w:tcW w:w="2121" w:type="dxa"/>
            <w:noWrap w:val="0"/>
            <w:vAlign w:val="center"/>
          </w:tcPr>
          <w:p w14:paraId="7FFF7D63">
            <w:pPr>
              <w:pStyle w:val="22"/>
              <w:bidi w:val="0"/>
              <w:rPr>
                <w:color w:val="auto"/>
              </w:rPr>
            </w:pPr>
            <w:r>
              <w:rPr>
                <w:color w:val="auto"/>
              </w:rPr>
              <w:t>/</w:t>
            </w:r>
          </w:p>
        </w:tc>
      </w:tr>
      <w:tr w14:paraId="34A59A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noWrap w:val="0"/>
            <w:vAlign w:val="center"/>
          </w:tcPr>
          <w:p w14:paraId="18E8B4C0">
            <w:pPr>
              <w:pStyle w:val="22"/>
              <w:bidi w:val="0"/>
              <w:rPr>
                <w:color w:val="auto"/>
              </w:rPr>
            </w:pPr>
            <w:r>
              <w:rPr>
                <w:color w:val="auto"/>
              </w:rPr>
              <w:t>固体废物</w:t>
            </w:r>
          </w:p>
        </w:tc>
        <w:tc>
          <w:tcPr>
            <w:tcW w:w="7599" w:type="dxa"/>
            <w:gridSpan w:val="4"/>
            <w:noWrap w:val="0"/>
            <w:vAlign w:val="center"/>
          </w:tcPr>
          <w:p w14:paraId="775DCFE4">
            <w:pPr>
              <w:bidi w:val="0"/>
              <w:rPr>
                <w:rFonts w:hint="default"/>
                <w:color w:val="auto"/>
                <w:sz w:val="21"/>
                <w:szCs w:val="21"/>
                <w:lang w:val="en-US" w:eastAsia="zh-CN"/>
              </w:rPr>
            </w:pPr>
            <w:r>
              <w:rPr>
                <w:rFonts w:hint="eastAsia"/>
                <w:color w:val="auto"/>
                <w:sz w:val="21"/>
                <w:szCs w:val="21"/>
              </w:rPr>
              <w:t>本项目</w:t>
            </w:r>
            <w:r>
              <w:rPr>
                <w:color w:val="auto"/>
                <w:sz w:val="21"/>
                <w:szCs w:val="21"/>
              </w:rPr>
              <w:t>危险废物废</w:t>
            </w:r>
            <w:r>
              <w:rPr>
                <w:rFonts w:hint="eastAsia"/>
                <w:color w:val="auto"/>
                <w:sz w:val="21"/>
                <w:szCs w:val="21"/>
                <w:lang w:val="en-US" w:eastAsia="zh-CN"/>
              </w:rPr>
              <w:t>机油</w:t>
            </w:r>
            <w:r>
              <w:rPr>
                <w:color w:val="auto"/>
                <w:sz w:val="21"/>
                <w:szCs w:val="21"/>
              </w:rPr>
              <w:t>、</w:t>
            </w:r>
            <w:r>
              <w:rPr>
                <w:rFonts w:hint="eastAsia"/>
                <w:color w:val="auto"/>
                <w:sz w:val="21"/>
                <w:szCs w:val="21"/>
              </w:rPr>
              <w:t>废包装桶</w:t>
            </w:r>
            <w:r>
              <w:rPr>
                <w:rFonts w:hint="eastAsia"/>
                <w:color w:val="auto"/>
                <w:sz w:val="21"/>
                <w:szCs w:val="21"/>
                <w:lang w:eastAsia="zh-CN"/>
              </w:rPr>
              <w:t>、</w:t>
            </w:r>
            <w:r>
              <w:rPr>
                <w:rFonts w:hint="eastAsia"/>
                <w:color w:val="auto"/>
                <w:sz w:val="21"/>
                <w:szCs w:val="21"/>
                <w:lang w:val="en-US" w:eastAsia="zh-CN"/>
              </w:rPr>
              <w:t>废活性炭、含油抹布手套等危险废物</w:t>
            </w:r>
            <w:r>
              <w:rPr>
                <w:color w:val="auto"/>
                <w:sz w:val="21"/>
                <w:szCs w:val="21"/>
              </w:rPr>
              <w:t>按照危险废物管理要求收集暂存于</w:t>
            </w:r>
            <w:r>
              <w:rPr>
                <w:rFonts w:hint="eastAsia"/>
                <w:color w:val="auto"/>
                <w:sz w:val="21"/>
                <w:szCs w:val="21"/>
                <w:lang w:val="en-US" w:eastAsia="zh-CN"/>
              </w:rPr>
              <w:t>车间内南侧10</w:t>
            </w:r>
            <w:r>
              <w:rPr>
                <w:rFonts w:hint="default"/>
                <w:color w:val="auto"/>
                <w:sz w:val="21"/>
                <w:szCs w:val="21"/>
                <w:lang w:val="en-US" w:eastAsia="zh-CN"/>
              </w:rPr>
              <w:t>m</w:t>
            </w:r>
            <w:r>
              <w:rPr>
                <w:rFonts w:hint="default"/>
                <w:color w:val="auto"/>
                <w:sz w:val="21"/>
                <w:szCs w:val="21"/>
                <w:vertAlign w:val="superscript"/>
                <w:lang w:val="en-US" w:eastAsia="zh-CN"/>
              </w:rPr>
              <w:t>2</w:t>
            </w:r>
            <w:r>
              <w:rPr>
                <w:rFonts w:hint="eastAsia"/>
                <w:color w:val="auto"/>
                <w:sz w:val="21"/>
                <w:szCs w:val="21"/>
              </w:rPr>
              <w:t>危废暂存间，定期交由资质单位处理处置。</w:t>
            </w:r>
            <w:r>
              <w:rPr>
                <w:rFonts w:hint="eastAsia"/>
                <w:color w:val="auto"/>
                <w:sz w:val="21"/>
                <w:szCs w:val="21"/>
                <w:lang w:val="en-US" w:eastAsia="zh-CN"/>
              </w:rPr>
              <w:t>一般固废分类收集暂存于一般固废间内，定期外售物资回收部门或综合利用。生活垃圾交由环卫部门统一清运。</w:t>
            </w:r>
          </w:p>
        </w:tc>
      </w:tr>
      <w:tr w14:paraId="7A6212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noWrap w:val="0"/>
            <w:vAlign w:val="center"/>
          </w:tcPr>
          <w:p w14:paraId="3D304759">
            <w:pPr>
              <w:pStyle w:val="22"/>
              <w:bidi w:val="0"/>
              <w:rPr>
                <w:color w:val="auto"/>
              </w:rPr>
            </w:pPr>
            <w:r>
              <w:rPr>
                <w:color w:val="auto"/>
              </w:rPr>
              <w:t>土壤及地</w:t>
            </w:r>
          </w:p>
          <w:p w14:paraId="2DCFC19B">
            <w:pPr>
              <w:pStyle w:val="22"/>
              <w:bidi w:val="0"/>
              <w:rPr>
                <w:color w:val="auto"/>
              </w:rPr>
            </w:pPr>
            <w:r>
              <w:rPr>
                <w:color w:val="auto"/>
              </w:rPr>
              <w:t>下水污染防治措施</w:t>
            </w:r>
          </w:p>
        </w:tc>
        <w:tc>
          <w:tcPr>
            <w:tcW w:w="7599" w:type="dxa"/>
            <w:gridSpan w:val="4"/>
            <w:noWrap w:val="0"/>
            <w:vAlign w:val="center"/>
          </w:tcPr>
          <w:p w14:paraId="79225DBF">
            <w:pPr>
              <w:bidi w:val="0"/>
              <w:rPr>
                <w:color w:val="auto"/>
                <w:sz w:val="21"/>
                <w:szCs w:val="21"/>
              </w:rPr>
            </w:pPr>
            <w:r>
              <w:rPr>
                <w:rFonts w:hint="eastAsia"/>
                <w:color w:val="auto"/>
                <w:sz w:val="21"/>
                <w:szCs w:val="21"/>
              </w:rPr>
              <w:t>危废</w:t>
            </w:r>
            <w:r>
              <w:rPr>
                <w:color w:val="auto"/>
                <w:sz w:val="21"/>
                <w:szCs w:val="21"/>
              </w:rPr>
              <w:t>库</w:t>
            </w:r>
            <w:r>
              <w:rPr>
                <w:rFonts w:hint="eastAsia"/>
                <w:color w:val="auto"/>
                <w:sz w:val="21"/>
                <w:szCs w:val="21"/>
              </w:rPr>
              <w:t>重点防渗；车间地面</w:t>
            </w:r>
            <w:r>
              <w:rPr>
                <w:rFonts w:hint="eastAsia"/>
                <w:color w:val="auto"/>
                <w:sz w:val="21"/>
                <w:szCs w:val="21"/>
                <w:lang w:eastAsia="zh-CN"/>
              </w:rPr>
              <w:t>、</w:t>
            </w:r>
            <w:r>
              <w:rPr>
                <w:rFonts w:hint="eastAsia"/>
                <w:color w:val="auto"/>
                <w:sz w:val="21"/>
                <w:szCs w:val="21"/>
                <w:lang w:val="en-US" w:eastAsia="zh-CN"/>
              </w:rPr>
              <w:t>原料</w:t>
            </w:r>
            <w:r>
              <w:rPr>
                <w:rFonts w:hint="eastAsia"/>
                <w:color w:val="auto"/>
                <w:sz w:val="21"/>
                <w:szCs w:val="21"/>
              </w:rPr>
              <w:t>库</w:t>
            </w:r>
            <w:r>
              <w:rPr>
                <w:rFonts w:hint="eastAsia"/>
                <w:color w:val="auto"/>
                <w:sz w:val="21"/>
                <w:szCs w:val="21"/>
                <w:lang w:val="en-US" w:eastAsia="zh-CN"/>
              </w:rPr>
              <w:t>一般固废暂存间</w:t>
            </w:r>
            <w:r>
              <w:rPr>
                <w:rFonts w:hint="eastAsia"/>
                <w:color w:val="auto"/>
                <w:sz w:val="21"/>
                <w:szCs w:val="21"/>
              </w:rPr>
              <w:t>一般防渗；厂区车间及路面简单防渗；</w:t>
            </w:r>
          </w:p>
        </w:tc>
      </w:tr>
      <w:tr w14:paraId="16D65C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noWrap w:val="0"/>
            <w:vAlign w:val="center"/>
          </w:tcPr>
          <w:p w14:paraId="6C18CC02">
            <w:pPr>
              <w:pStyle w:val="22"/>
              <w:bidi w:val="0"/>
              <w:rPr>
                <w:color w:val="auto"/>
              </w:rPr>
            </w:pPr>
            <w:r>
              <w:rPr>
                <w:color w:val="auto"/>
              </w:rPr>
              <w:t>生态保护</w:t>
            </w:r>
          </w:p>
          <w:p w14:paraId="5429141B">
            <w:pPr>
              <w:pStyle w:val="22"/>
              <w:bidi w:val="0"/>
              <w:rPr>
                <w:color w:val="auto"/>
              </w:rPr>
            </w:pPr>
            <w:r>
              <w:rPr>
                <w:color w:val="auto"/>
              </w:rPr>
              <w:t>措施</w:t>
            </w:r>
          </w:p>
        </w:tc>
        <w:tc>
          <w:tcPr>
            <w:tcW w:w="7599" w:type="dxa"/>
            <w:gridSpan w:val="4"/>
            <w:noWrap w:val="0"/>
            <w:vAlign w:val="center"/>
          </w:tcPr>
          <w:p w14:paraId="4DA08418">
            <w:pPr>
              <w:pStyle w:val="22"/>
              <w:bidi w:val="0"/>
              <w:rPr>
                <w:color w:val="auto"/>
                <w:sz w:val="21"/>
                <w:szCs w:val="21"/>
              </w:rPr>
            </w:pPr>
            <w:r>
              <w:rPr>
                <w:color w:val="auto"/>
                <w:sz w:val="21"/>
                <w:szCs w:val="21"/>
              </w:rPr>
              <w:t>/</w:t>
            </w:r>
          </w:p>
        </w:tc>
      </w:tr>
      <w:tr w14:paraId="2AC3C5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noWrap w:val="0"/>
            <w:vAlign w:val="center"/>
          </w:tcPr>
          <w:p w14:paraId="057F5DB0">
            <w:pPr>
              <w:pStyle w:val="22"/>
              <w:bidi w:val="0"/>
              <w:rPr>
                <w:color w:val="auto"/>
              </w:rPr>
            </w:pPr>
            <w:r>
              <w:rPr>
                <w:color w:val="auto"/>
              </w:rPr>
              <w:t>环境风险</w:t>
            </w:r>
          </w:p>
          <w:p w14:paraId="649BF03A">
            <w:pPr>
              <w:pStyle w:val="22"/>
              <w:bidi w:val="0"/>
              <w:rPr>
                <w:color w:val="auto"/>
              </w:rPr>
            </w:pPr>
            <w:r>
              <w:rPr>
                <w:color w:val="auto"/>
              </w:rPr>
              <w:t>防范措施</w:t>
            </w:r>
          </w:p>
        </w:tc>
        <w:tc>
          <w:tcPr>
            <w:tcW w:w="7599" w:type="dxa"/>
            <w:gridSpan w:val="4"/>
            <w:noWrap w:val="0"/>
            <w:vAlign w:val="center"/>
          </w:tcPr>
          <w:p w14:paraId="35CA57E9">
            <w:pPr>
              <w:bidi w:val="0"/>
              <w:rPr>
                <w:rFonts w:hint="eastAsia" w:eastAsia="宋体"/>
                <w:color w:val="auto"/>
                <w:sz w:val="21"/>
                <w:szCs w:val="21"/>
                <w:lang w:eastAsia="zh-CN"/>
              </w:rPr>
            </w:pPr>
            <w:r>
              <w:rPr>
                <w:color w:val="auto"/>
                <w:sz w:val="21"/>
                <w:szCs w:val="21"/>
              </w:rPr>
              <w:t>加强安全教育培训和宣传；配备完善的消防措施</w:t>
            </w:r>
            <w:r>
              <w:rPr>
                <w:rFonts w:hint="eastAsia"/>
                <w:color w:val="auto"/>
                <w:sz w:val="21"/>
                <w:szCs w:val="21"/>
              </w:rPr>
              <w:t>；储备应急物资，危废间规范化建设</w:t>
            </w:r>
            <w:r>
              <w:rPr>
                <w:rFonts w:hint="eastAsia"/>
                <w:color w:val="auto"/>
                <w:sz w:val="21"/>
                <w:szCs w:val="21"/>
                <w:lang w:eastAsia="zh-CN"/>
              </w:rPr>
              <w:t>。</w:t>
            </w:r>
          </w:p>
        </w:tc>
      </w:tr>
      <w:tr w14:paraId="049CE3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noWrap w:val="0"/>
            <w:vAlign w:val="center"/>
          </w:tcPr>
          <w:p w14:paraId="1764B95C">
            <w:pPr>
              <w:pStyle w:val="22"/>
              <w:bidi w:val="0"/>
              <w:rPr>
                <w:color w:val="auto"/>
              </w:rPr>
            </w:pPr>
            <w:r>
              <w:rPr>
                <w:color w:val="auto"/>
              </w:rPr>
              <w:t>其他环境</w:t>
            </w:r>
          </w:p>
          <w:p w14:paraId="3354716D">
            <w:pPr>
              <w:pStyle w:val="22"/>
              <w:bidi w:val="0"/>
              <w:rPr>
                <w:color w:val="auto"/>
              </w:rPr>
            </w:pPr>
            <w:r>
              <w:rPr>
                <w:color w:val="auto"/>
              </w:rPr>
              <w:t>管理要求</w:t>
            </w:r>
          </w:p>
        </w:tc>
        <w:tc>
          <w:tcPr>
            <w:tcW w:w="7599" w:type="dxa"/>
            <w:gridSpan w:val="4"/>
            <w:noWrap w:val="0"/>
            <w:vAlign w:val="center"/>
          </w:tcPr>
          <w:p w14:paraId="6790BD84">
            <w:pPr>
              <w:bidi w:val="0"/>
              <w:rPr>
                <w:color w:val="auto"/>
                <w:sz w:val="21"/>
                <w:szCs w:val="21"/>
              </w:rPr>
            </w:pPr>
            <w:r>
              <w:rPr>
                <w:rFonts w:hint="eastAsia"/>
                <w:color w:val="auto"/>
                <w:sz w:val="21"/>
                <w:szCs w:val="21"/>
              </w:rPr>
              <w:t>（1）与《安徽省生态环境厅关于统筹做好固定污染源排污许可日常监管工作的通知》（皖环发</w:t>
            </w:r>
            <w:r>
              <w:rPr>
                <w:rFonts w:hint="eastAsia"/>
                <w:color w:val="auto"/>
                <w:sz w:val="21"/>
                <w:szCs w:val="21"/>
                <w:lang w:eastAsia="zh-CN"/>
              </w:rPr>
              <w:t>〔</w:t>
            </w:r>
            <w:r>
              <w:rPr>
                <w:color w:val="auto"/>
                <w:sz w:val="21"/>
                <w:szCs w:val="21"/>
              </w:rPr>
              <w:t>2021</w:t>
            </w:r>
            <w:r>
              <w:rPr>
                <w:rFonts w:hint="eastAsia"/>
                <w:color w:val="auto"/>
                <w:sz w:val="21"/>
                <w:szCs w:val="21"/>
                <w:lang w:eastAsia="zh-CN"/>
              </w:rPr>
              <w:t>〕</w:t>
            </w:r>
            <w:r>
              <w:rPr>
                <w:color w:val="auto"/>
                <w:sz w:val="21"/>
                <w:szCs w:val="21"/>
              </w:rPr>
              <w:t>7</w:t>
            </w:r>
            <w:r>
              <w:rPr>
                <w:rFonts w:hint="eastAsia"/>
                <w:color w:val="auto"/>
                <w:sz w:val="21"/>
                <w:szCs w:val="21"/>
              </w:rPr>
              <w:t>号）的衔接</w:t>
            </w:r>
          </w:p>
          <w:p w14:paraId="3F9B32E1">
            <w:pPr>
              <w:bidi w:val="0"/>
              <w:rPr>
                <w:rFonts w:hint="eastAsia"/>
                <w:color w:val="auto"/>
                <w:sz w:val="21"/>
                <w:szCs w:val="21"/>
              </w:rPr>
            </w:pPr>
            <w:r>
              <w:rPr>
                <w:rFonts w:hint="eastAsia"/>
                <w:color w:val="auto"/>
                <w:sz w:val="21"/>
                <w:szCs w:val="21"/>
              </w:rPr>
              <w:t>（</w:t>
            </w:r>
            <w:r>
              <w:rPr>
                <w:color w:val="auto"/>
                <w:sz w:val="21"/>
                <w:szCs w:val="21"/>
              </w:rPr>
              <w:t>1</w:t>
            </w:r>
            <w:r>
              <w:rPr>
                <w:rFonts w:hint="eastAsia"/>
                <w:color w:val="auto"/>
                <w:sz w:val="21"/>
                <w:szCs w:val="21"/>
              </w:rPr>
              <w:t>）根据《</w:t>
            </w:r>
            <w:r>
              <w:rPr>
                <w:color w:val="auto"/>
                <w:sz w:val="21"/>
                <w:szCs w:val="21"/>
              </w:rPr>
              <w:t>2017</w:t>
            </w:r>
            <w:r>
              <w:rPr>
                <w:rFonts w:hint="eastAsia"/>
                <w:color w:val="auto"/>
                <w:sz w:val="21"/>
                <w:szCs w:val="21"/>
              </w:rPr>
              <w:t>年国民经济行业分类注释》（按第</w:t>
            </w:r>
            <w:r>
              <w:rPr>
                <w:color w:val="auto"/>
                <w:sz w:val="21"/>
                <w:szCs w:val="21"/>
              </w:rPr>
              <w:t>1</w:t>
            </w:r>
            <w:r>
              <w:rPr>
                <w:rFonts w:hint="eastAsia"/>
                <w:color w:val="auto"/>
                <w:sz w:val="21"/>
                <w:szCs w:val="21"/>
              </w:rPr>
              <w:t>号修改单修订），本次工程属于</w:t>
            </w:r>
            <w:r>
              <w:rPr>
                <w:rFonts w:hint="eastAsia"/>
                <w:color w:val="auto"/>
                <w:sz w:val="21"/>
                <w:szCs w:val="21"/>
                <w:lang w:eastAsia="zh-CN"/>
              </w:rPr>
              <w:t>“</w:t>
            </w:r>
            <w:r>
              <w:rPr>
                <w:rFonts w:hint="eastAsia"/>
                <w:color w:val="auto"/>
                <w:sz w:val="21"/>
                <w:szCs w:val="21"/>
                <w:lang w:val="en-US" w:eastAsia="zh-CN"/>
              </w:rPr>
              <w:t>C</w:t>
            </w:r>
            <w:r>
              <w:rPr>
                <w:rFonts w:hint="eastAsia"/>
                <w:color w:val="auto"/>
                <w:sz w:val="21"/>
                <w:szCs w:val="21"/>
                <w:lang w:eastAsia="zh-CN"/>
              </w:rPr>
              <w:t>292</w:t>
            </w:r>
            <w:r>
              <w:rPr>
                <w:rFonts w:hint="eastAsia"/>
                <w:color w:val="auto"/>
                <w:sz w:val="21"/>
                <w:szCs w:val="21"/>
                <w:lang w:val="en-US" w:eastAsia="zh-CN"/>
              </w:rPr>
              <w:t>2塑料板、管、型材制造</w:t>
            </w:r>
            <w:r>
              <w:rPr>
                <w:rFonts w:hint="eastAsia"/>
                <w:color w:val="auto"/>
                <w:sz w:val="21"/>
                <w:szCs w:val="21"/>
                <w:lang w:eastAsia="zh-CN"/>
              </w:rPr>
              <w:t>”</w:t>
            </w:r>
            <w:r>
              <w:rPr>
                <w:rFonts w:hint="eastAsia"/>
                <w:color w:val="auto"/>
                <w:sz w:val="21"/>
                <w:szCs w:val="21"/>
              </w:rPr>
              <w:t>，按照《固定污染源排污许可分类管理名录（</w:t>
            </w:r>
            <w:r>
              <w:rPr>
                <w:color w:val="auto"/>
                <w:sz w:val="21"/>
                <w:szCs w:val="21"/>
              </w:rPr>
              <w:t>2019</w:t>
            </w:r>
            <w:r>
              <w:rPr>
                <w:rFonts w:hint="eastAsia"/>
                <w:color w:val="auto"/>
                <w:sz w:val="21"/>
                <w:szCs w:val="21"/>
              </w:rPr>
              <w:t>版）》（生态环境部令</w:t>
            </w:r>
            <w:r>
              <w:rPr>
                <w:color w:val="auto"/>
                <w:sz w:val="21"/>
                <w:szCs w:val="21"/>
              </w:rPr>
              <w:t>2019</w:t>
            </w:r>
            <w:r>
              <w:rPr>
                <w:rFonts w:hint="eastAsia"/>
                <w:color w:val="auto"/>
                <w:sz w:val="21"/>
                <w:szCs w:val="21"/>
              </w:rPr>
              <w:t>第</w:t>
            </w:r>
            <w:r>
              <w:rPr>
                <w:color w:val="auto"/>
                <w:sz w:val="21"/>
                <w:szCs w:val="21"/>
              </w:rPr>
              <w:t>11</w:t>
            </w:r>
            <w:r>
              <w:rPr>
                <w:rFonts w:hint="eastAsia"/>
                <w:color w:val="auto"/>
                <w:sz w:val="21"/>
                <w:szCs w:val="21"/>
              </w:rPr>
              <w:t>号），本项目</w:t>
            </w:r>
            <w:r>
              <w:rPr>
                <w:rFonts w:hint="eastAsia"/>
                <w:color w:val="auto"/>
                <w:sz w:val="21"/>
                <w:szCs w:val="21"/>
                <w:lang w:val="en-US" w:eastAsia="zh-CN"/>
              </w:rPr>
              <w:t>总产能为2000t/a，不满足年产1万吨产能要求，</w:t>
            </w:r>
            <w:r>
              <w:rPr>
                <w:rFonts w:hint="eastAsia"/>
                <w:color w:val="auto"/>
                <w:sz w:val="21"/>
                <w:szCs w:val="21"/>
              </w:rPr>
              <w:t>应为登记管理。</w:t>
            </w:r>
          </w:p>
          <w:p w14:paraId="163B4814">
            <w:pPr>
              <w:bidi w:val="0"/>
              <w:rPr>
                <w:color w:val="auto"/>
                <w:sz w:val="21"/>
                <w:szCs w:val="21"/>
              </w:rPr>
            </w:pPr>
            <w:r>
              <w:rPr>
                <w:rFonts w:hint="eastAsia"/>
                <w:color w:val="auto"/>
                <w:sz w:val="21"/>
                <w:szCs w:val="21"/>
              </w:rPr>
              <w:t>（</w:t>
            </w:r>
            <w:r>
              <w:rPr>
                <w:color w:val="auto"/>
                <w:sz w:val="21"/>
                <w:szCs w:val="21"/>
              </w:rPr>
              <w:t>2</w:t>
            </w:r>
            <w:r>
              <w:rPr>
                <w:rFonts w:hint="eastAsia"/>
                <w:color w:val="auto"/>
                <w:sz w:val="21"/>
                <w:szCs w:val="21"/>
              </w:rPr>
              <w:t>）项目环保竣工验收：建设单位应根据环保竣工验收相关要求，自主开展环境保护竣工验收相关工作。建设项目配套建设的环境保护设施经验收合格，方可投入生产或者使用，未经验收或者验收不合格的，不得投入生产或者使用。</w:t>
            </w:r>
          </w:p>
          <w:p w14:paraId="0B252A71">
            <w:pPr>
              <w:bidi w:val="0"/>
              <w:rPr>
                <w:color w:val="auto"/>
                <w:sz w:val="21"/>
                <w:szCs w:val="21"/>
              </w:rPr>
            </w:pPr>
            <w:r>
              <w:rPr>
                <w:rFonts w:hint="eastAsia"/>
                <w:color w:val="auto"/>
                <w:sz w:val="21"/>
                <w:szCs w:val="21"/>
              </w:rPr>
              <w:t>（</w:t>
            </w:r>
            <w:r>
              <w:rPr>
                <w:rFonts w:hint="eastAsia"/>
                <w:color w:val="auto"/>
                <w:sz w:val="21"/>
                <w:szCs w:val="21"/>
                <w:lang w:val="en-US" w:eastAsia="zh-CN"/>
              </w:rPr>
              <w:t>3</w:t>
            </w:r>
            <w:r>
              <w:rPr>
                <w:rFonts w:hint="eastAsia"/>
                <w:color w:val="auto"/>
                <w:sz w:val="21"/>
                <w:szCs w:val="21"/>
              </w:rPr>
              <w:t>）排污口规范化</w:t>
            </w:r>
          </w:p>
          <w:p w14:paraId="1FEE4913">
            <w:pPr>
              <w:bidi w:val="0"/>
              <w:rPr>
                <w:rFonts w:hint="eastAsia"/>
                <w:color w:val="auto"/>
                <w:sz w:val="21"/>
                <w:szCs w:val="21"/>
              </w:rPr>
            </w:pPr>
            <w:r>
              <w:rPr>
                <w:rFonts w:hint="eastAsia"/>
                <w:color w:val="auto"/>
                <w:sz w:val="21"/>
                <w:szCs w:val="21"/>
              </w:rPr>
              <w:t>建设单位应严格落实《关于开展排放口规范化整治工作的通知》（环发</w:t>
            </w:r>
            <w:r>
              <w:rPr>
                <w:rFonts w:hint="eastAsia"/>
                <w:color w:val="auto"/>
                <w:sz w:val="21"/>
                <w:szCs w:val="21"/>
                <w:lang w:eastAsia="zh-CN"/>
              </w:rPr>
              <w:t>〔</w:t>
            </w:r>
            <w:r>
              <w:rPr>
                <w:rFonts w:hint="eastAsia"/>
                <w:color w:val="auto"/>
                <w:sz w:val="21"/>
                <w:szCs w:val="21"/>
              </w:rPr>
              <w:t>1999</w:t>
            </w:r>
            <w:r>
              <w:rPr>
                <w:rFonts w:hint="eastAsia"/>
                <w:color w:val="auto"/>
                <w:sz w:val="21"/>
                <w:szCs w:val="21"/>
                <w:lang w:eastAsia="zh-CN"/>
              </w:rPr>
              <w:t>〕</w:t>
            </w:r>
            <w:r>
              <w:rPr>
                <w:rFonts w:hint="eastAsia"/>
                <w:color w:val="auto"/>
                <w:sz w:val="21"/>
                <w:szCs w:val="21"/>
              </w:rPr>
              <w:t>24号）、《排污口规范化整治技术要求》（环监</w:t>
            </w:r>
            <w:r>
              <w:rPr>
                <w:rFonts w:hint="eastAsia"/>
                <w:color w:val="auto"/>
                <w:sz w:val="21"/>
                <w:szCs w:val="21"/>
                <w:lang w:eastAsia="zh-CN"/>
              </w:rPr>
              <w:t>〔1996〕470号</w:t>
            </w:r>
            <w:r>
              <w:rPr>
                <w:rFonts w:hint="eastAsia"/>
                <w:color w:val="auto"/>
                <w:sz w:val="21"/>
                <w:szCs w:val="21"/>
              </w:rPr>
              <w:t>）、《安徽省污染源排放口规范化整治管理办法》（环法函〔2005〕114号）等文件要求，按规定设置排放口。</w:t>
            </w:r>
          </w:p>
          <w:p w14:paraId="0BF1A6C2">
            <w:pPr>
              <w:bidi w:val="0"/>
              <w:rPr>
                <w:rFonts w:hint="eastAsia"/>
                <w:color w:val="auto"/>
                <w:sz w:val="21"/>
                <w:szCs w:val="21"/>
              </w:rPr>
            </w:pPr>
          </w:p>
          <w:p w14:paraId="2A8C4EB7">
            <w:pPr>
              <w:bidi w:val="0"/>
              <w:rPr>
                <w:rFonts w:hint="eastAsia"/>
                <w:color w:val="auto"/>
                <w:sz w:val="21"/>
                <w:szCs w:val="21"/>
              </w:rPr>
            </w:pPr>
          </w:p>
          <w:p w14:paraId="7DC9286F">
            <w:pPr>
              <w:bidi w:val="0"/>
              <w:rPr>
                <w:rFonts w:hint="eastAsia"/>
                <w:color w:val="auto"/>
                <w:sz w:val="21"/>
                <w:szCs w:val="21"/>
              </w:rPr>
            </w:pPr>
          </w:p>
          <w:p w14:paraId="5B1E460F">
            <w:pPr>
              <w:bidi w:val="0"/>
              <w:rPr>
                <w:rFonts w:hint="eastAsia"/>
                <w:color w:val="auto"/>
                <w:sz w:val="21"/>
                <w:szCs w:val="21"/>
              </w:rPr>
            </w:pPr>
          </w:p>
          <w:p w14:paraId="4F803904">
            <w:pPr>
              <w:bidi w:val="0"/>
              <w:rPr>
                <w:rFonts w:hint="eastAsia"/>
                <w:color w:val="auto"/>
                <w:sz w:val="21"/>
                <w:szCs w:val="21"/>
              </w:rPr>
            </w:pPr>
          </w:p>
          <w:p w14:paraId="443EF2C6">
            <w:pPr>
              <w:bidi w:val="0"/>
              <w:rPr>
                <w:rFonts w:hint="eastAsia"/>
                <w:color w:val="auto"/>
                <w:sz w:val="21"/>
                <w:szCs w:val="21"/>
              </w:rPr>
            </w:pPr>
          </w:p>
          <w:p w14:paraId="06165358">
            <w:pPr>
              <w:bidi w:val="0"/>
              <w:rPr>
                <w:rFonts w:hint="eastAsia"/>
                <w:color w:val="auto"/>
                <w:sz w:val="21"/>
                <w:szCs w:val="21"/>
              </w:rPr>
            </w:pPr>
          </w:p>
          <w:p w14:paraId="618C04C8">
            <w:pPr>
              <w:bidi w:val="0"/>
              <w:rPr>
                <w:rFonts w:hint="eastAsia"/>
                <w:color w:val="auto"/>
                <w:sz w:val="21"/>
                <w:szCs w:val="21"/>
              </w:rPr>
            </w:pPr>
          </w:p>
          <w:p w14:paraId="3CED19AD">
            <w:pPr>
              <w:bidi w:val="0"/>
              <w:rPr>
                <w:rFonts w:hint="eastAsia"/>
                <w:color w:val="auto"/>
                <w:sz w:val="21"/>
                <w:szCs w:val="21"/>
              </w:rPr>
            </w:pPr>
          </w:p>
        </w:tc>
      </w:tr>
    </w:tbl>
    <w:p w14:paraId="6EE35AC5">
      <w:pPr>
        <w:bidi w:val="0"/>
        <w:rPr>
          <w:rFonts w:ascii="Times New Roman" w:hAnsi="Times New Roman"/>
          <w:snapToGrid w:val="0"/>
          <w:color w:val="0000FF"/>
          <w:sz w:val="21"/>
          <w:szCs w:val="21"/>
        </w:rPr>
        <w:sectPr>
          <w:pgSz w:w="11906" w:h="16838"/>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5129FAB9">
      <w:pPr>
        <w:pStyle w:val="3"/>
        <w:bidi w:val="0"/>
        <w:rPr>
          <w:color w:val="auto"/>
        </w:rPr>
      </w:pPr>
      <w:r>
        <w:rPr>
          <w:color w:val="auto"/>
        </w:rPr>
        <w:t>六、结论</w:t>
      </w:r>
    </w:p>
    <w:tbl>
      <w:tblPr>
        <w:tblStyle w:val="12"/>
        <w:tblW w:w="533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95"/>
      </w:tblGrid>
      <w:tr w14:paraId="338DF3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11" w:hRule="atLeast"/>
          <w:jc w:val="center"/>
        </w:trPr>
        <w:tc>
          <w:tcPr>
            <w:tcW w:w="9095" w:type="dxa"/>
            <w:noWrap w:val="0"/>
            <w:vAlign w:val="top"/>
          </w:tcPr>
          <w:p w14:paraId="03A37186">
            <w:pPr>
              <w:bidi w:val="0"/>
              <w:rPr>
                <w:color w:val="auto"/>
                <w:szCs w:val="21"/>
              </w:rPr>
            </w:pPr>
            <w:r>
              <w:rPr>
                <w:color w:val="auto"/>
              </w:rPr>
              <w:t>本项目为</w:t>
            </w:r>
            <w:r>
              <w:rPr>
                <w:rFonts w:hint="eastAsia"/>
                <w:color w:val="auto"/>
                <w:szCs w:val="21"/>
              </w:rPr>
              <w:t>圣大管业年产一万吨管材管件生产项目</w:t>
            </w:r>
            <w:r>
              <w:rPr>
                <w:color w:val="auto"/>
              </w:rPr>
              <w:t>，选址于</w:t>
            </w:r>
            <w:r>
              <w:rPr>
                <w:rFonts w:hint="eastAsia"/>
                <w:color w:val="auto"/>
                <w:kern w:val="0"/>
                <w:szCs w:val="21"/>
              </w:rPr>
              <w:t>潘集区经济开发区（北区）2号厂房</w:t>
            </w:r>
            <w:r>
              <w:rPr>
                <w:color w:val="auto"/>
              </w:rPr>
              <w:t>，</w:t>
            </w:r>
            <w:r>
              <w:rPr>
                <w:rFonts w:hint="eastAsia"/>
                <w:color w:val="auto"/>
                <w:lang w:val="en-US" w:eastAsia="zh-CN"/>
              </w:rPr>
              <w:t>项目</w:t>
            </w:r>
            <w:r>
              <w:rPr>
                <w:color w:val="auto"/>
              </w:rPr>
              <w:t>符合国家及地方产业政策，选址符合用地规划要求；项目生产过程中产生的污染在采取有效的治理措施之后，对周围环境影响较小，不会改变当地环境质量现状；同时本项目对周边环境产生的影响较小，事故风险水平可被接受。因此，从环保的角度出发，该项目在坚持</w:t>
            </w:r>
            <w:r>
              <w:rPr>
                <w:rFonts w:hint="eastAsia"/>
                <w:color w:val="auto"/>
                <w:lang w:eastAsia="zh-CN"/>
              </w:rPr>
              <w:t>“</w:t>
            </w:r>
            <w:r>
              <w:rPr>
                <w:color w:val="auto"/>
              </w:rPr>
              <w:t>三同时</w:t>
            </w:r>
            <w:r>
              <w:rPr>
                <w:rFonts w:hint="eastAsia"/>
                <w:color w:val="auto"/>
                <w:lang w:eastAsia="zh-CN"/>
              </w:rPr>
              <w:t>”</w:t>
            </w:r>
            <w:r>
              <w:rPr>
                <w:color w:val="auto"/>
              </w:rPr>
              <w:t>原则并按照本报告中提出的各项环保措施治理后是可行的。</w:t>
            </w:r>
          </w:p>
        </w:tc>
      </w:tr>
    </w:tbl>
    <w:p w14:paraId="6E1BFC17">
      <w:pPr>
        <w:rPr>
          <w:color w:val="0000FF"/>
        </w:rPr>
        <w:sectPr>
          <w:pgSz w:w="11906" w:h="16838"/>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7519041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Style w:val="16"/>
          <w:rFonts w:hint="eastAsia"/>
          <w:color w:val="auto"/>
        </w:rPr>
      </w:pPr>
      <w:r>
        <w:rPr>
          <w:rFonts w:hint="eastAsia" w:ascii="黑体" w:hAnsi="黑体" w:eastAsia="黑体" w:cs="黑体"/>
          <w:color w:val="auto"/>
          <w:sz w:val="32"/>
          <w:szCs w:val="32"/>
        </w:rPr>
        <w:t>附表</w:t>
      </w:r>
      <w:r>
        <w:rPr>
          <w:rFonts w:hint="eastAsia" w:ascii="黑体" w:hAnsi="黑体" w:eastAsia="黑体" w:cs="黑体"/>
          <w:color w:val="auto"/>
          <w:sz w:val="32"/>
          <w:szCs w:val="32"/>
          <w:lang w:val="en-US" w:eastAsia="zh-CN"/>
        </w:rPr>
        <w:t xml:space="preserve">                        </w:t>
      </w:r>
      <w:r>
        <w:rPr>
          <w:rStyle w:val="16"/>
          <w:rFonts w:hint="eastAsia"/>
          <w:color w:val="auto"/>
        </w:rPr>
        <w:t>建设项目污染物排放量汇总表</w:t>
      </w:r>
    </w:p>
    <w:tbl>
      <w:tblPr>
        <w:tblStyle w:val="12"/>
        <w:tblW w:w="137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16"/>
        <w:gridCol w:w="1941"/>
        <w:gridCol w:w="1449"/>
        <w:gridCol w:w="1276"/>
        <w:gridCol w:w="1701"/>
        <w:gridCol w:w="1559"/>
        <w:gridCol w:w="1380"/>
        <w:gridCol w:w="1605"/>
        <w:gridCol w:w="1561"/>
      </w:tblGrid>
      <w:tr w14:paraId="35F384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tcBorders>
              <w:tl2br w:val="single" w:color="auto" w:sz="4" w:space="0"/>
            </w:tcBorders>
            <w:noWrap w:val="0"/>
            <w:tcMar>
              <w:left w:w="28" w:type="dxa"/>
              <w:right w:w="28" w:type="dxa"/>
            </w:tcMar>
            <w:vAlign w:val="center"/>
          </w:tcPr>
          <w:p w14:paraId="2A1D177E">
            <w:pPr>
              <w:pStyle w:val="22"/>
              <w:keepNext w:val="0"/>
              <w:keepLines w:val="0"/>
              <w:pageBreakBefore w:val="0"/>
              <w:widowControl w:val="0"/>
              <w:kinsoku/>
              <w:wordWrap/>
              <w:overflowPunct/>
              <w:topLinePunct w:val="0"/>
              <w:autoSpaceDE/>
              <w:autoSpaceDN/>
              <w:bidi w:val="0"/>
              <w:adjustRightInd w:val="0"/>
              <w:snapToGrid w:val="0"/>
              <w:spacing w:after="157" w:afterLines="50"/>
              <w:jc w:val="right"/>
              <w:textAlignment w:val="auto"/>
              <w:rPr>
                <w:color w:val="auto"/>
                <w:lang w:val="en-US" w:eastAsia="zh-CN"/>
              </w:rPr>
            </w:pPr>
            <w:r>
              <w:rPr>
                <w:color w:val="auto"/>
                <w:lang w:val="en-US" w:eastAsia="zh-CN"/>
              </w:rPr>
              <w:t>项目</w:t>
            </w:r>
          </w:p>
          <w:p w14:paraId="4321FB49">
            <w:pPr>
              <w:pStyle w:val="22"/>
              <w:keepNext w:val="0"/>
              <w:keepLines w:val="0"/>
              <w:pageBreakBefore w:val="0"/>
              <w:widowControl w:val="0"/>
              <w:kinsoku/>
              <w:wordWrap/>
              <w:overflowPunct/>
              <w:topLinePunct w:val="0"/>
              <w:autoSpaceDE/>
              <w:autoSpaceDN/>
              <w:bidi w:val="0"/>
              <w:adjustRightInd w:val="0"/>
              <w:snapToGrid w:val="0"/>
              <w:spacing w:after="157" w:afterLines="50"/>
              <w:jc w:val="left"/>
              <w:textAlignment w:val="auto"/>
              <w:rPr>
                <w:color w:val="auto"/>
                <w:lang w:val="en-US" w:eastAsia="zh-CN"/>
              </w:rPr>
            </w:pPr>
            <w:r>
              <w:rPr>
                <w:color w:val="auto"/>
                <w:lang w:val="en-US" w:eastAsia="zh-CN"/>
              </w:rPr>
              <w:t>分类</w:t>
            </w:r>
          </w:p>
        </w:tc>
        <w:tc>
          <w:tcPr>
            <w:tcW w:w="1941" w:type="dxa"/>
            <w:noWrap w:val="0"/>
            <w:tcMar>
              <w:left w:w="28" w:type="dxa"/>
              <w:right w:w="28" w:type="dxa"/>
            </w:tcMar>
            <w:vAlign w:val="center"/>
          </w:tcPr>
          <w:p w14:paraId="0F53C13D">
            <w:pPr>
              <w:pStyle w:val="22"/>
              <w:bidi w:val="0"/>
              <w:rPr>
                <w:color w:val="auto"/>
                <w:lang w:val="en-US" w:eastAsia="zh-CN"/>
              </w:rPr>
            </w:pPr>
            <w:r>
              <w:rPr>
                <w:color w:val="auto"/>
                <w:lang w:val="en-US" w:eastAsia="zh-CN"/>
              </w:rPr>
              <w:t>污染物名称</w:t>
            </w:r>
          </w:p>
        </w:tc>
        <w:tc>
          <w:tcPr>
            <w:tcW w:w="1449" w:type="dxa"/>
            <w:noWrap w:val="0"/>
            <w:tcMar>
              <w:left w:w="28" w:type="dxa"/>
              <w:right w:w="28" w:type="dxa"/>
            </w:tcMar>
            <w:vAlign w:val="center"/>
          </w:tcPr>
          <w:p w14:paraId="6588CD9E">
            <w:pPr>
              <w:pStyle w:val="22"/>
              <w:bidi w:val="0"/>
              <w:rPr>
                <w:color w:val="auto"/>
                <w:lang w:val="en-US" w:eastAsia="zh-CN"/>
              </w:rPr>
            </w:pPr>
            <w:r>
              <w:rPr>
                <w:color w:val="auto"/>
                <w:lang w:val="en-US" w:eastAsia="zh-CN"/>
              </w:rPr>
              <w:t>现有工程排放量（固体废物产生量）</w:t>
            </w:r>
            <w:r>
              <w:rPr>
                <w:color w:val="auto"/>
                <w:lang w:val="en-US" w:eastAsia="zh-CN"/>
              </w:rPr>
              <w:fldChar w:fldCharType="begin"/>
            </w:r>
            <w:r>
              <w:rPr>
                <w:color w:val="auto"/>
                <w:lang w:val="en-US" w:eastAsia="zh-CN"/>
              </w:rPr>
              <w:instrText xml:space="preserve"> = 1 \* GB3 \* MERGEFORMAT </w:instrText>
            </w:r>
            <w:r>
              <w:rPr>
                <w:color w:val="auto"/>
                <w:lang w:val="en-US" w:eastAsia="zh-CN"/>
              </w:rPr>
              <w:fldChar w:fldCharType="separate"/>
            </w:r>
            <w:r>
              <w:rPr>
                <w:rFonts w:hint="eastAsia"/>
                <w:color w:val="auto"/>
                <w:lang w:val="en-US" w:eastAsia="zh-CN"/>
              </w:rPr>
              <w:t>①</w:t>
            </w:r>
            <w:r>
              <w:rPr>
                <w:color w:val="auto"/>
                <w:lang w:val="en-US" w:eastAsia="zh-CN"/>
              </w:rPr>
              <w:fldChar w:fldCharType="end"/>
            </w:r>
          </w:p>
        </w:tc>
        <w:tc>
          <w:tcPr>
            <w:tcW w:w="1276" w:type="dxa"/>
            <w:noWrap w:val="0"/>
            <w:tcMar>
              <w:left w:w="28" w:type="dxa"/>
              <w:right w:w="28" w:type="dxa"/>
            </w:tcMar>
            <w:vAlign w:val="center"/>
          </w:tcPr>
          <w:p w14:paraId="02E422E0">
            <w:pPr>
              <w:pStyle w:val="22"/>
              <w:bidi w:val="0"/>
              <w:rPr>
                <w:color w:val="auto"/>
                <w:lang w:val="en-US" w:eastAsia="zh-CN"/>
              </w:rPr>
            </w:pPr>
            <w:r>
              <w:rPr>
                <w:color w:val="auto"/>
                <w:lang w:val="en-US" w:eastAsia="zh-CN"/>
              </w:rPr>
              <w:t>现有工程许可排放量</w:t>
            </w:r>
          </w:p>
          <w:p w14:paraId="13D44738">
            <w:pPr>
              <w:pStyle w:val="22"/>
              <w:bidi w:val="0"/>
              <w:rPr>
                <w:color w:val="auto"/>
                <w:lang w:val="en-US" w:eastAsia="zh-CN"/>
              </w:rPr>
            </w:pPr>
            <w:r>
              <w:rPr>
                <w:color w:val="auto"/>
                <w:lang w:val="en-US" w:eastAsia="zh-CN"/>
              </w:rPr>
              <w:fldChar w:fldCharType="begin"/>
            </w:r>
            <w:r>
              <w:rPr>
                <w:color w:val="auto"/>
                <w:lang w:val="en-US" w:eastAsia="zh-CN"/>
              </w:rPr>
              <w:instrText xml:space="preserve"> = 2 \* GB3 \* MERGEFORMAT </w:instrText>
            </w:r>
            <w:r>
              <w:rPr>
                <w:color w:val="auto"/>
                <w:lang w:val="en-US" w:eastAsia="zh-CN"/>
              </w:rPr>
              <w:fldChar w:fldCharType="separate"/>
            </w:r>
            <w:r>
              <w:rPr>
                <w:rFonts w:hint="eastAsia"/>
                <w:color w:val="auto"/>
                <w:lang w:val="en-US" w:eastAsia="zh-CN"/>
              </w:rPr>
              <w:t>②</w:t>
            </w:r>
            <w:r>
              <w:rPr>
                <w:color w:val="auto"/>
                <w:lang w:val="en-US" w:eastAsia="zh-CN"/>
              </w:rPr>
              <w:fldChar w:fldCharType="end"/>
            </w:r>
          </w:p>
        </w:tc>
        <w:tc>
          <w:tcPr>
            <w:tcW w:w="1701" w:type="dxa"/>
            <w:noWrap w:val="0"/>
            <w:tcMar>
              <w:left w:w="28" w:type="dxa"/>
              <w:right w:w="28" w:type="dxa"/>
            </w:tcMar>
            <w:vAlign w:val="center"/>
          </w:tcPr>
          <w:p w14:paraId="5B64A780">
            <w:pPr>
              <w:pStyle w:val="22"/>
              <w:bidi w:val="0"/>
              <w:rPr>
                <w:color w:val="auto"/>
                <w:lang w:val="en-US" w:eastAsia="zh-CN"/>
              </w:rPr>
            </w:pPr>
            <w:r>
              <w:rPr>
                <w:color w:val="auto"/>
                <w:lang w:val="en-US" w:eastAsia="zh-CN"/>
              </w:rPr>
              <w:t>在建工程排放量（固体废物产生量）</w:t>
            </w:r>
            <w:r>
              <w:rPr>
                <w:color w:val="auto"/>
                <w:lang w:val="en-US" w:eastAsia="zh-CN"/>
              </w:rPr>
              <w:fldChar w:fldCharType="begin"/>
            </w:r>
            <w:r>
              <w:rPr>
                <w:color w:val="auto"/>
                <w:lang w:val="en-US" w:eastAsia="zh-CN"/>
              </w:rPr>
              <w:instrText xml:space="preserve"> = 3 \* GB3 \* MERGEFORMAT </w:instrText>
            </w:r>
            <w:r>
              <w:rPr>
                <w:color w:val="auto"/>
                <w:lang w:val="en-US" w:eastAsia="zh-CN"/>
              </w:rPr>
              <w:fldChar w:fldCharType="separate"/>
            </w:r>
            <w:r>
              <w:rPr>
                <w:rFonts w:hint="eastAsia"/>
                <w:color w:val="auto"/>
                <w:lang w:val="en-US" w:eastAsia="zh-CN"/>
              </w:rPr>
              <w:t>③</w:t>
            </w:r>
            <w:r>
              <w:rPr>
                <w:color w:val="auto"/>
                <w:lang w:val="en-US" w:eastAsia="zh-CN"/>
              </w:rPr>
              <w:fldChar w:fldCharType="end"/>
            </w:r>
          </w:p>
        </w:tc>
        <w:tc>
          <w:tcPr>
            <w:tcW w:w="1559" w:type="dxa"/>
            <w:noWrap w:val="0"/>
            <w:tcMar>
              <w:left w:w="28" w:type="dxa"/>
              <w:right w:w="28" w:type="dxa"/>
            </w:tcMar>
            <w:vAlign w:val="center"/>
          </w:tcPr>
          <w:p w14:paraId="1ABCA113">
            <w:pPr>
              <w:pStyle w:val="22"/>
              <w:bidi w:val="0"/>
              <w:rPr>
                <w:color w:val="auto"/>
                <w:lang w:val="en-US" w:eastAsia="zh-CN"/>
              </w:rPr>
            </w:pPr>
            <w:r>
              <w:rPr>
                <w:color w:val="auto"/>
                <w:lang w:val="en-US" w:eastAsia="zh-CN"/>
              </w:rPr>
              <w:t>本项目排放量（固体废物产生量）</w:t>
            </w:r>
            <w:r>
              <w:rPr>
                <w:color w:val="auto"/>
                <w:lang w:val="en-US" w:eastAsia="zh-CN"/>
              </w:rPr>
              <w:fldChar w:fldCharType="begin"/>
            </w:r>
            <w:r>
              <w:rPr>
                <w:color w:val="auto"/>
                <w:lang w:val="en-US" w:eastAsia="zh-CN"/>
              </w:rPr>
              <w:instrText xml:space="preserve"> = 4 \* GB3 \* MERGEFORMAT </w:instrText>
            </w:r>
            <w:r>
              <w:rPr>
                <w:color w:val="auto"/>
                <w:lang w:val="en-US" w:eastAsia="zh-CN"/>
              </w:rPr>
              <w:fldChar w:fldCharType="separate"/>
            </w:r>
            <w:r>
              <w:rPr>
                <w:rFonts w:hint="eastAsia"/>
                <w:color w:val="auto"/>
                <w:lang w:val="en-US" w:eastAsia="zh-CN"/>
              </w:rPr>
              <w:t>④</w:t>
            </w:r>
            <w:r>
              <w:rPr>
                <w:color w:val="auto"/>
                <w:lang w:val="en-US" w:eastAsia="zh-CN"/>
              </w:rPr>
              <w:fldChar w:fldCharType="end"/>
            </w:r>
          </w:p>
        </w:tc>
        <w:tc>
          <w:tcPr>
            <w:tcW w:w="1380" w:type="dxa"/>
            <w:noWrap w:val="0"/>
            <w:tcMar>
              <w:left w:w="28" w:type="dxa"/>
              <w:right w:w="28" w:type="dxa"/>
            </w:tcMar>
            <w:vAlign w:val="center"/>
          </w:tcPr>
          <w:p w14:paraId="3E48F2A2">
            <w:pPr>
              <w:pStyle w:val="22"/>
              <w:bidi w:val="0"/>
              <w:rPr>
                <w:color w:val="auto"/>
                <w:lang w:val="en-US" w:eastAsia="zh-CN"/>
              </w:rPr>
            </w:pPr>
            <w:r>
              <w:rPr>
                <w:color w:val="auto"/>
                <w:lang w:val="en-US" w:eastAsia="zh-CN"/>
              </w:rPr>
              <w:t>以新带老削减量（新建项目不填）</w:t>
            </w:r>
            <w:r>
              <w:rPr>
                <w:color w:val="auto"/>
                <w:lang w:val="en-US" w:eastAsia="zh-CN"/>
              </w:rPr>
              <w:fldChar w:fldCharType="begin"/>
            </w:r>
            <w:r>
              <w:rPr>
                <w:color w:val="auto"/>
                <w:lang w:val="en-US" w:eastAsia="zh-CN"/>
              </w:rPr>
              <w:instrText xml:space="preserve"> = 5 \* GB3 \* MERGEFORMAT </w:instrText>
            </w:r>
            <w:r>
              <w:rPr>
                <w:color w:val="auto"/>
                <w:lang w:val="en-US" w:eastAsia="zh-CN"/>
              </w:rPr>
              <w:fldChar w:fldCharType="separate"/>
            </w:r>
            <w:r>
              <w:rPr>
                <w:rFonts w:hint="eastAsia"/>
                <w:color w:val="auto"/>
                <w:lang w:val="en-US" w:eastAsia="zh-CN"/>
              </w:rPr>
              <w:t>⑤</w:t>
            </w:r>
            <w:r>
              <w:rPr>
                <w:color w:val="auto"/>
                <w:lang w:val="en-US" w:eastAsia="zh-CN"/>
              </w:rPr>
              <w:fldChar w:fldCharType="end"/>
            </w:r>
          </w:p>
        </w:tc>
        <w:tc>
          <w:tcPr>
            <w:tcW w:w="1605" w:type="dxa"/>
            <w:noWrap w:val="0"/>
            <w:tcMar>
              <w:left w:w="28" w:type="dxa"/>
              <w:right w:w="28" w:type="dxa"/>
            </w:tcMar>
            <w:vAlign w:val="center"/>
          </w:tcPr>
          <w:p w14:paraId="7F85BC7D">
            <w:pPr>
              <w:pStyle w:val="22"/>
              <w:bidi w:val="0"/>
              <w:rPr>
                <w:color w:val="auto"/>
                <w:lang w:val="en-US" w:eastAsia="zh-CN"/>
              </w:rPr>
            </w:pPr>
            <w:r>
              <w:rPr>
                <w:color w:val="auto"/>
                <w:lang w:val="en-US" w:eastAsia="zh-CN"/>
              </w:rPr>
              <w:t>本项目建成后全厂排放量（固体废物产生量）</w:t>
            </w:r>
            <w:r>
              <w:rPr>
                <w:color w:val="auto"/>
                <w:lang w:val="en-US" w:eastAsia="zh-CN"/>
              </w:rPr>
              <w:fldChar w:fldCharType="begin"/>
            </w:r>
            <w:r>
              <w:rPr>
                <w:color w:val="auto"/>
                <w:lang w:val="en-US" w:eastAsia="zh-CN"/>
              </w:rPr>
              <w:instrText xml:space="preserve"> = 6 \* GB3 \* MERGEFORMAT </w:instrText>
            </w:r>
            <w:r>
              <w:rPr>
                <w:color w:val="auto"/>
                <w:lang w:val="en-US" w:eastAsia="zh-CN"/>
              </w:rPr>
              <w:fldChar w:fldCharType="separate"/>
            </w:r>
            <w:r>
              <w:rPr>
                <w:rFonts w:hint="eastAsia"/>
                <w:color w:val="auto"/>
                <w:lang w:val="en-US" w:eastAsia="zh-CN"/>
              </w:rPr>
              <w:t>⑥</w:t>
            </w:r>
            <w:r>
              <w:rPr>
                <w:color w:val="auto"/>
                <w:lang w:val="en-US" w:eastAsia="zh-CN"/>
              </w:rPr>
              <w:fldChar w:fldCharType="end"/>
            </w:r>
          </w:p>
        </w:tc>
        <w:tc>
          <w:tcPr>
            <w:tcW w:w="1561" w:type="dxa"/>
            <w:noWrap w:val="0"/>
            <w:tcMar>
              <w:left w:w="28" w:type="dxa"/>
              <w:right w:w="28" w:type="dxa"/>
            </w:tcMar>
            <w:vAlign w:val="center"/>
          </w:tcPr>
          <w:p w14:paraId="5E9E11AF">
            <w:pPr>
              <w:pStyle w:val="22"/>
              <w:bidi w:val="0"/>
              <w:rPr>
                <w:color w:val="auto"/>
                <w:lang w:val="en-US" w:eastAsia="zh-CN"/>
              </w:rPr>
            </w:pPr>
            <w:r>
              <w:rPr>
                <w:color w:val="auto"/>
                <w:lang w:val="en-US" w:eastAsia="zh-CN"/>
              </w:rPr>
              <w:t>变化量</w:t>
            </w:r>
            <w:r>
              <w:rPr>
                <w:color w:val="auto"/>
                <w:lang w:val="en-US" w:eastAsia="zh-CN"/>
              </w:rPr>
              <w:fldChar w:fldCharType="begin"/>
            </w:r>
            <w:r>
              <w:rPr>
                <w:color w:val="auto"/>
                <w:lang w:val="en-US" w:eastAsia="zh-CN"/>
              </w:rPr>
              <w:instrText xml:space="preserve"> = 7 \* GB3 \* MERGEFORMAT </w:instrText>
            </w:r>
            <w:r>
              <w:rPr>
                <w:color w:val="auto"/>
                <w:lang w:val="en-US" w:eastAsia="zh-CN"/>
              </w:rPr>
              <w:fldChar w:fldCharType="separate"/>
            </w:r>
            <w:r>
              <w:rPr>
                <w:rFonts w:hint="eastAsia"/>
                <w:color w:val="auto"/>
                <w:lang w:val="en-US" w:eastAsia="zh-CN"/>
              </w:rPr>
              <w:t>⑦</w:t>
            </w:r>
            <w:r>
              <w:rPr>
                <w:color w:val="auto"/>
                <w:lang w:val="en-US" w:eastAsia="zh-CN"/>
              </w:rPr>
              <w:fldChar w:fldCharType="end"/>
            </w:r>
          </w:p>
        </w:tc>
      </w:tr>
      <w:tr w14:paraId="45AC3A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restart"/>
            <w:noWrap w:val="0"/>
            <w:vAlign w:val="center"/>
          </w:tcPr>
          <w:p w14:paraId="60F4BD88">
            <w:pPr>
              <w:pStyle w:val="22"/>
              <w:bidi w:val="0"/>
              <w:rPr>
                <w:color w:val="auto"/>
              </w:rPr>
            </w:pPr>
            <w:r>
              <w:rPr>
                <w:color w:val="auto"/>
              </w:rPr>
              <w:t>废气</w:t>
            </w:r>
          </w:p>
        </w:tc>
        <w:tc>
          <w:tcPr>
            <w:tcW w:w="1941" w:type="dxa"/>
            <w:noWrap w:val="0"/>
            <w:vAlign w:val="center"/>
          </w:tcPr>
          <w:p w14:paraId="563D28C6">
            <w:pPr>
              <w:pStyle w:val="22"/>
              <w:bidi w:val="0"/>
              <w:rPr>
                <w:rFonts w:hint="eastAsia"/>
                <w:color w:val="auto"/>
              </w:rPr>
            </w:pPr>
            <w:r>
              <w:rPr>
                <w:rFonts w:hint="eastAsia"/>
                <w:color w:val="auto"/>
              </w:rPr>
              <w:t>颗粒物</w:t>
            </w:r>
          </w:p>
        </w:tc>
        <w:tc>
          <w:tcPr>
            <w:tcW w:w="1449" w:type="dxa"/>
            <w:noWrap w:val="0"/>
            <w:vAlign w:val="center"/>
          </w:tcPr>
          <w:p w14:paraId="4F699988">
            <w:pPr>
              <w:pStyle w:val="22"/>
              <w:bidi w:val="0"/>
              <w:rPr>
                <w:color w:val="auto"/>
                <w:lang w:val="en-US" w:eastAsia="zh-CN"/>
              </w:rPr>
            </w:pPr>
            <w:r>
              <w:rPr>
                <w:rFonts w:hint="eastAsia"/>
                <w:color w:val="auto"/>
                <w:lang w:val="en-US" w:eastAsia="zh-CN"/>
              </w:rPr>
              <w:t>/</w:t>
            </w:r>
          </w:p>
        </w:tc>
        <w:tc>
          <w:tcPr>
            <w:tcW w:w="1276" w:type="dxa"/>
            <w:noWrap w:val="0"/>
            <w:vAlign w:val="center"/>
          </w:tcPr>
          <w:p w14:paraId="0CB87378">
            <w:pPr>
              <w:pStyle w:val="22"/>
              <w:bidi w:val="0"/>
              <w:rPr>
                <w:color w:val="auto"/>
                <w:lang w:val="en-US" w:eastAsia="zh-CN"/>
              </w:rPr>
            </w:pPr>
            <w:r>
              <w:rPr>
                <w:rFonts w:hint="eastAsia"/>
                <w:color w:val="auto"/>
                <w:lang w:val="en-US" w:eastAsia="zh-CN"/>
              </w:rPr>
              <w:t>/</w:t>
            </w:r>
          </w:p>
        </w:tc>
        <w:tc>
          <w:tcPr>
            <w:tcW w:w="1701" w:type="dxa"/>
            <w:noWrap w:val="0"/>
            <w:vAlign w:val="center"/>
          </w:tcPr>
          <w:p w14:paraId="2C4314B8">
            <w:pPr>
              <w:pStyle w:val="22"/>
              <w:bidi w:val="0"/>
              <w:rPr>
                <w:color w:val="auto"/>
                <w:lang w:val="en-US" w:eastAsia="zh-CN"/>
              </w:rPr>
            </w:pPr>
            <w:r>
              <w:rPr>
                <w:rFonts w:hint="eastAsia"/>
                <w:color w:val="auto"/>
                <w:lang w:val="en-US" w:eastAsia="zh-CN"/>
              </w:rPr>
              <w:t>/</w:t>
            </w:r>
          </w:p>
        </w:tc>
        <w:tc>
          <w:tcPr>
            <w:tcW w:w="1559" w:type="dxa"/>
            <w:noWrap w:val="0"/>
            <w:vAlign w:val="center"/>
          </w:tcPr>
          <w:p w14:paraId="16A2A121">
            <w:pPr>
              <w:pStyle w:val="22"/>
              <w:bidi w:val="0"/>
              <w:rPr>
                <w:rFonts w:hint="default"/>
                <w:color w:val="auto"/>
                <w:lang w:val="en-US" w:eastAsia="zh-CN"/>
              </w:rPr>
            </w:pPr>
            <w:r>
              <w:rPr>
                <w:rFonts w:hint="eastAsia"/>
                <w:color w:val="auto"/>
                <w:lang w:val="en-US" w:eastAsia="zh-CN"/>
              </w:rPr>
              <w:t>1.308t/a</w:t>
            </w:r>
          </w:p>
        </w:tc>
        <w:tc>
          <w:tcPr>
            <w:tcW w:w="1380" w:type="dxa"/>
            <w:noWrap w:val="0"/>
            <w:vAlign w:val="center"/>
          </w:tcPr>
          <w:p w14:paraId="29798CC9">
            <w:pPr>
              <w:pStyle w:val="22"/>
              <w:bidi w:val="0"/>
              <w:rPr>
                <w:color w:val="auto"/>
                <w:lang w:val="en-US" w:eastAsia="zh-CN"/>
              </w:rPr>
            </w:pPr>
            <w:r>
              <w:rPr>
                <w:rFonts w:hint="eastAsia"/>
                <w:color w:val="auto"/>
                <w:lang w:val="en-US" w:eastAsia="zh-CN"/>
              </w:rPr>
              <w:t>/</w:t>
            </w:r>
          </w:p>
        </w:tc>
        <w:tc>
          <w:tcPr>
            <w:tcW w:w="1605" w:type="dxa"/>
            <w:noWrap w:val="0"/>
            <w:vAlign w:val="center"/>
          </w:tcPr>
          <w:p w14:paraId="3AF9419C">
            <w:pPr>
              <w:pStyle w:val="22"/>
              <w:bidi w:val="0"/>
              <w:ind w:firstLine="0" w:firstLineChars="0"/>
              <w:rPr>
                <w:rFonts w:hint="default"/>
                <w:color w:val="auto"/>
                <w:lang w:val="en-US" w:eastAsia="zh-CN"/>
              </w:rPr>
            </w:pPr>
            <w:r>
              <w:rPr>
                <w:rFonts w:hint="eastAsia"/>
                <w:color w:val="auto"/>
                <w:lang w:val="en-US" w:eastAsia="zh-CN"/>
              </w:rPr>
              <w:t>1.308t/a</w:t>
            </w:r>
          </w:p>
        </w:tc>
        <w:tc>
          <w:tcPr>
            <w:tcW w:w="1561" w:type="dxa"/>
            <w:noWrap w:val="0"/>
            <w:vAlign w:val="center"/>
          </w:tcPr>
          <w:p w14:paraId="2CB3B964">
            <w:pPr>
              <w:pStyle w:val="22"/>
              <w:bidi w:val="0"/>
              <w:rPr>
                <w:rFonts w:hint="default"/>
                <w:color w:val="auto"/>
                <w:lang w:val="en-US" w:eastAsia="zh-CN"/>
              </w:rPr>
            </w:pPr>
            <w:r>
              <w:rPr>
                <w:color w:val="auto"/>
              </w:rPr>
              <w:t>+</w:t>
            </w:r>
            <w:r>
              <w:rPr>
                <w:rFonts w:hint="eastAsia"/>
                <w:color w:val="auto"/>
                <w:lang w:val="en-US" w:eastAsia="zh-CN"/>
              </w:rPr>
              <w:t>1.308t/a</w:t>
            </w:r>
          </w:p>
        </w:tc>
      </w:tr>
      <w:tr w14:paraId="34DD53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25575F65">
            <w:pPr>
              <w:pStyle w:val="22"/>
              <w:bidi w:val="0"/>
              <w:rPr>
                <w:color w:val="auto"/>
              </w:rPr>
            </w:pPr>
          </w:p>
        </w:tc>
        <w:tc>
          <w:tcPr>
            <w:tcW w:w="1941" w:type="dxa"/>
            <w:noWrap w:val="0"/>
            <w:vAlign w:val="center"/>
          </w:tcPr>
          <w:p w14:paraId="0A5069BF">
            <w:pPr>
              <w:pStyle w:val="22"/>
              <w:bidi w:val="0"/>
              <w:rPr>
                <w:rFonts w:hint="eastAsia"/>
                <w:color w:val="auto"/>
              </w:rPr>
            </w:pPr>
            <w:r>
              <w:rPr>
                <w:rFonts w:hint="eastAsia"/>
                <w:color w:val="auto"/>
              </w:rPr>
              <w:t>非甲烷总烃</w:t>
            </w:r>
          </w:p>
        </w:tc>
        <w:tc>
          <w:tcPr>
            <w:tcW w:w="1449" w:type="dxa"/>
            <w:noWrap w:val="0"/>
            <w:vAlign w:val="center"/>
          </w:tcPr>
          <w:p w14:paraId="5B4140D6">
            <w:pPr>
              <w:pStyle w:val="22"/>
              <w:bidi w:val="0"/>
              <w:rPr>
                <w:rFonts w:hint="eastAsia"/>
                <w:color w:val="auto"/>
                <w:lang w:val="en-US" w:eastAsia="zh-CN"/>
              </w:rPr>
            </w:pPr>
            <w:r>
              <w:rPr>
                <w:rFonts w:hint="eastAsia"/>
                <w:color w:val="auto"/>
                <w:lang w:val="en-US" w:eastAsia="zh-CN"/>
              </w:rPr>
              <w:t>/</w:t>
            </w:r>
          </w:p>
        </w:tc>
        <w:tc>
          <w:tcPr>
            <w:tcW w:w="1276" w:type="dxa"/>
            <w:noWrap w:val="0"/>
            <w:vAlign w:val="center"/>
          </w:tcPr>
          <w:p w14:paraId="0D420862">
            <w:pPr>
              <w:pStyle w:val="22"/>
              <w:bidi w:val="0"/>
              <w:rPr>
                <w:rFonts w:hint="eastAsia"/>
                <w:color w:val="auto"/>
                <w:lang w:val="en-US" w:eastAsia="zh-CN"/>
              </w:rPr>
            </w:pPr>
            <w:r>
              <w:rPr>
                <w:rFonts w:hint="eastAsia"/>
                <w:color w:val="auto"/>
                <w:lang w:val="en-US" w:eastAsia="zh-CN"/>
              </w:rPr>
              <w:t>/</w:t>
            </w:r>
          </w:p>
        </w:tc>
        <w:tc>
          <w:tcPr>
            <w:tcW w:w="1701" w:type="dxa"/>
            <w:noWrap w:val="0"/>
            <w:vAlign w:val="center"/>
          </w:tcPr>
          <w:p w14:paraId="7E63B347">
            <w:pPr>
              <w:pStyle w:val="22"/>
              <w:bidi w:val="0"/>
              <w:rPr>
                <w:rFonts w:hint="eastAsia"/>
                <w:color w:val="auto"/>
                <w:lang w:val="en-US" w:eastAsia="zh-CN"/>
              </w:rPr>
            </w:pPr>
            <w:r>
              <w:rPr>
                <w:rFonts w:hint="eastAsia"/>
                <w:color w:val="auto"/>
                <w:lang w:val="en-US" w:eastAsia="zh-CN"/>
              </w:rPr>
              <w:t>/</w:t>
            </w:r>
          </w:p>
        </w:tc>
        <w:tc>
          <w:tcPr>
            <w:tcW w:w="1559" w:type="dxa"/>
            <w:noWrap w:val="0"/>
            <w:vAlign w:val="center"/>
          </w:tcPr>
          <w:p w14:paraId="096F73D3">
            <w:pPr>
              <w:pStyle w:val="22"/>
              <w:bidi w:val="0"/>
              <w:rPr>
                <w:rFonts w:hint="default"/>
                <w:color w:val="auto"/>
                <w:lang w:val="en-US" w:eastAsia="zh-CN"/>
              </w:rPr>
            </w:pPr>
            <w:r>
              <w:rPr>
                <w:rFonts w:hint="eastAsia"/>
                <w:color w:val="auto"/>
                <w:lang w:val="en-US" w:eastAsia="zh-CN"/>
              </w:rPr>
              <w:t>0.57t/a</w:t>
            </w:r>
          </w:p>
        </w:tc>
        <w:tc>
          <w:tcPr>
            <w:tcW w:w="1380" w:type="dxa"/>
            <w:noWrap w:val="0"/>
            <w:vAlign w:val="center"/>
          </w:tcPr>
          <w:p w14:paraId="07B9732A">
            <w:pPr>
              <w:pStyle w:val="22"/>
              <w:bidi w:val="0"/>
              <w:rPr>
                <w:rFonts w:hint="eastAsia"/>
                <w:color w:val="auto"/>
                <w:lang w:val="en-US" w:eastAsia="zh-CN"/>
              </w:rPr>
            </w:pPr>
            <w:r>
              <w:rPr>
                <w:rFonts w:hint="eastAsia"/>
                <w:color w:val="auto"/>
                <w:lang w:val="en-US" w:eastAsia="zh-CN"/>
              </w:rPr>
              <w:t>/</w:t>
            </w:r>
          </w:p>
        </w:tc>
        <w:tc>
          <w:tcPr>
            <w:tcW w:w="1605" w:type="dxa"/>
            <w:noWrap w:val="0"/>
            <w:vAlign w:val="center"/>
          </w:tcPr>
          <w:p w14:paraId="2B4C3710">
            <w:pPr>
              <w:pStyle w:val="22"/>
              <w:bidi w:val="0"/>
              <w:ind w:firstLine="0" w:firstLineChars="0"/>
              <w:rPr>
                <w:rFonts w:hint="default"/>
                <w:color w:val="auto"/>
                <w:lang w:val="en-US" w:eastAsia="zh-CN"/>
              </w:rPr>
            </w:pPr>
            <w:r>
              <w:rPr>
                <w:rFonts w:hint="eastAsia"/>
                <w:color w:val="auto"/>
                <w:lang w:val="en-US" w:eastAsia="zh-CN"/>
              </w:rPr>
              <w:t>0.57t/a</w:t>
            </w:r>
          </w:p>
        </w:tc>
        <w:tc>
          <w:tcPr>
            <w:tcW w:w="1561" w:type="dxa"/>
            <w:noWrap w:val="0"/>
            <w:vAlign w:val="center"/>
          </w:tcPr>
          <w:p w14:paraId="4E0B2661">
            <w:pPr>
              <w:pStyle w:val="22"/>
              <w:bidi w:val="0"/>
              <w:rPr>
                <w:rFonts w:hint="default"/>
                <w:color w:val="auto"/>
                <w:lang w:val="en-US" w:eastAsia="zh-CN"/>
              </w:rPr>
            </w:pPr>
            <w:r>
              <w:rPr>
                <w:color w:val="auto"/>
              </w:rPr>
              <w:t>+</w:t>
            </w:r>
            <w:r>
              <w:rPr>
                <w:rFonts w:hint="eastAsia"/>
                <w:color w:val="auto"/>
                <w:lang w:val="en-US" w:eastAsia="zh-CN"/>
              </w:rPr>
              <w:t>0.57t/a</w:t>
            </w:r>
          </w:p>
        </w:tc>
      </w:tr>
      <w:tr w14:paraId="01C5B1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restart"/>
            <w:noWrap w:val="0"/>
            <w:vAlign w:val="center"/>
          </w:tcPr>
          <w:p w14:paraId="04A39D73">
            <w:pPr>
              <w:pStyle w:val="22"/>
              <w:bidi w:val="0"/>
              <w:rPr>
                <w:color w:val="auto"/>
              </w:rPr>
            </w:pPr>
            <w:r>
              <w:rPr>
                <w:color w:val="auto"/>
              </w:rPr>
              <w:t>废水</w:t>
            </w:r>
          </w:p>
        </w:tc>
        <w:tc>
          <w:tcPr>
            <w:tcW w:w="1941" w:type="dxa"/>
            <w:noWrap w:val="0"/>
            <w:vAlign w:val="center"/>
          </w:tcPr>
          <w:p w14:paraId="7C1B61D1">
            <w:pPr>
              <w:pStyle w:val="22"/>
              <w:bidi w:val="0"/>
              <w:rPr>
                <w:rFonts w:hint="eastAsia"/>
                <w:color w:val="auto"/>
                <w:lang w:eastAsia="zh-CN"/>
              </w:rPr>
            </w:pPr>
            <w:r>
              <w:rPr>
                <w:rFonts w:hint="eastAsia"/>
                <w:color w:val="auto"/>
                <w:lang w:eastAsia="zh-CN"/>
              </w:rPr>
              <w:t>废水量</w:t>
            </w:r>
          </w:p>
        </w:tc>
        <w:tc>
          <w:tcPr>
            <w:tcW w:w="1449" w:type="dxa"/>
            <w:noWrap w:val="0"/>
            <w:vAlign w:val="center"/>
          </w:tcPr>
          <w:p w14:paraId="087839A3">
            <w:pPr>
              <w:pStyle w:val="22"/>
              <w:bidi w:val="0"/>
              <w:rPr>
                <w:rFonts w:hint="eastAsia"/>
                <w:color w:val="auto"/>
                <w:lang w:val="en-US" w:eastAsia="zh-CN"/>
              </w:rPr>
            </w:pPr>
            <w:r>
              <w:rPr>
                <w:rFonts w:hint="eastAsia"/>
                <w:color w:val="auto"/>
                <w:lang w:val="en-US" w:eastAsia="zh-CN"/>
              </w:rPr>
              <w:t>/</w:t>
            </w:r>
          </w:p>
        </w:tc>
        <w:tc>
          <w:tcPr>
            <w:tcW w:w="1276" w:type="dxa"/>
            <w:noWrap w:val="0"/>
            <w:vAlign w:val="center"/>
          </w:tcPr>
          <w:p w14:paraId="1E453FF6">
            <w:pPr>
              <w:pStyle w:val="22"/>
              <w:bidi w:val="0"/>
              <w:rPr>
                <w:rFonts w:hint="eastAsia"/>
                <w:color w:val="auto"/>
                <w:lang w:val="en-US" w:eastAsia="zh-CN"/>
              </w:rPr>
            </w:pPr>
            <w:r>
              <w:rPr>
                <w:rFonts w:hint="eastAsia"/>
                <w:color w:val="auto"/>
                <w:lang w:val="en-US" w:eastAsia="zh-CN"/>
              </w:rPr>
              <w:t>/</w:t>
            </w:r>
          </w:p>
        </w:tc>
        <w:tc>
          <w:tcPr>
            <w:tcW w:w="1701" w:type="dxa"/>
            <w:noWrap w:val="0"/>
            <w:vAlign w:val="center"/>
          </w:tcPr>
          <w:p w14:paraId="1EE9EBA9">
            <w:pPr>
              <w:pStyle w:val="22"/>
              <w:bidi w:val="0"/>
              <w:rPr>
                <w:rFonts w:hint="eastAsia"/>
                <w:color w:val="auto"/>
                <w:lang w:val="en-US" w:eastAsia="zh-CN"/>
              </w:rPr>
            </w:pPr>
            <w:r>
              <w:rPr>
                <w:rFonts w:hint="eastAsia"/>
                <w:color w:val="auto"/>
                <w:lang w:val="en-US" w:eastAsia="zh-CN"/>
              </w:rPr>
              <w:t>/</w:t>
            </w:r>
          </w:p>
        </w:tc>
        <w:tc>
          <w:tcPr>
            <w:tcW w:w="1559" w:type="dxa"/>
            <w:noWrap w:val="0"/>
            <w:vAlign w:val="center"/>
          </w:tcPr>
          <w:p w14:paraId="75D3918C">
            <w:pPr>
              <w:pStyle w:val="22"/>
              <w:bidi w:val="0"/>
              <w:rPr>
                <w:rFonts w:hint="default"/>
                <w:color w:val="auto"/>
                <w:lang w:val="en-US" w:eastAsia="zh-CN"/>
              </w:rPr>
            </w:pPr>
            <w:r>
              <w:rPr>
                <w:rFonts w:hint="eastAsia"/>
                <w:color w:val="auto"/>
                <w:lang w:val="en-US" w:eastAsia="zh-CN"/>
              </w:rPr>
              <w:t>646t/a</w:t>
            </w:r>
          </w:p>
        </w:tc>
        <w:tc>
          <w:tcPr>
            <w:tcW w:w="1380" w:type="dxa"/>
            <w:noWrap w:val="0"/>
            <w:vAlign w:val="center"/>
          </w:tcPr>
          <w:p w14:paraId="5E0DF021">
            <w:pPr>
              <w:pStyle w:val="22"/>
              <w:bidi w:val="0"/>
              <w:rPr>
                <w:rFonts w:hint="eastAsia"/>
                <w:color w:val="auto"/>
                <w:lang w:val="en-US" w:eastAsia="zh-CN"/>
              </w:rPr>
            </w:pPr>
            <w:r>
              <w:rPr>
                <w:rFonts w:hint="eastAsia"/>
                <w:color w:val="auto"/>
                <w:lang w:val="en-US" w:eastAsia="zh-CN"/>
              </w:rPr>
              <w:t>/</w:t>
            </w:r>
          </w:p>
        </w:tc>
        <w:tc>
          <w:tcPr>
            <w:tcW w:w="1605" w:type="dxa"/>
            <w:noWrap w:val="0"/>
            <w:vAlign w:val="center"/>
          </w:tcPr>
          <w:p w14:paraId="55757243">
            <w:pPr>
              <w:pStyle w:val="22"/>
              <w:bidi w:val="0"/>
              <w:ind w:firstLine="0" w:firstLineChars="0"/>
              <w:rPr>
                <w:rFonts w:hint="eastAsia"/>
                <w:color w:val="auto"/>
                <w:lang w:val="en-US" w:eastAsia="zh-CN"/>
              </w:rPr>
            </w:pPr>
            <w:r>
              <w:rPr>
                <w:rFonts w:hint="eastAsia"/>
                <w:color w:val="auto"/>
                <w:lang w:val="en-US" w:eastAsia="zh-CN"/>
              </w:rPr>
              <w:t>646t/a</w:t>
            </w:r>
          </w:p>
        </w:tc>
        <w:tc>
          <w:tcPr>
            <w:tcW w:w="1561" w:type="dxa"/>
            <w:noWrap w:val="0"/>
            <w:vAlign w:val="center"/>
          </w:tcPr>
          <w:p w14:paraId="64A57972">
            <w:pPr>
              <w:pStyle w:val="22"/>
              <w:bidi w:val="0"/>
              <w:rPr>
                <w:color w:val="auto"/>
              </w:rPr>
            </w:pPr>
            <w:r>
              <w:rPr>
                <w:color w:val="auto"/>
              </w:rPr>
              <w:t>+</w:t>
            </w:r>
            <w:r>
              <w:rPr>
                <w:rFonts w:hint="eastAsia"/>
                <w:color w:val="auto"/>
                <w:lang w:val="en-US" w:eastAsia="zh-CN"/>
              </w:rPr>
              <w:t>646t/a</w:t>
            </w:r>
          </w:p>
        </w:tc>
      </w:tr>
      <w:tr w14:paraId="224EA3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6DE63880">
            <w:pPr>
              <w:pStyle w:val="22"/>
              <w:bidi w:val="0"/>
              <w:rPr>
                <w:color w:val="auto"/>
              </w:rPr>
            </w:pPr>
          </w:p>
        </w:tc>
        <w:tc>
          <w:tcPr>
            <w:tcW w:w="1941" w:type="dxa"/>
            <w:noWrap w:val="0"/>
            <w:vAlign w:val="center"/>
          </w:tcPr>
          <w:p w14:paraId="4816661B">
            <w:pPr>
              <w:pStyle w:val="22"/>
              <w:bidi w:val="0"/>
              <w:rPr>
                <w:color w:val="auto"/>
              </w:rPr>
            </w:pPr>
            <w:r>
              <w:rPr>
                <w:color w:val="auto"/>
              </w:rPr>
              <w:t>COD</w:t>
            </w:r>
          </w:p>
        </w:tc>
        <w:tc>
          <w:tcPr>
            <w:tcW w:w="1449" w:type="dxa"/>
            <w:noWrap w:val="0"/>
            <w:vAlign w:val="center"/>
          </w:tcPr>
          <w:p w14:paraId="283A90A5">
            <w:pPr>
              <w:pStyle w:val="22"/>
              <w:bidi w:val="0"/>
              <w:rPr>
                <w:color w:val="auto"/>
              </w:rPr>
            </w:pPr>
            <w:r>
              <w:rPr>
                <w:rFonts w:hint="eastAsia"/>
                <w:color w:val="auto"/>
                <w:lang w:val="en-US" w:eastAsia="zh-CN"/>
              </w:rPr>
              <w:t>/</w:t>
            </w:r>
          </w:p>
        </w:tc>
        <w:tc>
          <w:tcPr>
            <w:tcW w:w="1276" w:type="dxa"/>
            <w:noWrap w:val="0"/>
            <w:vAlign w:val="center"/>
          </w:tcPr>
          <w:p w14:paraId="2F55CDD5">
            <w:pPr>
              <w:pStyle w:val="22"/>
              <w:bidi w:val="0"/>
              <w:rPr>
                <w:color w:val="auto"/>
              </w:rPr>
            </w:pPr>
            <w:r>
              <w:rPr>
                <w:rFonts w:hint="eastAsia"/>
                <w:color w:val="auto"/>
                <w:lang w:val="en-US" w:eastAsia="zh-CN"/>
              </w:rPr>
              <w:t>/</w:t>
            </w:r>
          </w:p>
        </w:tc>
        <w:tc>
          <w:tcPr>
            <w:tcW w:w="1701" w:type="dxa"/>
            <w:noWrap w:val="0"/>
            <w:vAlign w:val="center"/>
          </w:tcPr>
          <w:p w14:paraId="65364B8B">
            <w:pPr>
              <w:pStyle w:val="22"/>
              <w:bidi w:val="0"/>
              <w:rPr>
                <w:color w:val="auto"/>
              </w:rPr>
            </w:pPr>
            <w:r>
              <w:rPr>
                <w:rFonts w:hint="eastAsia"/>
                <w:color w:val="auto"/>
                <w:lang w:val="en-US" w:eastAsia="zh-CN"/>
              </w:rPr>
              <w:t>/</w:t>
            </w:r>
          </w:p>
        </w:tc>
        <w:tc>
          <w:tcPr>
            <w:tcW w:w="1559" w:type="dxa"/>
            <w:noWrap w:val="0"/>
            <w:vAlign w:val="center"/>
          </w:tcPr>
          <w:p w14:paraId="44EFF319">
            <w:pPr>
              <w:pStyle w:val="22"/>
              <w:bidi w:val="0"/>
              <w:rPr>
                <w:rFonts w:hint="default"/>
                <w:color w:val="auto"/>
                <w:lang w:val="en-US" w:eastAsia="zh-CN"/>
              </w:rPr>
            </w:pPr>
            <w:r>
              <w:rPr>
                <w:rFonts w:hint="eastAsia"/>
                <w:color w:val="auto"/>
                <w:lang w:val="en-US" w:eastAsia="zh-CN"/>
              </w:rPr>
              <w:t>0.22t/a</w:t>
            </w:r>
          </w:p>
        </w:tc>
        <w:tc>
          <w:tcPr>
            <w:tcW w:w="1380" w:type="dxa"/>
            <w:noWrap w:val="0"/>
            <w:vAlign w:val="center"/>
          </w:tcPr>
          <w:p w14:paraId="39F6757C">
            <w:pPr>
              <w:pStyle w:val="22"/>
              <w:bidi w:val="0"/>
              <w:rPr>
                <w:color w:val="auto"/>
              </w:rPr>
            </w:pPr>
            <w:r>
              <w:rPr>
                <w:rFonts w:hint="eastAsia"/>
                <w:color w:val="auto"/>
                <w:lang w:val="en-US" w:eastAsia="zh-CN"/>
              </w:rPr>
              <w:t>/</w:t>
            </w:r>
          </w:p>
        </w:tc>
        <w:tc>
          <w:tcPr>
            <w:tcW w:w="1605" w:type="dxa"/>
            <w:noWrap w:val="0"/>
            <w:vAlign w:val="center"/>
          </w:tcPr>
          <w:p w14:paraId="19321402">
            <w:pPr>
              <w:pStyle w:val="22"/>
              <w:bidi w:val="0"/>
              <w:ind w:firstLine="0" w:firstLineChars="0"/>
              <w:rPr>
                <w:color w:val="auto"/>
              </w:rPr>
            </w:pPr>
            <w:r>
              <w:rPr>
                <w:rFonts w:hint="eastAsia"/>
                <w:color w:val="auto"/>
                <w:lang w:val="en-US" w:eastAsia="zh-CN"/>
              </w:rPr>
              <w:t>0.22t/a</w:t>
            </w:r>
          </w:p>
        </w:tc>
        <w:tc>
          <w:tcPr>
            <w:tcW w:w="1561" w:type="dxa"/>
            <w:noWrap w:val="0"/>
            <w:vAlign w:val="center"/>
          </w:tcPr>
          <w:p w14:paraId="2FB429B5">
            <w:pPr>
              <w:pStyle w:val="22"/>
              <w:bidi w:val="0"/>
              <w:rPr>
                <w:color w:val="auto"/>
              </w:rPr>
            </w:pPr>
            <w:r>
              <w:rPr>
                <w:color w:val="auto"/>
              </w:rPr>
              <w:t>+</w:t>
            </w:r>
            <w:r>
              <w:rPr>
                <w:rFonts w:hint="eastAsia"/>
                <w:color w:val="auto"/>
                <w:lang w:val="en-US" w:eastAsia="zh-CN"/>
              </w:rPr>
              <w:t>0.22t/a</w:t>
            </w:r>
          </w:p>
        </w:tc>
      </w:tr>
      <w:tr w14:paraId="63B5D8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00DB9D3E">
            <w:pPr>
              <w:pStyle w:val="22"/>
              <w:bidi w:val="0"/>
              <w:rPr>
                <w:color w:val="auto"/>
              </w:rPr>
            </w:pPr>
          </w:p>
        </w:tc>
        <w:tc>
          <w:tcPr>
            <w:tcW w:w="1941" w:type="dxa"/>
            <w:noWrap w:val="0"/>
            <w:vAlign w:val="center"/>
          </w:tcPr>
          <w:p w14:paraId="425DAB0B">
            <w:pPr>
              <w:pStyle w:val="22"/>
              <w:bidi w:val="0"/>
              <w:rPr>
                <w:color w:val="auto"/>
              </w:rPr>
            </w:pPr>
            <w:r>
              <w:rPr>
                <w:color w:val="auto"/>
              </w:rPr>
              <w:t>BOD</w:t>
            </w:r>
            <w:r>
              <w:rPr>
                <w:color w:val="auto"/>
                <w:vertAlign w:val="subscript"/>
              </w:rPr>
              <w:t>5</w:t>
            </w:r>
          </w:p>
        </w:tc>
        <w:tc>
          <w:tcPr>
            <w:tcW w:w="1449" w:type="dxa"/>
            <w:noWrap w:val="0"/>
            <w:vAlign w:val="center"/>
          </w:tcPr>
          <w:p w14:paraId="1C44E618">
            <w:pPr>
              <w:pStyle w:val="22"/>
              <w:bidi w:val="0"/>
              <w:rPr>
                <w:color w:val="auto"/>
              </w:rPr>
            </w:pPr>
            <w:r>
              <w:rPr>
                <w:rFonts w:hint="eastAsia"/>
                <w:color w:val="auto"/>
                <w:lang w:val="en-US" w:eastAsia="zh-CN"/>
              </w:rPr>
              <w:t>/</w:t>
            </w:r>
          </w:p>
        </w:tc>
        <w:tc>
          <w:tcPr>
            <w:tcW w:w="1276" w:type="dxa"/>
            <w:noWrap w:val="0"/>
            <w:vAlign w:val="center"/>
          </w:tcPr>
          <w:p w14:paraId="6A58BB99">
            <w:pPr>
              <w:pStyle w:val="22"/>
              <w:bidi w:val="0"/>
              <w:rPr>
                <w:color w:val="auto"/>
              </w:rPr>
            </w:pPr>
            <w:r>
              <w:rPr>
                <w:rFonts w:hint="eastAsia"/>
                <w:color w:val="auto"/>
                <w:lang w:val="en-US" w:eastAsia="zh-CN"/>
              </w:rPr>
              <w:t>/</w:t>
            </w:r>
          </w:p>
        </w:tc>
        <w:tc>
          <w:tcPr>
            <w:tcW w:w="1701" w:type="dxa"/>
            <w:noWrap w:val="0"/>
            <w:vAlign w:val="center"/>
          </w:tcPr>
          <w:p w14:paraId="28E1A32D">
            <w:pPr>
              <w:pStyle w:val="22"/>
              <w:bidi w:val="0"/>
              <w:rPr>
                <w:color w:val="auto"/>
              </w:rPr>
            </w:pPr>
            <w:r>
              <w:rPr>
                <w:rFonts w:hint="eastAsia"/>
                <w:color w:val="auto"/>
                <w:lang w:val="en-US" w:eastAsia="zh-CN"/>
              </w:rPr>
              <w:t>/</w:t>
            </w:r>
          </w:p>
        </w:tc>
        <w:tc>
          <w:tcPr>
            <w:tcW w:w="1559" w:type="dxa"/>
            <w:noWrap w:val="0"/>
            <w:vAlign w:val="center"/>
          </w:tcPr>
          <w:p w14:paraId="341A7597">
            <w:pPr>
              <w:pStyle w:val="22"/>
              <w:bidi w:val="0"/>
              <w:rPr>
                <w:rFonts w:hint="default"/>
                <w:color w:val="auto"/>
                <w:lang w:val="en-US" w:eastAsia="zh-CN"/>
              </w:rPr>
            </w:pPr>
            <w:r>
              <w:rPr>
                <w:rFonts w:hint="eastAsia"/>
                <w:color w:val="auto"/>
                <w:lang w:val="en-US" w:eastAsia="zh-CN"/>
              </w:rPr>
              <w:t>0.103t/a</w:t>
            </w:r>
          </w:p>
        </w:tc>
        <w:tc>
          <w:tcPr>
            <w:tcW w:w="1380" w:type="dxa"/>
            <w:noWrap w:val="0"/>
            <w:vAlign w:val="center"/>
          </w:tcPr>
          <w:p w14:paraId="63A9E6B4">
            <w:pPr>
              <w:pStyle w:val="22"/>
              <w:bidi w:val="0"/>
              <w:rPr>
                <w:color w:val="auto"/>
              </w:rPr>
            </w:pPr>
            <w:r>
              <w:rPr>
                <w:rFonts w:hint="eastAsia"/>
                <w:color w:val="auto"/>
                <w:lang w:val="en-US" w:eastAsia="zh-CN"/>
              </w:rPr>
              <w:t>/</w:t>
            </w:r>
          </w:p>
        </w:tc>
        <w:tc>
          <w:tcPr>
            <w:tcW w:w="1605" w:type="dxa"/>
            <w:noWrap w:val="0"/>
            <w:vAlign w:val="center"/>
          </w:tcPr>
          <w:p w14:paraId="53FFBB8F">
            <w:pPr>
              <w:pStyle w:val="22"/>
              <w:bidi w:val="0"/>
              <w:ind w:firstLine="0" w:firstLineChars="0"/>
              <w:rPr>
                <w:color w:val="auto"/>
              </w:rPr>
            </w:pPr>
            <w:r>
              <w:rPr>
                <w:rFonts w:hint="eastAsia"/>
                <w:color w:val="auto"/>
                <w:lang w:val="en-US" w:eastAsia="zh-CN"/>
              </w:rPr>
              <w:t>0.103t/a</w:t>
            </w:r>
          </w:p>
        </w:tc>
        <w:tc>
          <w:tcPr>
            <w:tcW w:w="1561" w:type="dxa"/>
            <w:noWrap w:val="0"/>
            <w:vAlign w:val="center"/>
          </w:tcPr>
          <w:p w14:paraId="2A480DCC">
            <w:pPr>
              <w:pStyle w:val="22"/>
              <w:bidi w:val="0"/>
              <w:rPr>
                <w:color w:val="auto"/>
              </w:rPr>
            </w:pPr>
            <w:r>
              <w:rPr>
                <w:color w:val="auto"/>
              </w:rPr>
              <w:t>+</w:t>
            </w:r>
            <w:r>
              <w:rPr>
                <w:rFonts w:hint="eastAsia"/>
                <w:color w:val="auto"/>
                <w:lang w:val="en-US" w:eastAsia="zh-CN"/>
              </w:rPr>
              <w:t>0.103t/a</w:t>
            </w:r>
          </w:p>
        </w:tc>
      </w:tr>
      <w:tr w14:paraId="104C98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6E8244EF">
            <w:pPr>
              <w:pStyle w:val="22"/>
              <w:bidi w:val="0"/>
              <w:rPr>
                <w:color w:val="auto"/>
              </w:rPr>
            </w:pPr>
          </w:p>
        </w:tc>
        <w:tc>
          <w:tcPr>
            <w:tcW w:w="1941" w:type="dxa"/>
            <w:noWrap w:val="0"/>
            <w:vAlign w:val="center"/>
          </w:tcPr>
          <w:p w14:paraId="489B59E6">
            <w:pPr>
              <w:pStyle w:val="22"/>
              <w:bidi w:val="0"/>
              <w:rPr>
                <w:color w:val="auto"/>
              </w:rPr>
            </w:pPr>
            <w:r>
              <w:rPr>
                <w:color w:val="auto"/>
              </w:rPr>
              <w:t>SS</w:t>
            </w:r>
          </w:p>
        </w:tc>
        <w:tc>
          <w:tcPr>
            <w:tcW w:w="1449" w:type="dxa"/>
            <w:noWrap w:val="0"/>
            <w:vAlign w:val="center"/>
          </w:tcPr>
          <w:p w14:paraId="2F2339F4">
            <w:pPr>
              <w:pStyle w:val="22"/>
              <w:bidi w:val="0"/>
              <w:rPr>
                <w:color w:val="auto"/>
              </w:rPr>
            </w:pPr>
            <w:r>
              <w:rPr>
                <w:rFonts w:hint="eastAsia"/>
                <w:color w:val="auto"/>
                <w:lang w:val="en-US" w:eastAsia="zh-CN"/>
              </w:rPr>
              <w:t>/</w:t>
            </w:r>
          </w:p>
        </w:tc>
        <w:tc>
          <w:tcPr>
            <w:tcW w:w="1276" w:type="dxa"/>
            <w:noWrap w:val="0"/>
            <w:vAlign w:val="center"/>
          </w:tcPr>
          <w:p w14:paraId="478EF2A5">
            <w:pPr>
              <w:pStyle w:val="22"/>
              <w:bidi w:val="0"/>
              <w:rPr>
                <w:color w:val="auto"/>
              </w:rPr>
            </w:pPr>
            <w:r>
              <w:rPr>
                <w:rFonts w:hint="eastAsia"/>
                <w:color w:val="auto"/>
                <w:lang w:val="en-US" w:eastAsia="zh-CN"/>
              </w:rPr>
              <w:t>/</w:t>
            </w:r>
          </w:p>
        </w:tc>
        <w:tc>
          <w:tcPr>
            <w:tcW w:w="1701" w:type="dxa"/>
            <w:noWrap w:val="0"/>
            <w:vAlign w:val="center"/>
          </w:tcPr>
          <w:p w14:paraId="7E9329BE">
            <w:pPr>
              <w:pStyle w:val="22"/>
              <w:bidi w:val="0"/>
              <w:rPr>
                <w:color w:val="auto"/>
              </w:rPr>
            </w:pPr>
            <w:r>
              <w:rPr>
                <w:rFonts w:hint="eastAsia"/>
                <w:color w:val="auto"/>
                <w:lang w:val="en-US" w:eastAsia="zh-CN"/>
              </w:rPr>
              <w:t>/</w:t>
            </w:r>
          </w:p>
        </w:tc>
        <w:tc>
          <w:tcPr>
            <w:tcW w:w="1559" w:type="dxa"/>
            <w:noWrap w:val="0"/>
            <w:vAlign w:val="center"/>
          </w:tcPr>
          <w:p w14:paraId="461F7597">
            <w:pPr>
              <w:pStyle w:val="22"/>
              <w:bidi w:val="0"/>
              <w:rPr>
                <w:rFonts w:hint="default"/>
                <w:color w:val="auto"/>
                <w:lang w:val="en-US" w:eastAsia="zh-CN"/>
              </w:rPr>
            </w:pPr>
            <w:r>
              <w:rPr>
                <w:rFonts w:hint="eastAsia"/>
                <w:color w:val="auto"/>
                <w:lang w:val="en-US" w:eastAsia="zh-CN"/>
              </w:rPr>
              <w:t>0.129t/a</w:t>
            </w:r>
          </w:p>
        </w:tc>
        <w:tc>
          <w:tcPr>
            <w:tcW w:w="1380" w:type="dxa"/>
            <w:noWrap w:val="0"/>
            <w:vAlign w:val="center"/>
          </w:tcPr>
          <w:p w14:paraId="21911EEB">
            <w:pPr>
              <w:pStyle w:val="22"/>
              <w:bidi w:val="0"/>
              <w:rPr>
                <w:color w:val="auto"/>
              </w:rPr>
            </w:pPr>
            <w:r>
              <w:rPr>
                <w:rFonts w:hint="eastAsia"/>
                <w:color w:val="auto"/>
                <w:lang w:val="en-US" w:eastAsia="zh-CN"/>
              </w:rPr>
              <w:t>/</w:t>
            </w:r>
          </w:p>
        </w:tc>
        <w:tc>
          <w:tcPr>
            <w:tcW w:w="1605" w:type="dxa"/>
            <w:noWrap w:val="0"/>
            <w:vAlign w:val="center"/>
          </w:tcPr>
          <w:p w14:paraId="22321508">
            <w:pPr>
              <w:pStyle w:val="22"/>
              <w:bidi w:val="0"/>
              <w:ind w:firstLine="0" w:firstLineChars="0"/>
              <w:rPr>
                <w:rFonts w:hint="default"/>
                <w:color w:val="auto"/>
                <w:lang w:val="en-US"/>
              </w:rPr>
            </w:pPr>
            <w:r>
              <w:rPr>
                <w:rFonts w:hint="eastAsia"/>
                <w:color w:val="auto"/>
                <w:lang w:val="en-US" w:eastAsia="zh-CN"/>
              </w:rPr>
              <w:t>0.129t/a</w:t>
            </w:r>
          </w:p>
        </w:tc>
        <w:tc>
          <w:tcPr>
            <w:tcW w:w="1561" w:type="dxa"/>
            <w:noWrap w:val="0"/>
            <w:vAlign w:val="center"/>
          </w:tcPr>
          <w:p w14:paraId="2362C5A7">
            <w:pPr>
              <w:pStyle w:val="22"/>
              <w:bidi w:val="0"/>
              <w:rPr>
                <w:rFonts w:hint="default"/>
                <w:b/>
                <w:bCs/>
                <w:color w:val="auto"/>
                <w:lang w:val="en-US"/>
              </w:rPr>
            </w:pPr>
            <w:r>
              <w:rPr>
                <w:color w:val="auto"/>
              </w:rPr>
              <w:t>+</w:t>
            </w:r>
            <w:r>
              <w:rPr>
                <w:rFonts w:hint="eastAsia"/>
                <w:color w:val="auto"/>
                <w:lang w:val="en-US" w:eastAsia="zh-CN"/>
              </w:rPr>
              <w:t>0.129t/a</w:t>
            </w:r>
          </w:p>
        </w:tc>
      </w:tr>
      <w:tr w14:paraId="21D6F9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60B33D46">
            <w:pPr>
              <w:pStyle w:val="22"/>
              <w:bidi w:val="0"/>
              <w:rPr>
                <w:color w:val="auto"/>
              </w:rPr>
            </w:pPr>
          </w:p>
        </w:tc>
        <w:tc>
          <w:tcPr>
            <w:tcW w:w="1941" w:type="dxa"/>
            <w:noWrap w:val="0"/>
            <w:vAlign w:val="center"/>
          </w:tcPr>
          <w:p w14:paraId="560955AF">
            <w:pPr>
              <w:pStyle w:val="22"/>
              <w:bidi w:val="0"/>
              <w:rPr>
                <w:color w:val="auto"/>
              </w:rPr>
            </w:pPr>
            <w:r>
              <w:rPr>
                <w:color w:val="auto"/>
              </w:rPr>
              <w:t>NH</w:t>
            </w:r>
            <w:r>
              <w:rPr>
                <w:color w:val="auto"/>
                <w:vertAlign w:val="subscript"/>
              </w:rPr>
              <w:t>3</w:t>
            </w:r>
            <w:r>
              <w:rPr>
                <w:color w:val="auto"/>
              </w:rPr>
              <w:t>-N</w:t>
            </w:r>
          </w:p>
        </w:tc>
        <w:tc>
          <w:tcPr>
            <w:tcW w:w="1449" w:type="dxa"/>
            <w:noWrap w:val="0"/>
            <w:vAlign w:val="center"/>
          </w:tcPr>
          <w:p w14:paraId="19AAC1A4">
            <w:pPr>
              <w:pStyle w:val="22"/>
              <w:bidi w:val="0"/>
              <w:rPr>
                <w:color w:val="auto"/>
              </w:rPr>
            </w:pPr>
            <w:r>
              <w:rPr>
                <w:rFonts w:hint="eastAsia"/>
                <w:color w:val="auto"/>
                <w:lang w:val="en-US" w:eastAsia="zh-CN"/>
              </w:rPr>
              <w:t>/</w:t>
            </w:r>
          </w:p>
        </w:tc>
        <w:tc>
          <w:tcPr>
            <w:tcW w:w="1276" w:type="dxa"/>
            <w:noWrap w:val="0"/>
            <w:vAlign w:val="center"/>
          </w:tcPr>
          <w:p w14:paraId="07A59DF8">
            <w:pPr>
              <w:pStyle w:val="22"/>
              <w:bidi w:val="0"/>
              <w:rPr>
                <w:color w:val="auto"/>
              </w:rPr>
            </w:pPr>
            <w:r>
              <w:rPr>
                <w:rFonts w:hint="eastAsia"/>
                <w:color w:val="auto"/>
                <w:lang w:val="en-US" w:eastAsia="zh-CN"/>
              </w:rPr>
              <w:t>/</w:t>
            </w:r>
          </w:p>
        </w:tc>
        <w:tc>
          <w:tcPr>
            <w:tcW w:w="1701" w:type="dxa"/>
            <w:noWrap w:val="0"/>
            <w:vAlign w:val="center"/>
          </w:tcPr>
          <w:p w14:paraId="562F911C">
            <w:pPr>
              <w:pStyle w:val="22"/>
              <w:bidi w:val="0"/>
              <w:rPr>
                <w:color w:val="auto"/>
              </w:rPr>
            </w:pPr>
            <w:r>
              <w:rPr>
                <w:rFonts w:hint="eastAsia"/>
                <w:color w:val="auto"/>
                <w:lang w:val="en-US" w:eastAsia="zh-CN"/>
              </w:rPr>
              <w:t>/</w:t>
            </w:r>
          </w:p>
        </w:tc>
        <w:tc>
          <w:tcPr>
            <w:tcW w:w="1559" w:type="dxa"/>
            <w:noWrap w:val="0"/>
            <w:vAlign w:val="center"/>
          </w:tcPr>
          <w:p w14:paraId="0E89A4CA">
            <w:pPr>
              <w:pStyle w:val="22"/>
              <w:bidi w:val="0"/>
              <w:rPr>
                <w:rFonts w:hint="default"/>
                <w:color w:val="auto"/>
                <w:lang w:val="en-US" w:eastAsia="zh-CN"/>
              </w:rPr>
            </w:pPr>
            <w:r>
              <w:rPr>
                <w:rFonts w:hint="eastAsia"/>
                <w:color w:val="auto"/>
                <w:lang w:val="en-US" w:eastAsia="zh-CN"/>
              </w:rPr>
              <w:t>0.021t/a</w:t>
            </w:r>
          </w:p>
        </w:tc>
        <w:tc>
          <w:tcPr>
            <w:tcW w:w="1380" w:type="dxa"/>
            <w:noWrap w:val="0"/>
            <w:vAlign w:val="center"/>
          </w:tcPr>
          <w:p w14:paraId="0158F8B4">
            <w:pPr>
              <w:pStyle w:val="22"/>
              <w:bidi w:val="0"/>
              <w:rPr>
                <w:color w:val="auto"/>
              </w:rPr>
            </w:pPr>
            <w:r>
              <w:rPr>
                <w:rFonts w:hint="eastAsia"/>
                <w:color w:val="auto"/>
                <w:lang w:val="en-US" w:eastAsia="zh-CN"/>
              </w:rPr>
              <w:t>/</w:t>
            </w:r>
          </w:p>
        </w:tc>
        <w:tc>
          <w:tcPr>
            <w:tcW w:w="1605" w:type="dxa"/>
            <w:noWrap w:val="0"/>
            <w:vAlign w:val="center"/>
          </w:tcPr>
          <w:p w14:paraId="5CD724A0">
            <w:pPr>
              <w:pStyle w:val="22"/>
              <w:bidi w:val="0"/>
              <w:ind w:firstLine="0" w:firstLineChars="0"/>
              <w:rPr>
                <w:color w:val="auto"/>
              </w:rPr>
            </w:pPr>
            <w:r>
              <w:rPr>
                <w:rFonts w:hint="eastAsia"/>
                <w:color w:val="auto"/>
                <w:lang w:val="en-US" w:eastAsia="zh-CN"/>
              </w:rPr>
              <w:t>0.021t/a</w:t>
            </w:r>
          </w:p>
        </w:tc>
        <w:tc>
          <w:tcPr>
            <w:tcW w:w="1561" w:type="dxa"/>
            <w:noWrap w:val="0"/>
            <w:vAlign w:val="center"/>
          </w:tcPr>
          <w:p w14:paraId="555A66E5">
            <w:pPr>
              <w:pStyle w:val="22"/>
              <w:bidi w:val="0"/>
              <w:rPr>
                <w:color w:val="auto"/>
              </w:rPr>
            </w:pPr>
            <w:r>
              <w:rPr>
                <w:color w:val="auto"/>
              </w:rPr>
              <w:t>+</w:t>
            </w:r>
            <w:r>
              <w:rPr>
                <w:rFonts w:hint="eastAsia"/>
                <w:color w:val="auto"/>
                <w:lang w:val="en-US" w:eastAsia="zh-CN"/>
              </w:rPr>
              <w:t>0.021t/a</w:t>
            </w:r>
          </w:p>
        </w:tc>
      </w:tr>
      <w:tr w14:paraId="22B4E6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restart"/>
            <w:noWrap w:val="0"/>
            <w:vAlign w:val="center"/>
          </w:tcPr>
          <w:p w14:paraId="4C2A2141">
            <w:pPr>
              <w:pStyle w:val="22"/>
              <w:bidi w:val="0"/>
              <w:rPr>
                <w:color w:val="auto"/>
              </w:rPr>
            </w:pPr>
            <w:r>
              <w:rPr>
                <w:color w:val="auto"/>
              </w:rPr>
              <w:t>一般工业固体废物</w:t>
            </w:r>
          </w:p>
        </w:tc>
        <w:tc>
          <w:tcPr>
            <w:tcW w:w="1941" w:type="dxa"/>
            <w:noWrap w:val="0"/>
            <w:vAlign w:val="center"/>
          </w:tcPr>
          <w:p w14:paraId="78A1CE34">
            <w:pPr>
              <w:pStyle w:val="22"/>
              <w:bidi w:val="0"/>
              <w:rPr>
                <w:rFonts w:hint="eastAsia"/>
                <w:color w:val="auto"/>
                <w:lang w:val="zh-CN"/>
              </w:rPr>
            </w:pPr>
            <w:r>
              <w:rPr>
                <w:rFonts w:hint="eastAsia"/>
                <w:color w:val="auto"/>
                <w:lang w:val="en-US" w:eastAsia="zh-CN"/>
              </w:rPr>
              <w:t>废包装材料</w:t>
            </w:r>
          </w:p>
        </w:tc>
        <w:tc>
          <w:tcPr>
            <w:tcW w:w="1449" w:type="dxa"/>
            <w:noWrap w:val="0"/>
            <w:vAlign w:val="center"/>
          </w:tcPr>
          <w:p w14:paraId="3D76B9D7">
            <w:pPr>
              <w:pStyle w:val="22"/>
              <w:bidi w:val="0"/>
              <w:rPr>
                <w:color w:val="auto"/>
              </w:rPr>
            </w:pPr>
            <w:r>
              <w:rPr>
                <w:rFonts w:hint="eastAsia"/>
                <w:color w:val="auto"/>
                <w:lang w:val="en-US" w:eastAsia="zh-CN"/>
              </w:rPr>
              <w:t>/</w:t>
            </w:r>
          </w:p>
        </w:tc>
        <w:tc>
          <w:tcPr>
            <w:tcW w:w="1276" w:type="dxa"/>
            <w:noWrap w:val="0"/>
            <w:vAlign w:val="center"/>
          </w:tcPr>
          <w:p w14:paraId="2AB8C6FC">
            <w:pPr>
              <w:pStyle w:val="22"/>
              <w:bidi w:val="0"/>
              <w:rPr>
                <w:color w:val="auto"/>
              </w:rPr>
            </w:pPr>
            <w:r>
              <w:rPr>
                <w:rFonts w:hint="eastAsia"/>
                <w:color w:val="auto"/>
                <w:lang w:val="en-US" w:eastAsia="zh-CN"/>
              </w:rPr>
              <w:t>/</w:t>
            </w:r>
          </w:p>
        </w:tc>
        <w:tc>
          <w:tcPr>
            <w:tcW w:w="1701" w:type="dxa"/>
            <w:noWrap w:val="0"/>
            <w:vAlign w:val="center"/>
          </w:tcPr>
          <w:p w14:paraId="10C63FA9">
            <w:pPr>
              <w:pStyle w:val="22"/>
              <w:bidi w:val="0"/>
              <w:rPr>
                <w:color w:val="auto"/>
              </w:rPr>
            </w:pPr>
            <w:r>
              <w:rPr>
                <w:rFonts w:hint="eastAsia"/>
                <w:color w:val="auto"/>
                <w:lang w:val="en-US" w:eastAsia="zh-CN"/>
              </w:rPr>
              <w:t>/</w:t>
            </w:r>
          </w:p>
        </w:tc>
        <w:tc>
          <w:tcPr>
            <w:tcW w:w="1559" w:type="dxa"/>
            <w:noWrap w:val="0"/>
            <w:vAlign w:val="center"/>
          </w:tcPr>
          <w:p w14:paraId="2760B763">
            <w:pPr>
              <w:pStyle w:val="22"/>
              <w:bidi w:val="0"/>
              <w:rPr>
                <w:rFonts w:hint="eastAsia"/>
                <w:color w:val="auto"/>
                <w:lang w:eastAsia="zh-CN"/>
              </w:rPr>
            </w:pPr>
            <w:r>
              <w:rPr>
                <w:rFonts w:hint="eastAsia"/>
                <w:color w:val="auto"/>
                <w:lang w:val="en-US" w:eastAsia="zh-CN"/>
              </w:rPr>
              <w:t>0.1t/a</w:t>
            </w:r>
          </w:p>
        </w:tc>
        <w:tc>
          <w:tcPr>
            <w:tcW w:w="1380" w:type="dxa"/>
            <w:noWrap w:val="0"/>
            <w:vAlign w:val="center"/>
          </w:tcPr>
          <w:p w14:paraId="0A7B4318">
            <w:pPr>
              <w:pStyle w:val="22"/>
              <w:bidi w:val="0"/>
              <w:rPr>
                <w:color w:val="auto"/>
              </w:rPr>
            </w:pPr>
            <w:r>
              <w:rPr>
                <w:rFonts w:hint="eastAsia"/>
                <w:color w:val="auto"/>
                <w:lang w:val="en-US" w:eastAsia="zh-CN"/>
              </w:rPr>
              <w:t>/</w:t>
            </w:r>
          </w:p>
        </w:tc>
        <w:tc>
          <w:tcPr>
            <w:tcW w:w="1605" w:type="dxa"/>
            <w:noWrap w:val="0"/>
            <w:vAlign w:val="center"/>
          </w:tcPr>
          <w:p w14:paraId="5184C951">
            <w:pPr>
              <w:pStyle w:val="22"/>
              <w:bidi w:val="0"/>
              <w:ind w:firstLine="0" w:firstLineChars="0"/>
              <w:rPr>
                <w:rFonts w:hint="eastAsia"/>
                <w:color w:val="auto"/>
                <w:lang w:eastAsia="zh-CN"/>
              </w:rPr>
            </w:pPr>
            <w:r>
              <w:rPr>
                <w:rFonts w:hint="eastAsia"/>
                <w:color w:val="auto"/>
                <w:lang w:val="en-US" w:eastAsia="zh-CN"/>
              </w:rPr>
              <w:t>0.1t/a</w:t>
            </w:r>
          </w:p>
        </w:tc>
        <w:tc>
          <w:tcPr>
            <w:tcW w:w="1561" w:type="dxa"/>
            <w:noWrap w:val="0"/>
            <w:vAlign w:val="center"/>
          </w:tcPr>
          <w:p w14:paraId="39B17D49">
            <w:pPr>
              <w:pStyle w:val="22"/>
              <w:bidi w:val="0"/>
              <w:rPr>
                <w:rFonts w:hint="default"/>
                <w:b/>
                <w:bCs/>
                <w:color w:val="auto"/>
                <w:lang w:val="en-US" w:eastAsia="zh-CN"/>
              </w:rPr>
            </w:pPr>
            <w:r>
              <w:rPr>
                <w:color w:val="auto"/>
              </w:rPr>
              <w:t>+</w:t>
            </w:r>
            <w:r>
              <w:rPr>
                <w:rFonts w:hint="eastAsia"/>
                <w:color w:val="auto"/>
              </w:rPr>
              <w:t>0</w:t>
            </w:r>
            <w:r>
              <w:rPr>
                <w:rFonts w:hint="eastAsia"/>
                <w:color w:val="auto"/>
                <w:lang w:val="en-US" w:eastAsia="zh-CN"/>
              </w:rPr>
              <w:t>.1t/a</w:t>
            </w:r>
          </w:p>
        </w:tc>
      </w:tr>
      <w:tr w14:paraId="4CBE0D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0AEA4355">
            <w:pPr>
              <w:pStyle w:val="22"/>
              <w:bidi w:val="0"/>
              <w:rPr>
                <w:color w:val="auto"/>
              </w:rPr>
            </w:pPr>
          </w:p>
        </w:tc>
        <w:tc>
          <w:tcPr>
            <w:tcW w:w="1941" w:type="dxa"/>
            <w:noWrap w:val="0"/>
            <w:vAlign w:val="center"/>
          </w:tcPr>
          <w:p w14:paraId="38FC4C13">
            <w:pPr>
              <w:pStyle w:val="22"/>
              <w:bidi w:val="0"/>
              <w:rPr>
                <w:rFonts w:hint="eastAsia"/>
                <w:color w:val="auto"/>
                <w:lang w:val="zh-CN"/>
              </w:rPr>
            </w:pPr>
            <w:r>
              <w:rPr>
                <w:rFonts w:hint="eastAsia"/>
                <w:color w:val="auto"/>
                <w:lang w:val="en-US" w:eastAsia="zh-CN"/>
              </w:rPr>
              <w:t>滤网</w:t>
            </w:r>
          </w:p>
        </w:tc>
        <w:tc>
          <w:tcPr>
            <w:tcW w:w="1449" w:type="dxa"/>
            <w:noWrap w:val="0"/>
            <w:vAlign w:val="center"/>
          </w:tcPr>
          <w:p w14:paraId="0EA79601">
            <w:pPr>
              <w:pStyle w:val="22"/>
              <w:bidi w:val="0"/>
              <w:rPr>
                <w:color w:val="auto"/>
              </w:rPr>
            </w:pPr>
            <w:r>
              <w:rPr>
                <w:rFonts w:hint="eastAsia"/>
                <w:color w:val="auto"/>
                <w:lang w:val="en-US" w:eastAsia="zh-CN"/>
              </w:rPr>
              <w:t>/</w:t>
            </w:r>
          </w:p>
        </w:tc>
        <w:tc>
          <w:tcPr>
            <w:tcW w:w="1276" w:type="dxa"/>
            <w:noWrap w:val="0"/>
            <w:vAlign w:val="center"/>
          </w:tcPr>
          <w:p w14:paraId="59CDC15A">
            <w:pPr>
              <w:pStyle w:val="22"/>
              <w:bidi w:val="0"/>
              <w:rPr>
                <w:color w:val="auto"/>
              </w:rPr>
            </w:pPr>
            <w:r>
              <w:rPr>
                <w:rFonts w:hint="eastAsia"/>
                <w:color w:val="auto"/>
                <w:lang w:val="en-US" w:eastAsia="zh-CN"/>
              </w:rPr>
              <w:t>/</w:t>
            </w:r>
          </w:p>
        </w:tc>
        <w:tc>
          <w:tcPr>
            <w:tcW w:w="1701" w:type="dxa"/>
            <w:noWrap w:val="0"/>
            <w:vAlign w:val="center"/>
          </w:tcPr>
          <w:p w14:paraId="01CBBDAC">
            <w:pPr>
              <w:pStyle w:val="22"/>
              <w:bidi w:val="0"/>
              <w:rPr>
                <w:color w:val="auto"/>
              </w:rPr>
            </w:pPr>
            <w:r>
              <w:rPr>
                <w:rFonts w:hint="eastAsia"/>
                <w:color w:val="auto"/>
                <w:lang w:val="en-US" w:eastAsia="zh-CN"/>
              </w:rPr>
              <w:t>/</w:t>
            </w:r>
          </w:p>
        </w:tc>
        <w:tc>
          <w:tcPr>
            <w:tcW w:w="1559" w:type="dxa"/>
            <w:noWrap w:val="0"/>
            <w:vAlign w:val="center"/>
          </w:tcPr>
          <w:p w14:paraId="4A6F4FA6">
            <w:pPr>
              <w:pStyle w:val="22"/>
              <w:bidi w:val="0"/>
              <w:rPr>
                <w:rFonts w:hint="default"/>
                <w:color w:val="auto"/>
                <w:lang w:val="en-US" w:eastAsia="zh-CN"/>
              </w:rPr>
            </w:pPr>
            <w:r>
              <w:rPr>
                <w:rFonts w:hint="eastAsia"/>
                <w:color w:val="auto"/>
                <w:lang w:val="en-US" w:eastAsia="zh-CN"/>
              </w:rPr>
              <w:t>0.24t/a</w:t>
            </w:r>
          </w:p>
        </w:tc>
        <w:tc>
          <w:tcPr>
            <w:tcW w:w="1380" w:type="dxa"/>
            <w:noWrap w:val="0"/>
            <w:vAlign w:val="center"/>
          </w:tcPr>
          <w:p w14:paraId="3FB3808C">
            <w:pPr>
              <w:pStyle w:val="22"/>
              <w:bidi w:val="0"/>
              <w:rPr>
                <w:color w:val="auto"/>
              </w:rPr>
            </w:pPr>
            <w:r>
              <w:rPr>
                <w:rFonts w:hint="eastAsia"/>
                <w:color w:val="auto"/>
                <w:lang w:val="en-US" w:eastAsia="zh-CN"/>
              </w:rPr>
              <w:t>/</w:t>
            </w:r>
          </w:p>
        </w:tc>
        <w:tc>
          <w:tcPr>
            <w:tcW w:w="1605" w:type="dxa"/>
            <w:noWrap w:val="0"/>
            <w:vAlign w:val="center"/>
          </w:tcPr>
          <w:p w14:paraId="29C1226A">
            <w:pPr>
              <w:pStyle w:val="22"/>
              <w:bidi w:val="0"/>
              <w:ind w:firstLine="0" w:firstLineChars="0"/>
              <w:rPr>
                <w:rFonts w:hint="default"/>
                <w:color w:val="auto"/>
                <w:lang w:val="en-US" w:eastAsia="zh-CN"/>
              </w:rPr>
            </w:pPr>
            <w:r>
              <w:rPr>
                <w:rFonts w:hint="eastAsia"/>
                <w:color w:val="auto"/>
                <w:lang w:val="en-US" w:eastAsia="zh-CN"/>
              </w:rPr>
              <w:t>0.24t/a</w:t>
            </w:r>
          </w:p>
        </w:tc>
        <w:tc>
          <w:tcPr>
            <w:tcW w:w="1561" w:type="dxa"/>
            <w:noWrap w:val="0"/>
            <w:vAlign w:val="center"/>
          </w:tcPr>
          <w:p w14:paraId="7B637BF1">
            <w:pPr>
              <w:pStyle w:val="22"/>
              <w:bidi w:val="0"/>
              <w:rPr>
                <w:rFonts w:hint="eastAsia"/>
                <w:color w:val="auto"/>
                <w:lang w:val="en-US" w:eastAsia="zh-CN"/>
              </w:rPr>
            </w:pPr>
            <w:r>
              <w:rPr>
                <w:color w:val="auto"/>
              </w:rPr>
              <w:t>+</w:t>
            </w:r>
            <w:r>
              <w:rPr>
                <w:rFonts w:hint="eastAsia"/>
                <w:color w:val="auto"/>
                <w:lang w:val="en-US" w:eastAsia="zh-CN"/>
              </w:rPr>
              <w:t>0.24t/a</w:t>
            </w:r>
          </w:p>
        </w:tc>
      </w:tr>
      <w:tr w14:paraId="7D1899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3523D6E1">
            <w:pPr>
              <w:pStyle w:val="22"/>
              <w:bidi w:val="0"/>
              <w:rPr>
                <w:color w:val="auto"/>
              </w:rPr>
            </w:pPr>
          </w:p>
        </w:tc>
        <w:tc>
          <w:tcPr>
            <w:tcW w:w="1941" w:type="dxa"/>
            <w:noWrap w:val="0"/>
            <w:vAlign w:val="center"/>
          </w:tcPr>
          <w:p w14:paraId="4361841E">
            <w:pPr>
              <w:pStyle w:val="22"/>
              <w:bidi w:val="0"/>
              <w:rPr>
                <w:rFonts w:hint="eastAsia"/>
                <w:color w:val="auto"/>
                <w:lang w:val="zh-CN"/>
              </w:rPr>
            </w:pPr>
            <w:r>
              <w:rPr>
                <w:rFonts w:hint="eastAsia"/>
                <w:color w:val="auto"/>
                <w:lang w:val="en-US" w:eastAsia="zh-CN"/>
              </w:rPr>
              <w:t>收集粉尘</w:t>
            </w:r>
          </w:p>
        </w:tc>
        <w:tc>
          <w:tcPr>
            <w:tcW w:w="1449" w:type="dxa"/>
            <w:noWrap w:val="0"/>
            <w:vAlign w:val="center"/>
          </w:tcPr>
          <w:p w14:paraId="44771204">
            <w:pPr>
              <w:pStyle w:val="22"/>
              <w:bidi w:val="0"/>
              <w:rPr>
                <w:rFonts w:hint="eastAsia"/>
                <w:color w:val="auto"/>
              </w:rPr>
            </w:pPr>
            <w:r>
              <w:rPr>
                <w:rFonts w:hint="eastAsia"/>
                <w:color w:val="auto"/>
                <w:lang w:val="en-US" w:eastAsia="zh-CN"/>
              </w:rPr>
              <w:t>/</w:t>
            </w:r>
          </w:p>
        </w:tc>
        <w:tc>
          <w:tcPr>
            <w:tcW w:w="1276" w:type="dxa"/>
            <w:noWrap w:val="0"/>
            <w:vAlign w:val="center"/>
          </w:tcPr>
          <w:p w14:paraId="68CD8845">
            <w:pPr>
              <w:pStyle w:val="22"/>
              <w:bidi w:val="0"/>
              <w:rPr>
                <w:color w:val="auto"/>
              </w:rPr>
            </w:pPr>
            <w:r>
              <w:rPr>
                <w:rFonts w:hint="eastAsia"/>
                <w:color w:val="auto"/>
                <w:lang w:val="en-US" w:eastAsia="zh-CN"/>
              </w:rPr>
              <w:t>/</w:t>
            </w:r>
          </w:p>
        </w:tc>
        <w:tc>
          <w:tcPr>
            <w:tcW w:w="1701" w:type="dxa"/>
            <w:noWrap w:val="0"/>
            <w:vAlign w:val="center"/>
          </w:tcPr>
          <w:p w14:paraId="726778D1">
            <w:pPr>
              <w:pStyle w:val="22"/>
              <w:bidi w:val="0"/>
              <w:rPr>
                <w:color w:val="auto"/>
              </w:rPr>
            </w:pPr>
            <w:r>
              <w:rPr>
                <w:rFonts w:hint="eastAsia"/>
                <w:color w:val="auto"/>
                <w:lang w:val="en-US" w:eastAsia="zh-CN"/>
              </w:rPr>
              <w:t>/</w:t>
            </w:r>
          </w:p>
        </w:tc>
        <w:tc>
          <w:tcPr>
            <w:tcW w:w="1559" w:type="dxa"/>
            <w:noWrap w:val="0"/>
            <w:vAlign w:val="center"/>
          </w:tcPr>
          <w:p w14:paraId="0472F004">
            <w:pPr>
              <w:pStyle w:val="22"/>
              <w:bidi w:val="0"/>
              <w:rPr>
                <w:rFonts w:hint="default"/>
                <w:color w:val="auto"/>
                <w:lang w:val="en-US" w:eastAsia="zh-CN"/>
              </w:rPr>
            </w:pPr>
            <w:r>
              <w:rPr>
                <w:rFonts w:hint="eastAsia"/>
                <w:color w:val="auto"/>
                <w:lang w:val="en-US" w:eastAsia="zh-CN"/>
              </w:rPr>
              <w:t>10.7t/a</w:t>
            </w:r>
          </w:p>
        </w:tc>
        <w:tc>
          <w:tcPr>
            <w:tcW w:w="1380" w:type="dxa"/>
            <w:noWrap w:val="0"/>
            <w:vAlign w:val="center"/>
          </w:tcPr>
          <w:p w14:paraId="4A827FE9">
            <w:pPr>
              <w:pStyle w:val="22"/>
              <w:bidi w:val="0"/>
              <w:rPr>
                <w:rFonts w:hint="eastAsia"/>
                <w:color w:val="auto"/>
              </w:rPr>
            </w:pPr>
            <w:r>
              <w:rPr>
                <w:rFonts w:hint="eastAsia"/>
                <w:color w:val="auto"/>
                <w:lang w:val="en-US" w:eastAsia="zh-CN"/>
              </w:rPr>
              <w:t>/</w:t>
            </w:r>
          </w:p>
        </w:tc>
        <w:tc>
          <w:tcPr>
            <w:tcW w:w="1605" w:type="dxa"/>
            <w:noWrap w:val="0"/>
            <w:vAlign w:val="center"/>
          </w:tcPr>
          <w:p w14:paraId="4D9BC0F2">
            <w:pPr>
              <w:pStyle w:val="22"/>
              <w:bidi w:val="0"/>
              <w:ind w:firstLine="0" w:firstLineChars="0"/>
              <w:rPr>
                <w:rFonts w:hint="default"/>
                <w:color w:val="auto"/>
                <w:lang w:val="en-US" w:eastAsia="zh-CN"/>
              </w:rPr>
            </w:pPr>
            <w:r>
              <w:rPr>
                <w:rFonts w:hint="eastAsia"/>
                <w:color w:val="auto"/>
                <w:lang w:val="en-US" w:eastAsia="zh-CN"/>
              </w:rPr>
              <w:t>10.7t/a</w:t>
            </w:r>
          </w:p>
        </w:tc>
        <w:tc>
          <w:tcPr>
            <w:tcW w:w="1561" w:type="dxa"/>
            <w:noWrap w:val="0"/>
            <w:vAlign w:val="center"/>
          </w:tcPr>
          <w:p w14:paraId="2D45844F">
            <w:pPr>
              <w:pStyle w:val="22"/>
              <w:bidi w:val="0"/>
              <w:rPr>
                <w:rFonts w:hint="default"/>
                <w:color w:val="auto"/>
                <w:lang w:val="en-US" w:eastAsia="zh-CN"/>
              </w:rPr>
            </w:pPr>
            <w:r>
              <w:rPr>
                <w:color w:val="auto"/>
              </w:rPr>
              <w:t>+</w:t>
            </w:r>
            <w:r>
              <w:rPr>
                <w:rFonts w:hint="eastAsia"/>
                <w:color w:val="auto"/>
                <w:lang w:val="en-US" w:eastAsia="zh-CN"/>
              </w:rPr>
              <w:t>10.7t/a</w:t>
            </w:r>
          </w:p>
        </w:tc>
      </w:tr>
      <w:tr w14:paraId="010198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2C714A13">
            <w:pPr>
              <w:pStyle w:val="22"/>
              <w:bidi w:val="0"/>
              <w:rPr>
                <w:color w:val="auto"/>
              </w:rPr>
            </w:pPr>
          </w:p>
        </w:tc>
        <w:tc>
          <w:tcPr>
            <w:tcW w:w="1941" w:type="dxa"/>
            <w:noWrap w:val="0"/>
            <w:vAlign w:val="center"/>
          </w:tcPr>
          <w:p w14:paraId="2C67D24C">
            <w:pPr>
              <w:pStyle w:val="22"/>
              <w:bidi w:val="0"/>
              <w:rPr>
                <w:color w:val="auto"/>
              </w:rPr>
            </w:pPr>
            <w:r>
              <w:rPr>
                <w:color w:val="auto"/>
              </w:rPr>
              <w:t>生活垃圾</w:t>
            </w:r>
          </w:p>
        </w:tc>
        <w:tc>
          <w:tcPr>
            <w:tcW w:w="1449" w:type="dxa"/>
            <w:noWrap w:val="0"/>
            <w:vAlign w:val="center"/>
          </w:tcPr>
          <w:p w14:paraId="32882CCB">
            <w:pPr>
              <w:pStyle w:val="22"/>
              <w:bidi w:val="0"/>
              <w:rPr>
                <w:color w:val="auto"/>
              </w:rPr>
            </w:pPr>
            <w:r>
              <w:rPr>
                <w:rFonts w:hint="eastAsia"/>
                <w:color w:val="auto"/>
                <w:lang w:val="en-US" w:eastAsia="zh-CN"/>
              </w:rPr>
              <w:t>/</w:t>
            </w:r>
          </w:p>
        </w:tc>
        <w:tc>
          <w:tcPr>
            <w:tcW w:w="1276" w:type="dxa"/>
            <w:noWrap w:val="0"/>
            <w:vAlign w:val="center"/>
          </w:tcPr>
          <w:p w14:paraId="75B94974">
            <w:pPr>
              <w:pStyle w:val="22"/>
              <w:bidi w:val="0"/>
              <w:rPr>
                <w:color w:val="auto"/>
              </w:rPr>
            </w:pPr>
            <w:r>
              <w:rPr>
                <w:rFonts w:hint="eastAsia"/>
                <w:color w:val="auto"/>
                <w:lang w:val="en-US" w:eastAsia="zh-CN"/>
              </w:rPr>
              <w:t>/</w:t>
            </w:r>
          </w:p>
        </w:tc>
        <w:tc>
          <w:tcPr>
            <w:tcW w:w="1701" w:type="dxa"/>
            <w:noWrap w:val="0"/>
            <w:vAlign w:val="center"/>
          </w:tcPr>
          <w:p w14:paraId="217DA2EE">
            <w:pPr>
              <w:pStyle w:val="22"/>
              <w:bidi w:val="0"/>
              <w:rPr>
                <w:color w:val="auto"/>
              </w:rPr>
            </w:pPr>
            <w:r>
              <w:rPr>
                <w:rFonts w:hint="eastAsia"/>
                <w:color w:val="auto"/>
                <w:lang w:val="en-US" w:eastAsia="zh-CN"/>
              </w:rPr>
              <w:t>/</w:t>
            </w:r>
          </w:p>
        </w:tc>
        <w:tc>
          <w:tcPr>
            <w:tcW w:w="1559" w:type="dxa"/>
            <w:noWrap w:val="0"/>
            <w:vAlign w:val="center"/>
          </w:tcPr>
          <w:p w14:paraId="25DD357A">
            <w:pPr>
              <w:pStyle w:val="22"/>
              <w:bidi w:val="0"/>
              <w:rPr>
                <w:rFonts w:hint="default"/>
                <w:b/>
                <w:bCs/>
                <w:color w:val="auto"/>
                <w:lang w:val="en-US" w:eastAsia="zh-CN"/>
              </w:rPr>
            </w:pPr>
            <w:r>
              <w:rPr>
                <w:rFonts w:hint="eastAsia"/>
                <w:color w:val="auto"/>
                <w:lang w:val="en-US" w:eastAsia="zh-CN"/>
              </w:rPr>
              <w:t>3t/a</w:t>
            </w:r>
          </w:p>
        </w:tc>
        <w:tc>
          <w:tcPr>
            <w:tcW w:w="1380" w:type="dxa"/>
            <w:noWrap w:val="0"/>
            <w:vAlign w:val="center"/>
          </w:tcPr>
          <w:p w14:paraId="6DD0F81E">
            <w:pPr>
              <w:pStyle w:val="22"/>
              <w:bidi w:val="0"/>
              <w:rPr>
                <w:color w:val="auto"/>
              </w:rPr>
            </w:pPr>
            <w:r>
              <w:rPr>
                <w:rFonts w:hint="eastAsia"/>
                <w:color w:val="auto"/>
                <w:lang w:val="en-US" w:eastAsia="zh-CN"/>
              </w:rPr>
              <w:t>/</w:t>
            </w:r>
          </w:p>
        </w:tc>
        <w:tc>
          <w:tcPr>
            <w:tcW w:w="1605" w:type="dxa"/>
            <w:noWrap w:val="0"/>
            <w:vAlign w:val="center"/>
          </w:tcPr>
          <w:p w14:paraId="5F5FCAB1">
            <w:pPr>
              <w:pStyle w:val="22"/>
              <w:bidi w:val="0"/>
              <w:ind w:firstLine="0" w:firstLineChars="0"/>
              <w:rPr>
                <w:rFonts w:hint="default"/>
                <w:color w:val="auto"/>
                <w:lang w:val="en-US" w:eastAsia="zh-CN"/>
              </w:rPr>
            </w:pPr>
            <w:r>
              <w:rPr>
                <w:rFonts w:hint="eastAsia"/>
                <w:color w:val="auto"/>
                <w:lang w:val="en-US" w:eastAsia="zh-CN"/>
              </w:rPr>
              <w:t>3t/a</w:t>
            </w:r>
          </w:p>
        </w:tc>
        <w:tc>
          <w:tcPr>
            <w:tcW w:w="1561" w:type="dxa"/>
            <w:noWrap w:val="0"/>
            <w:vAlign w:val="center"/>
          </w:tcPr>
          <w:p w14:paraId="4B9B2F67">
            <w:pPr>
              <w:pStyle w:val="22"/>
              <w:bidi w:val="0"/>
              <w:rPr>
                <w:rFonts w:hint="default"/>
                <w:color w:val="auto"/>
                <w:lang w:val="en-US" w:eastAsia="zh-CN"/>
              </w:rPr>
            </w:pPr>
            <w:r>
              <w:rPr>
                <w:color w:val="auto"/>
              </w:rPr>
              <w:t>+</w:t>
            </w:r>
            <w:r>
              <w:rPr>
                <w:rFonts w:hint="eastAsia"/>
                <w:color w:val="auto"/>
                <w:lang w:val="en-US" w:eastAsia="zh-CN"/>
              </w:rPr>
              <w:t>3t/a</w:t>
            </w:r>
          </w:p>
        </w:tc>
      </w:tr>
      <w:tr w14:paraId="4462ED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restart"/>
            <w:noWrap w:val="0"/>
            <w:vAlign w:val="center"/>
          </w:tcPr>
          <w:p w14:paraId="60A5DC82">
            <w:pPr>
              <w:pStyle w:val="22"/>
              <w:bidi w:val="0"/>
              <w:rPr>
                <w:color w:val="auto"/>
              </w:rPr>
            </w:pPr>
            <w:r>
              <w:rPr>
                <w:color w:val="auto"/>
              </w:rPr>
              <w:t>危险废物</w:t>
            </w:r>
          </w:p>
        </w:tc>
        <w:tc>
          <w:tcPr>
            <w:tcW w:w="1941" w:type="dxa"/>
            <w:noWrap w:val="0"/>
            <w:vAlign w:val="center"/>
          </w:tcPr>
          <w:p w14:paraId="7FB26508">
            <w:pPr>
              <w:pStyle w:val="22"/>
              <w:bidi w:val="0"/>
              <w:rPr>
                <w:rFonts w:hint="eastAsia"/>
                <w:color w:val="auto"/>
              </w:rPr>
            </w:pPr>
            <w:r>
              <w:rPr>
                <w:rFonts w:hint="eastAsia"/>
                <w:color w:val="auto"/>
              </w:rPr>
              <w:t>废包装桶</w:t>
            </w:r>
          </w:p>
        </w:tc>
        <w:tc>
          <w:tcPr>
            <w:tcW w:w="1449" w:type="dxa"/>
            <w:noWrap w:val="0"/>
            <w:vAlign w:val="center"/>
          </w:tcPr>
          <w:p w14:paraId="699EB4BC">
            <w:pPr>
              <w:pStyle w:val="22"/>
              <w:bidi w:val="0"/>
              <w:rPr>
                <w:rFonts w:hint="eastAsia"/>
                <w:color w:val="auto"/>
                <w:lang w:eastAsia="zh-CN"/>
              </w:rPr>
            </w:pPr>
            <w:r>
              <w:rPr>
                <w:rFonts w:hint="eastAsia"/>
                <w:color w:val="auto"/>
                <w:lang w:val="en-US" w:eastAsia="zh-CN"/>
              </w:rPr>
              <w:t>/</w:t>
            </w:r>
          </w:p>
        </w:tc>
        <w:tc>
          <w:tcPr>
            <w:tcW w:w="1276" w:type="dxa"/>
            <w:noWrap w:val="0"/>
            <w:vAlign w:val="center"/>
          </w:tcPr>
          <w:p w14:paraId="6F29BEED">
            <w:pPr>
              <w:pStyle w:val="22"/>
              <w:bidi w:val="0"/>
              <w:rPr>
                <w:color w:val="auto"/>
              </w:rPr>
            </w:pPr>
            <w:r>
              <w:rPr>
                <w:rFonts w:hint="eastAsia"/>
                <w:color w:val="auto"/>
                <w:lang w:val="en-US" w:eastAsia="zh-CN"/>
              </w:rPr>
              <w:t>/</w:t>
            </w:r>
          </w:p>
        </w:tc>
        <w:tc>
          <w:tcPr>
            <w:tcW w:w="1701" w:type="dxa"/>
            <w:noWrap w:val="0"/>
            <w:vAlign w:val="center"/>
          </w:tcPr>
          <w:p w14:paraId="480B4A63">
            <w:pPr>
              <w:pStyle w:val="22"/>
              <w:bidi w:val="0"/>
              <w:rPr>
                <w:color w:val="auto"/>
              </w:rPr>
            </w:pPr>
            <w:r>
              <w:rPr>
                <w:rFonts w:hint="eastAsia"/>
                <w:color w:val="auto"/>
                <w:lang w:val="en-US" w:eastAsia="zh-CN"/>
              </w:rPr>
              <w:t>/</w:t>
            </w:r>
          </w:p>
        </w:tc>
        <w:tc>
          <w:tcPr>
            <w:tcW w:w="1559" w:type="dxa"/>
            <w:noWrap w:val="0"/>
            <w:vAlign w:val="center"/>
          </w:tcPr>
          <w:p w14:paraId="0F1E597D">
            <w:pPr>
              <w:pStyle w:val="22"/>
              <w:bidi w:val="0"/>
              <w:rPr>
                <w:rFonts w:hint="eastAsia"/>
                <w:color w:val="auto"/>
                <w:lang w:eastAsia="zh-CN"/>
              </w:rPr>
            </w:pPr>
            <w:r>
              <w:rPr>
                <w:rFonts w:hint="eastAsia"/>
                <w:color w:val="auto"/>
              </w:rPr>
              <w:t>0.</w:t>
            </w:r>
            <w:r>
              <w:rPr>
                <w:rFonts w:hint="eastAsia"/>
                <w:color w:val="auto"/>
                <w:lang w:val="en-US" w:eastAsia="zh-CN"/>
              </w:rPr>
              <w:t>02t/a</w:t>
            </w:r>
          </w:p>
        </w:tc>
        <w:tc>
          <w:tcPr>
            <w:tcW w:w="1380" w:type="dxa"/>
            <w:noWrap w:val="0"/>
            <w:vAlign w:val="center"/>
          </w:tcPr>
          <w:p w14:paraId="0758CE35">
            <w:pPr>
              <w:pStyle w:val="22"/>
              <w:bidi w:val="0"/>
              <w:rPr>
                <w:color w:val="auto"/>
              </w:rPr>
            </w:pPr>
            <w:r>
              <w:rPr>
                <w:rFonts w:hint="eastAsia"/>
                <w:color w:val="auto"/>
                <w:lang w:val="en-US" w:eastAsia="zh-CN"/>
              </w:rPr>
              <w:t>/</w:t>
            </w:r>
          </w:p>
        </w:tc>
        <w:tc>
          <w:tcPr>
            <w:tcW w:w="1605" w:type="dxa"/>
            <w:noWrap w:val="0"/>
            <w:vAlign w:val="center"/>
          </w:tcPr>
          <w:p w14:paraId="4C3B9835">
            <w:pPr>
              <w:pStyle w:val="22"/>
              <w:bidi w:val="0"/>
              <w:rPr>
                <w:rFonts w:hint="eastAsia"/>
                <w:color w:val="auto"/>
                <w:lang w:eastAsia="zh-CN"/>
              </w:rPr>
            </w:pPr>
            <w:r>
              <w:rPr>
                <w:rFonts w:hint="eastAsia"/>
                <w:color w:val="auto"/>
              </w:rPr>
              <w:t>0.</w:t>
            </w:r>
            <w:r>
              <w:rPr>
                <w:rFonts w:hint="eastAsia"/>
                <w:color w:val="auto"/>
                <w:lang w:val="en-US" w:eastAsia="zh-CN"/>
              </w:rPr>
              <w:t>02t/a</w:t>
            </w:r>
          </w:p>
        </w:tc>
        <w:tc>
          <w:tcPr>
            <w:tcW w:w="1561" w:type="dxa"/>
            <w:noWrap w:val="0"/>
            <w:vAlign w:val="center"/>
          </w:tcPr>
          <w:p w14:paraId="19693FFB">
            <w:pPr>
              <w:pStyle w:val="22"/>
              <w:bidi w:val="0"/>
              <w:rPr>
                <w:rFonts w:hint="default"/>
                <w:color w:val="auto"/>
                <w:lang w:val="en-US" w:eastAsia="zh-CN"/>
              </w:rPr>
            </w:pPr>
            <w:r>
              <w:rPr>
                <w:color w:val="auto"/>
              </w:rPr>
              <w:t>+</w:t>
            </w:r>
            <w:r>
              <w:rPr>
                <w:rFonts w:hint="eastAsia"/>
                <w:color w:val="auto"/>
                <w:lang w:val="en-US" w:eastAsia="zh-CN"/>
              </w:rPr>
              <w:t>0.02t/a</w:t>
            </w:r>
          </w:p>
        </w:tc>
      </w:tr>
      <w:tr w14:paraId="6DD785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4360BC08">
            <w:pPr>
              <w:pStyle w:val="22"/>
              <w:bidi w:val="0"/>
              <w:rPr>
                <w:color w:val="auto"/>
              </w:rPr>
            </w:pPr>
          </w:p>
        </w:tc>
        <w:tc>
          <w:tcPr>
            <w:tcW w:w="1941" w:type="dxa"/>
            <w:noWrap w:val="0"/>
            <w:vAlign w:val="center"/>
          </w:tcPr>
          <w:p w14:paraId="015BE576">
            <w:pPr>
              <w:pStyle w:val="22"/>
              <w:bidi w:val="0"/>
              <w:rPr>
                <w:rFonts w:hint="eastAsia"/>
                <w:color w:val="auto"/>
                <w:lang w:val="en-US" w:eastAsia="zh-CN"/>
              </w:rPr>
            </w:pPr>
            <w:r>
              <w:rPr>
                <w:rFonts w:hint="eastAsia"/>
                <w:color w:val="auto"/>
                <w:lang w:val="en-US" w:eastAsia="zh-CN"/>
              </w:rPr>
              <w:t>废机油</w:t>
            </w:r>
          </w:p>
        </w:tc>
        <w:tc>
          <w:tcPr>
            <w:tcW w:w="1449" w:type="dxa"/>
            <w:noWrap w:val="0"/>
            <w:vAlign w:val="center"/>
          </w:tcPr>
          <w:p w14:paraId="5342920C">
            <w:pPr>
              <w:pStyle w:val="22"/>
              <w:bidi w:val="0"/>
              <w:rPr>
                <w:rFonts w:hint="eastAsia"/>
                <w:color w:val="auto"/>
                <w:lang w:val="en-US" w:eastAsia="zh-CN"/>
              </w:rPr>
            </w:pPr>
            <w:r>
              <w:rPr>
                <w:rFonts w:hint="eastAsia"/>
                <w:color w:val="auto"/>
                <w:lang w:val="en-US" w:eastAsia="zh-CN"/>
              </w:rPr>
              <w:t>/</w:t>
            </w:r>
          </w:p>
        </w:tc>
        <w:tc>
          <w:tcPr>
            <w:tcW w:w="1276" w:type="dxa"/>
            <w:noWrap w:val="0"/>
            <w:vAlign w:val="center"/>
          </w:tcPr>
          <w:p w14:paraId="5EA1B741">
            <w:pPr>
              <w:pStyle w:val="22"/>
              <w:bidi w:val="0"/>
              <w:rPr>
                <w:rFonts w:hint="eastAsia"/>
                <w:color w:val="auto"/>
                <w:lang w:val="en-US" w:eastAsia="zh-CN"/>
              </w:rPr>
            </w:pPr>
            <w:r>
              <w:rPr>
                <w:rFonts w:hint="eastAsia"/>
                <w:color w:val="auto"/>
                <w:lang w:val="en-US" w:eastAsia="zh-CN"/>
              </w:rPr>
              <w:t>/</w:t>
            </w:r>
          </w:p>
        </w:tc>
        <w:tc>
          <w:tcPr>
            <w:tcW w:w="1701" w:type="dxa"/>
            <w:noWrap w:val="0"/>
            <w:vAlign w:val="center"/>
          </w:tcPr>
          <w:p w14:paraId="558C9FE7">
            <w:pPr>
              <w:pStyle w:val="22"/>
              <w:bidi w:val="0"/>
              <w:rPr>
                <w:rFonts w:hint="eastAsia"/>
                <w:color w:val="auto"/>
                <w:lang w:val="en-US" w:eastAsia="zh-CN"/>
              </w:rPr>
            </w:pPr>
            <w:r>
              <w:rPr>
                <w:rFonts w:hint="eastAsia"/>
                <w:color w:val="auto"/>
                <w:lang w:val="en-US" w:eastAsia="zh-CN"/>
              </w:rPr>
              <w:t>/</w:t>
            </w:r>
          </w:p>
        </w:tc>
        <w:tc>
          <w:tcPr>
            <w:tcW w:w="1559" w:type="dxa"/>
            <w:noWrap w:val="0"/>
            <w:vAlign w:val="center"/>
          </w:tcPr>
          <w:p w14:paraId="42D6D101">
            <w:pPr>
              <w:pStyle w:val="22"/>
              <w:bidi w:val="0"/>
              <w:rPr>
                <w:rFonts w:hint="default"/>
                <w:color w:val="auto"/>
                <w:lang w:val="en-US" w:eastAsia="zh-CN"/>
              </w:rPr>
            </w:pPr>
            <w:r>
              <w:rPr>
                <w:rFonts w:hint="eastAsia"/>
                <w:color w:val="auto"/>
                <w:lang w:val="en-US" w:eastAsia="zh-CN"/>
              </w:rPr>
              <w:t>0.2t/a</w:t>
            </w:r>
          </w:p>
        </w:tc>
        <w:tc>
          <w:tcPr>
            <w:tcW w:w="1380" w:type="dxa"/>
            <w:noWrap w:val="0"/>
            <w:vAlign w:val="center"/>
          </w:tcPr>
          <w:p w14:paraId="002B483E">
            <w:pPr>
              <w:pStyle w:val="22"/>
              <w:bidi w:val="0"/>
              <w:rPr>
                <w:rFonts w:hint="eastAsia"/>
                <w:color w:val="auto"/>
                <w:lang w:val="en-US" w:eastAsia="zh-CN"/>
              </w:rPr>
            </w:pPr>
            <w:r>
              <w:rPr>
                <w:rFonts w:hint="eastAsia"/>
                <w:color w:val="auto"/>
                <w:lang w:val="en-US" w:eastAsia="zh-CN"/>
              </w:rPr>
              <w:t>/</w:t>
            </w:r>
          </w:p>
        </w:tc>
        <w:tc>
          <w:tcPr>
            <w:tcW w:w="1605" w:type="dxa"/>
            <w:noWrap w:val="0"/>
            <w:vAlign w:val="center"/>
          </w:tcPr>
          <w:p w14:paraId="0506775C">
            <w:pPr>
              <w:pStyle w:val="22"/>
              <w:bidi w:val="0"/>
              <w:rPr>
                <w:rFonts w:hint="default"/>
                <w:color w:val="auto"/>
                <w:lang w:val="en-US" w:eastAsia="zh-CN"/>
              </w:rPr>
            </w:pPr>
            <w:r>
              <w:rPr>
                <w:rFonts w:hint="eastAsia"/>
                <w:color w:val="auto"/>
                <w:lang w:val="en-US" w:eastAsia="zh-CN"/>
              </w:rPr>
              <w:t>0.2t/a</w:t>
            </w:r>
          </w:p>
        </w:tc>
        <w:tc>
          <w:tcPr>
            <w:tcW w:w="1561" w:type="dxa"/>
            <w:noWrap w:val="0"/>
            <w:vAlign w:val="center"/>
          </w:tcPr>
          <w:p w14:paraId="730EF3FE">
            <w:pPr>
              <w:pStyle w:val="22"/>
              <w:bidi w:val="0"/>
              <w:rPr>
                <w:color w:val="auto"/>
              </w:rPr>
            </w:pPr>
            <w:r>
              <w:rPr>
                <w:color w:val="auto"/>
              </w:rPr>
              <w:t>+</w:t>
            </w:r>
            <w:r>
              <w:rPr>
                <w:rFonts w:hint="eastAsia"/>
                <w:color w:val="auto"/>
              </w:rPr>
              <w:t>0.</w:t>
            </w:r>
            <w:r>
              <w:rPr>
                <w:rFonts w:hint="eastAsia"/>
                <w:color w:val="auto"/>
                <w:lang w:val="en-US" w:eastAsia="zh-CN"/>
              </w:rPr>
              <w:t>2t/a</w:t>
            </w:r>
          </w:p>
        </w:tc>
      </w:tr>
      <w:tr w14:paraId="3C54B4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5D0EE651">
            <w:pPr>
              <w:pStyle w:val="22"/>
              <w:bidi w:val="0"/>
              <w:rPr>
                <w:color w:val="auto"/>
              </w:rPr>
            </w:pPr>
          </w:p>
        </w:tc>
        <w:tc>
          <w:tcPr>
            <w:tcW w:w="1941" w:type="dxa"/>
            <w:noWrap w:val="0"/>
            <w:vAlign w:val="center"/>
          </w:tcPr>
          <w:p w14:paraId="1A5EE23B">
            <w:pPr>
              <w:pStyle w:val="22"/>
              <w:bidi w:val="0"/>
              <w:rPr>
                <w:rFonts w:hint="default"/>
                <w:color w:val="auto"/>
                <w:lang w:val="en-US" w:eastAsia="zh-CN"/>
              </w:rPr>
            </w:pPr>
            <w:r>
              <w:rPr>
                <w:rFonts w:hint="eastAsia"/>
                <w:color w:val="auto"/>
                <w:lang w:val="en-US" w:eastAsia="zh-CN"/>
              </w:rPr>
              <w:t>含油抹布、手套</w:t>
            </w:r>
          </w:p>
        </w:tc>
        <w:tc>
          <w:tcPr>
            <w:tcW w:w="1449" w:type="dxa"/>
            <w:noWrap w:val="0"/>
            <w:vAlign w:val="center"/>
          </w:tcPr>
          <w:p w14:paraId="5AE6FD65">
            <w:pPr>
              <w:pStyle w:val="22"/>
              <w:bidi w:val="0"/>
              <w:rPr>
                <w:rFonts w:hint="eastAsia"/>
                <w:color w:val="auto"/>
                <w:lang w:val="en-US" w:eastAsia="zh-CN"/>
              </w:rPr>
            </w:pPr>
            <w:r>
              <w:rPr>
                <w:rFonts w:hint="eastAsia"/>
                <w:color w:val="auto"/>
                <w:lang w:val="en-US" w:eastAsia="zh-CN"/>
              </w:rPr>
              <w:t>/</w:t>
            </w:r>
          </w:p>
        </w:tc>
        <w:tc>
          <w:tcPr>
            <w:tcW w:w="1276" w:type="dxa"/>
            <w:noWrap w:val="0"/>
            <w:vAlign w:val="center"/>
          </w:tcPr>
          <w:p w14:paraId="78A6DC85">
            <w:pPr>
              <w:pStyle w:val="22"/>
              <w:bidi w:val="0"/>
              <w:rPr>
                <w:rFonts w:hint="eastAsia"/>
                <w:color w:val="auto"/>
                <w:lang w:val="en-US" w:eastAsia="zh-CN"/>
              </w:rPr>
            </w:pPr>
            <w:r>
              <w:rPr>
                <w:rFonts w:hint="eastAsia"/>
                <w:color w:val="auto"/>
                <w:lang w:val="en-US" w:eastAsia="zh-CN"/>
              </w:rPr>
              <w:t>/</w:t>
            </w:r>
          </w:p>
        </w:tc>
        <w:tc>
          <w:tcPr>
            <w:tcW w:w="1701" w:type="dxa"/>
            <w:noWrap w:val="0"/>
            <w:vAlign w:val="center"/>
          </w:tcPr>
          <w:p w14:paraId="1CC30792">
            <w:pPr>
              <w:pStyle w:val="22"/>
              <w:bidi w:val="0"/>
              <w:rPr>
                <w:rFonts w:hint="eastAsia"/>
                <w:color w:val="auto"/>
                <w:lang w:val="en-US" w:eastAsia="zh-CN"/>
              </w:rPr>
            </w:pPr>
            <w:r>
              <w:rPr>
                <w:rFonts w:hint="eastAsia"/>
                <w:color w:val="auto"/>
                <w:lang w:val="en-US" w:eastAsia="zh-CN"/>
              </w:rPr>
              <w:t>/</w:t>
            </w:r>
          </w:p>
        </w:tc>
        <w:tc>
          <w:tcPr>
            <w:tcW w:w="1559" w:type="dxa"/>
            <w:noWrap w:val="0"/>
            <w:vAlign w:val="center"/>
          </w:tcPr>
          <w:p w14:paraId="0ECBB67F">
            <w:pPr>
              <w:pStyle w:val="22"/>
              <w:bidi w:val="0"/>
              <w:rPr>
                <w:rFonts w:hint="default"/>
                <w:color w:val="auto"/>
                <w:lang w:val="en-US" w:eastAsia="zh-CN"/>
              </w:rPr>
            </w:pPr>
            <w:r>
              <w:rPr>
                <w:rFonts w:hint="eastAsia"/>
                <w:color w:val="auto"/>
                <w:lang w:val="en-US" w:eastAsia="zh-CN"/>
              </w:rPr>
              <w:t>0.01t/a</w:t>
            </w:r>
          </w:p>
        </w:tc>
        <w:tc>
          <w:tcPr>
            <w:tcW w:w="1380" w:type="dxa"/>
            <w:noWrap w:val="0"/>
            <w:vAlign w:val="center"/>
          </w:tcPr>
          <w:p w14:paraId="1BCCEAE3">
            <w:pPr>
              <w:pStyle w:val="22"/>
              <w:bidi w:val="0"/>
              <w:rPr>
                <w:rFonts w:hint="eastAsia"/>
                <w:color w:val="auto"/>
                <w:lang w:val="en-US" w:eastAsia="zh-CN"/>
              </w:rPr>
            </w:pPr>
            <w:r>
              <w:rPr>
                <w:rFonts w:hint="eastAsia"/>
                <w:color w:val="auto"/>
                <w:lang w:val="en-US" w:eastAsia="zh-CN"/>
              </w:rPr>
              <w:t>/</w:t>
            </w:r>
          </w:p>
        </w:tc>
        <w:tc>
          <w:tcPr>
            <w:tcW w:w="1605" w:type="dxa"/>
            <w:noWrap w:val="0"/>
            <w:vAlign w:val="center"/>
          </w:tcPr>
          <w:p w14:paraId="240C808D">
            <w:pPr>
              <w:pStyle w:val="22"/>
              <w:bidi w:val="0"/>
              <w:rPr>
                <w:rFonts w:hint="default"/>
                <w:color w:val="auto"/>
                <w:lang w:val="en-US" w:eastAsia="zh-CN"/>
              </w:rPr>
            </w:pPr>
            <w:r>
              <w:rPr>
                <w:rFonts w:hint="eastAsia"/>
                <w:color w:val="auto"/>
                <w:lang w:val="en-US" w:eastAsia="zh-CN"/>
              </w:rPr>
              <w:t>0.01t/a</w:t>
            </w:r>
          </w:p>
        </w:tc>
        <w:tc>
          <w:tcPr>
            <w:tcW w:w="1561" w:type="dxa"/>
            <w:noWrap w:val="0"/>
            <w:vAlign w:val="center"/>
          </w:tcPr>
          <w:p w14:paraId="03986093">
            <w:pPr>
              <w:pStyle w:val="22"/>
              <w:bidi w:val="0"/>
              <w:rPr>
                <w:color w:val="auto"/>
              </w:rPr>
            </w:pPr>
            <w:r>
              <w:rPr>
                <w:color w:val="auto"/>
              </w:rPr>
              <w:t>+</w:t>
            </w:r>
            <w:r>
              <w:rPr>
                <w:rFonts w:hint="eastAsia"/>
                <w:color w:val="auto"/>
              </w:rPr>
              <w:t>0.</w:t>
            </w:r>
            <w:r>
              <w:rPr>
                <w:rFonts w:hint="eastAsia"/>
                <w:color w:val="auto"/>
                <w:lang w:val="en-US" w:eastAsia="zh-CN"/>
              </w:rPr>
              <w:t>01t/a</w:t>
            </w:r>
          </w:p>
        </w:tc>
      </w:tr>
      <w:tr w14:paraId="0B94C1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64EC5A8A">
            <w:pPr>
              <w:pStyle w:val="22"/>
              <w:bidi w:val="0"/>
              <w:rPr>
                <w:color w:val="auto"/>
              </w:rPr>
            </w:pPr>
          </w:p>
        </w:tc>
        <w:tc>
          <w:tcPr>
            <w:tcW w:w="1941" w:type="dxa"/>
            <w:noWrap w:val="0"/>
            <w:vAlign w:val="center"/>
          </w:tcPr>
          <w:p w14:paraId="2D8068A2">
            <w:pPr>
              <w:pStyle w:val="22"/>
              <w:bidi w:val="0"/>
              <w:rPr>
                <w:rFonts w:hint="default"/>
                <w:color w:val="auto"/>
                <w:lang w:val="en-US" w:eastAsia="zh-CN"/>
              </w:rPr>
            </w:pPr>
            <w:r>
              <w:rPr>
                <w:rFonts w:hint="eastAsia"/>
                <w:color w:val="auto"/>
                <w:lang w:val="en-US" w:eastAsia="zh-CN"/>
              </w:rPr>
              <w:t>废活性炭</w:t>
            </w:r>
          </w:p>
        </w:tc>
        <w:tc>
          <w:tcPr>
            <w:tcW w:w="1449" w:type="dxa"/>
            <w:noWrap w:val="0"/>
            <w:vAlign w:val="center"/>
          </w:tcPr>
          <w:p w14:paraId="4F297560">
            <w:pPr>
              <w:pStyle w:val="22"/>
              <w:bidi w:val="0"/>
              <w:rPr>
                <w:rFonts w:hint="eastAsia"/>
                <w:color w:val="auto"/>
                <w:lang w:val="en-US" w:eastAsia="zh-CN"/>
              </w:rPr>
            </w:pPr>
            <w:r>
              <w:rPr>
                <w:rFonts w:hint="eastAsia"/>
                <w:color w:val="auto"/>
                <w:lang w:val="en-US" w:eastAsia="zh-CN"/>
              </w:rPr>
              <w:t>/</w:t>
            </w:r>
          </w:p>
        </w:tc>
        <w:tc>
          <w:tcPr>
            <w:tcW w:w="1276" w:type="dxa"/>
            <w:noWrap w:val="0"/>
            <w:vAlign w:val="center"/>
          </w:tcPr>
          <w:p w14:paraId="35EAB867">
            <w:pPr>
              <w:pStyle w:val="22"/>
              <w:bidi w:val="0"/>
              <w:rPr>
                <w:rFonts w:hint="eastAsia"/>
                <w:color w:val="auto"/>
                <w:lang w:val="en-US" w:eastAsia="zh-CN"/>
              </w:rPr>
            </w:pPr>
            <w:r>
              <w:rPr>
                <w:rFonts w:hint="eastAsia"/>
                <w:color w:val="auto"/>
                <w:lang w:val="en-US" w:eastAsia="zh-CN"/>
              </w:rPr>
              <w:t>/</w:t>
            </w:r>
          </w:p>
        </w:tc>
        <w:tc>
          <w:tcPr>
            <w:tcW w:w="1701" w:type="dxa"/>
            <w:noWrap w:val="0"/>
            <w:vAlign w:val="center"/>
          </w:tcPr>
          <w:p w14:paraId="6AE81936">
            <w:pPr>
              <w:pStyle w:val="22"/>
              <w:bidi w:val="0"/>
              <w:rPr>
                <w:rFonts w:hint="eastAsia"/>
                <w:color w:val="auto"/>
                <w:lang w:val="en-US" w:eastAsia="zh-CN"/>
              </w:rPr>
            </w:pPr>
            <w:r>
              <w:rPr>
                <w:rFonts w:hint="eastAsia"/>
                <w:color w:val="auto"/>
                <w:lang w:val="en-US" w:eastAsia="zh-CN"/>
              </w:rPr>
              <w:t>/</w:t>
            </w:r>
          </w:p>
        </w:tc>
        <w:tc>
          <w:tcPr>
            <w:tcW w:w="1559" w:type="dxa"/>
            <w:noWrap w:val="0"/>
            <w:vAlign w:val="center"/>
          </w:tcPr>
          <w:p w14:paraId="7E4904E5">
            <w:pPr>
              <w:pStyle w:val="22"/>
              <w:bidi w:val="0"/>
              <w:rPr>
                <w:rFonts w:hint="default"/>
                <w:color w:val="auto"/>
                <w:lang w:val="en-US" w:eastAsia="zh-CN"/>
              </w:rPr>
            </w:pPr>
            <w:r>
              <w:rPr>
                <w:rFonts w:hint="eastAsia"/>
                <w:color w:val="auto"/>
                <w:lang w:val="en-US" w:eastAsia="zh-CN"/>
              </w:rPr>
              <w:t>10.53t/a</w:t>
            </w:r>
          </w:p>
        </w:tc>
        <w:tc>
          <w:tcPr>
            <w:tcW w:w="1380" w:type="dxa"/>
            <w:noWrap w:val="0"/>
            <w:vAlign w:val="center"/>
          </w:tcPr>
          <w:p w14:paraId="4A58A3F7">
            <w:pPr>
              <w:pStyle w:val="22"/>
              <w:bidi w:val="0"/>
              <w:rPr>
                <w:rFonts w:hint="eastAsia"/>
                <w:color w:val="auto"/>
                <w:lang w:val="en-US" w:eastAsia="zh-CN"/>
              </w:rPr>
            </w:pPr>
          </w:p>
        </w:tc>
        <w:tc>
          <w:tcPr>
            <w:tcW w:w="1605" w:type="dxa"/>
            <w:noWrap w:val="0"/>
            <w:vAlign w:val="center"/>
          </w:tcPr>
          <w:p w14:paraId="435A6EDA">
            <w:pPr>
              <w:pStyle w:val="22"/>
              <w:bidi w:val="0"/>
              <w:ind w:firstLine="0" w:firstLineChars="0"/>
              <w:rPr>
                <w:rFonts w:hint="default"/>
                <w:color w:val="auto"/>
                <w:lang w:val="en-US" w:eastAsia="zh-CN"/>
              </w:rPr>
            </w:pPr>
            <w:r>
              <w:rPr>
                <w:rFonts w:hint="eastAsia"/>
                <w:color w:val="auto"/>
                <w:lang w:val="en-US" w:eastAsia="zh-CN"/>
              </w:rPr>
              <w:t>10.53t/a</w:t>
            </w:r>
          </w:p>
        </w:tc>
        <w:tc>
          <w:tcPr>
            <w:tcW w:w="1561" w:type="dxa"/>
            <w:noWrap w:val="0"/>
            <w:vAlign w:val="center"/>
          </w:tcPr>
          <w:p w14:paraId="39C096AC">
            <w:pPr>
              <w:pStyle w:val="22"/>
              <w:bidi w:val="0"/>
              <w:rPr>
                <w:rFonts w:hint="default"/>
                <w:color w:val="auto"/>
                <w:lang w:val="en-US" w:eastAsia="zh-CN"/>
              </w:rPr>
            </w:pPr>
            <w:r>
              <w:rPr>
                <w:color w:val="auto"/>
              </w:rPr>
              <w:t>+</w:t>
            </w:r>
            <w:r>
              <w:rPr>
                <w:rFonts w:hint="eastAsia"/>
                <w:color w:val="auto"/>
                <w:lang w:val="en-US" w:eastAsia="zh-CN"/>
              </w:rPr>
              <w:t>10.53t/a</w:t>
            </w:r>
          </w:p>
        </w:tc>
      </w:tr>
    </w:tbl>
    <w:p w14:paraId="2F1A42D0">
      <w:pPr>
        <w:rPr>
          <w:rFonts w:eastAsia="黑体"/>
          <w:color w:val="0000FF"/>
        </w:rPr>
      </w:pPr>
      <w:r>
        <w:rPr>
          <w:snapToGrid w:val="0"/>
          <w:color w:val="auto"/>
          <w:kern w:val="21"/>
          <w:szCs w:val="21"/>
        </w:rPr>
        <w:t>注：</w:t>
      </w:r>
      <w:r>
        <w:rPr>
          <w:snapToGrid w:val="0"/>
          <w:color w:val="auto"/>
          <w:spacing w:val="-16"/>
          <w:kern w:val="21"/>
          <w:szCs w:val="21"/>
        </w:rPr>
        <w:fldChar w:fldCharType="begin"/>
      </w:r>
      <w:r>
        <w:rPr>
          <w:snapToGrid w:val="0"/>
          <w:color w:val="auto"/>
          <w:spacing w:val="-16"/>
          <w:kern w:val="21"/>
          <w:szCs w:val="21"/>
        </w:rPr>
        <w:instrText xml:space="preserve"> = 6 \* GB3 \* MERGEFORMAT </w:instrText>
      </w:r>
      <w:r>
        <w:rPr>
          <w:snapToGrid w:val="0"/>
          <w:color w:val="auto"/>
          <w:spacing w:val="-16"/>
          <w:kern w:val="21"/>
          <w:szCs w:val="21"/>
        </w:rPr>
        <w:fldChar w:fldCharType="separate"/>
      </w:r>
      <w:r>
        <w:rPr>
          <w:color w:val="auto"/>
          <w:szCs w:val="21"/>
        </w:rPr>
        <w:t>⑥</w:t>
      </w:r>
      <w:r>
        <w:rPr>
          <w:snapToGrid w:val="0"/>
          <w:color w:val="auto"/>
          <w:spacing w:val="-16"/>
          <w:kern w:val="21"/>
          <w:szCs w:val="21"/>
        </w:rPr>
        <w:fldChar w:fldCharType="end"/>
      </w:r>
      <w:r>
        <w:rPr>
          <w:snapToGrid w:val="0"/>
          <w:color w:val="auto"/>
          <w:spacing w:val="-16"/>
          <w:kern w:val="21"/>
          <w:szCs w:val="21"/>
        </w:rPr>
        <w:t>=</w:t>
      </w:r>
      <w:r>
        <w:rPr>
          <w:snapToGrid w:val="0"/>
          <w:color w:val="auto"/>
          <w:spacing w:val="-6"/>
          <w:kern w:val="21"/>
          <w:szCs w:val="21"/>
        </w:rPr>
        <w:fldChar w:fldCharType="begin"/>
      </w:r>
      <w:r>
        <w:rPr>
          <w:snapToGrid w:val="0"/>
          <w:color w:val="auto"/>
          <w:spacing w:val="-6"/>
          <w:kern w:val="21"/>
          <w:szCs w:val="21"/>
        </w:rPr>
        <w:instrText xml:space="preserve"> = 1 \* GB3 \* MERGEFORMAT </w:instrText>
      </w:r>
      <w:r>
        <w:rPr>
          <w:snapToGrid w:val="0"/>
          <w:color w:val="auto"/>
          <w:spacing w:val="-6"/>
          <w:kern w:val="21"/>
          <w:szCs w:val="21"/>
        </w:rPr>
        <w:fldChar w:fldCharType="separate"/>
      </w:r>
      <w:r>
        <w:rPr>
          <w:color w:val="auto"/>
          <w:szCs w:val="21"/>
        </w:rPr>
        <w:t>①</w:t>
      </w:r>
      <w:r>
        <w:rPr>
          <w:snapToGrid w:val="0"/>
          <w:color w:val="auto"/>
          <w:spacing w:val="-6"/>
          <w:kern w:val="21"/>
          <w:szCs w:val="21"/>
        </w:rPr>
        <w:fldChar w:fldCharType="end"/>
      </w:r>
      <w:r>
        <w:rPr>
          <w:snapToGrid w:val="0"/>
          <w:color w:val="auto"/>
          <w:spacing w:val="-6"/>
          <w:kern w:val="21"/>
          <w:szCs w:val="21"/>
        </w:rPr>
        <w:t>+</w:t>
      </w:r>
      <w:r>
        <w:rPr>
          <w:snapToGrid w:val="0"/>
          <w:color w:val="auto"/>
          <w:spacing w:val="-6"/>
          <w:kern w:val="21"/>
          <w:szCs w:val="21"/>
        </w:rPr>
        <w:fldChar w:fldCharType="begin"/>
      </w:r>
      <w:r>
        <w:rPr>
          <w:snapToGrid w:val="0"/>
          <w:color w:val="auto"/>
          <w:spacing w:val="-6"/>
          <w:kern w:val="21"/>
          <w:szCs w:val="21"/>
        </w:rPr>
        <w:instrText xml:space="preserve"> = 3 \* GB3 \* MERGEFORMAT </w:instrText>
      </w:r>
      <w:r>
        <w:rPr>
          <w:snapToGrid w:val="0"/>
          <w:color w:val="auto"/>
          <w:spacing w:val="-6"/>
          <w:kern w:val="21"/>
          <w:szCs w:val="21"/>
        </w:rPr>
        <w:fldChar w:fldCharType="separate"/>
      </w:r>
      <w:r>
        <w:rPr>
          <w:color w:val="auto"/>
          <w:szCs w:val="21"/>
        </w:rPr>
        <w:t>③</w:t>
      </w:r>
      <w:r>
        <w:rPr>
          <w:snapToGrid w:val="0"/>
          <w:color w:val="auto"/>
          <w:spacing w:val="-6"/>
          <w:kern w:val="21"/>
          <w:szCs w:val="21"/>
        </w:rPr>
        <w:fldChar w:fldCharType="end"/>
      </w:r>
      <w:r>
        <w:rPr>
          <w:snapToGrid w:val="0"/>
          <w:color w:val="auto"/>
          <w:spacing w:val="-6"/>
          <w:kern w:val="21"/>
          <w:szCs w:val="21"/>
        </w:rPr>
        <w:t>+</w:t>
      </w:r>
      <w:r>
        <w:rPr>
          <w:snapToGrid w:val="0"/>
          <w:color w:val="auto"/>
          <w:spacing w:val="-6"/>
          <w:kern w:val="21"/>
          <w:szCs w:val="21"/>
        </w:rPr>
        <w:fldChar w:fldCharType="begin"/>
      </w:r>
      <w:r>
        <w:rPr>
          <w:snapToGrid w:val="0"/>
          <w:color w:val="auto"/>
          <w:spacing w:val="-6"/>
          <w:kern w:val="21"/>
          <w:szCs w:val="21"/>
        </w:rPr>
        <w:instrText xml:space="preserve"> = 4 \* GB3 \* MERGEFORMAT </w:instrText>
      </w:r>
      <w:r>
        <w:rPr>
          <w:snapToGrid w:val="0"/>
          <w:color w:val="auto"/>
          <w:spacing w:val="-6"/>
          <w:kern w:val="21"/>
          <w:szCs w:val="21"/>
        </w:rPr>
        <w:fldChar w:fldCharType="separate"/>
      </w:r>
      <w:r>
        <w:rPr>
          <w:color w:val="auto"/>
          <w:szCs w:val="21"/>
        </w:rPr>
        <w:t>④</w:t>
      </w:r>
      <w:r>
        <w:rPr>
          <w:snapToGrid w:val="0"/>
          <w:color w:val="auto"/>
          <w:spacing w:val="-6"/>
          <w:kern w:val="21"/>
          <w:szCs w:val="21"/>
        </w:rPr>
        <w:fldChar w:fldCharType="end"/>
      </w:r>
      <w:r>
        <w:rPr>
          <w:snapToGrid w:val="0"/>
          <w:color w:val="auto"/>
          <w:spacing w:val="-6"/>
          <w:kern w:val="21"/>
          <w:szCs w:val="21"/>
        </w:rPr>
        <w:t>-</w:t>
      </w:r>
      <w:r>
        <w:rPr>
          <w:snapToGrid w:val="0"/>
          <w:color w:val="auto"/>
          <w:spacing w:val="-16"/>
          <w:kern w:val="21"/>
          <w:szCs w:val="21"/>
        </w:rPr>
        <w:fldChar w:fldCharType="begin"/>
      </w:r>
      <w:r>
        <w:rPr>
          <w:snapToGrid w:val="0"/>
          <w:color w:val="auto"/>
          <w:spacing w:val="-16"/>
          <w:kern w:val="21"/>
          <w:szCs w:val="21"/>
        </w:rPr>
        <w:instrText xml:space="preserve"> = 5 \* GB3 \* MERGEFORMAT </w:instrText>
      </w:r>
      <w:r>
        <w:rPr>
          <w:snapToGrid w:val="0"/>
          <w:color w:val="auto"/>
          <w:spacing w:val="-16"/>
          <w:kern w:val="21"/>
          <w:szCs w:val="21"/>
        </w:rPr>
        <w:fldChar w:fldCharType="separate"/>
      </w:r>
      <w:r>
        <w:rPr>
          <w:color w:val="auto"/>
          <w:szCs w:val="21"/>
        </w:rPr>
        <w:t>⑤</w:t>
      </w:r>
      <w:r>
        <w:rPr>
          <w:snapToGrid w:val="0"/>
          <w:color w:val="auto"/>
          <w:spacing w:val="-16"/>
          <w:kern w:val="21"/>
          <w:szCs w:val="21"/>
        </w:rPr>
        <w:fldChar w:fldCharType="end"/>
      </w:r>
      <w:r>
        <w:rPr>
          <w:snapToGrid w:val="0"/>
          <w:color w:val="auto"/>
          <w:spacing w:val="-16"/>
          <w:kern w:val="21"/>
          <w:szCs w:val="21"/>
        </w:rPr>
        <w:t>；</w:t>
      </w:r>
      <w:r>
        <w:rPr>
          <w:snapToGrid w:val="0"/>
          <w:color w:val="auto"/>
          <w:spacing w:val="-6"/>
          <w:kern w:val="21"/>
          <w:szCs w:val="21"/>
        </w:rPr>
        <w:fldChar w:fldCharType="begin"/>
      </w:r>
      <w:r>
        <w:rPr>
          <w:snapToGrid w:val="0"/>
          <w:color w:val="auto"/>
          <w:spacing w:val="-6"/>
          <w:kern w:val="21"/>
          <w:szCs w:val="21"/>
        </w:rPr>
        <w:instrText xml:space="preserve"> = 7 \* GB3 \* MERGEFORMAT </w:instrText>
      </w:r>
      <w:r>
        <w:rPr>
          <w:snapToGrid w:val="0"/>
          <w:color w:val="auto"/>
          <w:spacing w:val="-6"/>
          <w:kern w:val="21"/>
          <w:szCs w:val="21"/>
        </w:rPr>
        <w:fldChar w:fldCharType="separate"/>
      </w:r>
      <w:r>
        <w:rPr>
          <w:color w:val="auto"/>
          <w:szCs w:val="21"/>
        </w:rPr>
        <w:t>⑦</w:t>
      </w:r>
      <w:r>
        <w:rPr>
          <w:snapToGrid w:val="0"/>
          <w:color w:val="auto"/>
          <w:spacing w:val="-6"/>
          <w:kern w:val="21"/>
          <w:szCs w:val="21"/>
        </w:rPr>
        <w:fldChar w:fldCharType="end"/>
      </w:r>
      <w:r>
        <w:rPr>
          <w:snapToGrid w:val="0"/>
          <w:color w:val="auto"/>
          <w:spacing w:val="-6"/>
          <w:kern w:val="21"/>
          <w:szCs w:val="21"/>
        </w:rPr>
        <w:t>=</w:t>
      </w:r>
      <w:r>
        <w:rPr>
          <w:snapToGrid w:val="0"/>
          <w:color w:val="auto"/>
          <w:spacing w:val="-16"/>
          <w:kern w:val="21"/>
          <w:szCs w:val="21"/>
        </w:rPr>
        <w:fldChar w:fldCharType="begin"/>
      </w:r>
      <w:r>
        <w:rPr>
          <w:snapToGrid w:val="0"/>
          <w:color w:val="auto"/>
          <w:spacing w:val="-16"/>
          <w:kern w:val="21"/>
          <w:szCs w:val="21"/>
        </w:rPr>
        <w:instrText xml:space="preserve"> = 6 \* GB3 \* MERGEFORMAT </w:instrText>
      </w:r>
      <w:r>
        <w:rPr>
          <w:snapToGrid w:val="0"/>
          <w:color w:val="auto"/>
          <w:spacing w:val="-16"/>
          <w:kern w:val="21"/>
          <w:szCs w:val="21"/>
        </w:rPr>
        <w:fldChar w:fldCharType="separate"/>
      </w:r>
      <w:r>
        <w:rPr>
          <w:color w:val="auto"/>
          <w:szCs w:val="21"/>
        </w:rPr>
        <w:t>⑥</w:t>
      </w:r>
      <w:r>
        <w:rPr>
          <w:snapToGrid w:val="0"/>
          <w:color w:val="auto"/>
          <w:spacing w:val="-16"/>
          <w:kern w:val="21"/>
          <w:szCs w:val="21"/>
        </w:rPr>
        <w:fldChar w:fldCharType="end"/>
      </w:r>
      <w:r>
        <w:rPr>
          <w:snapToGrid w:val="0"/>
          <w:color w:val="auto"/>
          <w:spacing w:val="-16"/>
          <w:kern w:val="21"/>
          <w:szCs w:val="21"/>
        </w:rPr>
        <w:t>-</w:t>
      </w:r>
      <w:r>
        <w:rPr>
          <w:snapToGrid w:val="0"/>
          <w:color w:val="auto"/>
          <w:spacing w:val="-6"/>
          <w:kern w:val="21"/>
          <w:szCs w:val="21"/>
        </w:rPr>
        <w:fldChar w:fldCharType="begin"/>
      </w:r>
      <w:r>
        <w:rPr>
          <w:snapToGrid w:val="0"/>
          <w:color w:val="auto"/>
          <w:spacing w:val="-6"/>
          <w:kern w:val="21"/>
          <w:szCs w:val="21"/>
        </w:rPr>
        <w:instrText xml:space="preserve"> = 1 \* GB3 \* MERGEFORMAT </w:instrText>
      </w:r>
      <w:r>
        <w:rPr>
          <w:snapToGrid w:val="0"/>
          <w:color w:val="auto"/>
          <w:spacing w:val="-6"/>
          <w:kern w:val="21"/>
          <w:szCs w:val="21"/>
        </w:rPr>
        <w:fldChar w:fldCharType="separate"/>
      </w:r>
      <w:r>
        <w:rPr>
          <w:color w:val="auto"/>
          <w:szCs w:val="21"/>
        </w:rPr>
        <w:t>①</w:t>
      </w:r>
      <w:r>
        <w:rPr>
          <w:snapToGrid w:val="0"/>
          <w:color w:val="auto"/>
          <w:spacing w:val="-6"/>
          <w:kern w:val="21"/>
          <w:szCs w:val="21"/>
        </w:rPr>
        <w:fldChar w:fldCharType="end"/>
      </w:r>
    </w:p>
    <w:sectPr>
      <w:footerReference r:id="rId7" w:type="default"/>
      <w:pgSz w:w="16838" w:h="11906" w:orient="landscape"/>
      <w:pgMar w:top="1213" w:right="1800" w:bottom="1213" w:left="1800" w:header="851" w:footer="851" w:gutter="0"/>
      <w:pgBorders>
        <w:top w:val="none" w:sz="0" w:space="0"/>
        <w:left w:val="none" w:sz="0" w:space="0"/>
        <w:bottom w:val="none" w:sz="0" w:space="0"/>
        <w:right w:val="none" w:sz="0" w:space="0"/>
      </w:pgBorders>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270E906-9D06-4F71-B5C5-EED861FBAC6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A01D566B-B47B-46BB-BD1C-0297766FAEF1}"/>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小标宋_GBK">
    <w:panose1 w:val="02000000000000000000"/>
    <w:charset w:val="86"/>
    <w:family w:val="script"/>
    <w:pitch w:val="default"/>
    <w:sig w:usb0="A00002BF" w:usb1="38CF7CFA" w:usb2="00082016" w:usb3="00000000" w:csb0="00040001" w:csb1="00000000"/>
    <w:embedRegular r:id="rId3" w:fontKey="{1E3C6992-EB7F-46CE-8C84-4D6D611C31DC}"/>
  </w:font>
  <w:font w:name="楷体">
    <w:panose1 w:val="02010609060101010101"/>
    <w:charset w:val="86"/>
    <w:family w:val="auto"/>
    <w:pitch w:val="default"/>
    <w:sig w:usb0="800002BF" w:usb1="38CF7CFA" w:usb2="00000016" w:usb3="00000000" w:csb0="00040001" w:csb1="00000000"/>
    <w:embedRegular r:id="rId4" w:fontKey="{FFF0A92E-18C1-454D-8100-53AE952DEAEB}"/>
  </w:font>
  <w:font w:name="Wingdings 2">
    <w:panose1 w:val="05020102010507070707"/>
    <w:charset w:val="02"/>
    <w:family w:val="roman"/>
    <w:pitch w:val="default"/>
    <w:sig w:usb0="00000000" w:usb1="00000000" w:usb2="00000000" w:usb3="00000000" w:csb0="80000000" w:csb1="00000000"/>
    <w:embedRegular r:id="rId5" w:fontKey="{1B24A6D1-C132-45D8-A8CF-9C2E548FFC4C}"/>
  </w:font>
  <w:font w:name="WPSEMBED3">
    <w:panose1 w:val="02000000000000000000"/>
    <w:charset w:val="86"/>
    <w:family w:val="auto"/>
    <w:pitch w:val="default"/>
    <w:sig w:usb0="A00002BF" w:usb1="38CF7CFA" w:usb2="00082016" w:usb3="00000000" w:csb0="00040001" w:csb1="00000000"/>
  </w:font>
  <w:font w:name="WPSEMBED4">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C667A">
    <w:pPr>
      <w:tabs>
        <w:tab w:val="center" w:pos="4153"/>
        <w:tab w:val="right" w:pos="8306"/>
      </w:tabs>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40628">
    <w:pPr>
      <w:framePr w:wrap="around" w:vAnchor="text" w:hAnchor="margin" w:xAlign="outside" w:y="1"/>
      <w:tabs>
        <w:tab w:val="center" w:pos="4153"/>
        <w:tab w:val="right" w:pos="8306"/>
      </w:tabs>
      <w:rPr>
        <w:rFonts w:ascii="宋体" w:hAnsi="宋体"/>
        <w:sz w:val="28"/>
        <w:szCs w:val="28"/>
      </w:rPr>
    </w:pPr>
    <w:r>
      <w:rPr>
        <w:rFonts w:hint="eastAsia" w:ascii="宋体" w:hAnsi="宋体"/>
        <w:sz w:val="28"/>
        <w:szCs w:val="28"/>
      </w:rPr>
      <w:t>—</w:t>
    </w:r>
    <w:r>
      <w:rPr>
        <w:rFonts w:hint="eastAsia" w:ascii="宋体" w:hAnsi="宋体"/>
        <w:sz w:val="28"/>
        <w:szCs w:val="28"/>
        <w:lang w:val="en-US" w:eastAsia="zh-CN"/>
      </w:rPr>
      <w:t xml:space="preserve"> </w:t>
    </w:r>
    <w:r>
      <w:rPr>
        <w:rFonts w:ascii="宋体" w:hAnsi="宋体"/>
        <w:sz w:val="26"/>
        <w:szCs w:val="26"/>
      </w:rPr>
      <w:fldChar w:fldCharType="begin"/>
    </w:r>
    <w:r>
      <w:rPr>
        <w:rFonts w:ascii="宋体" w:hAnsi="宋体"/>
        <w:sz w:val="26"/>
        <w:szCs w:val="26"/>
      </w:rPr>
      <w:instrText xml:space="preserve">PAGE  </w:instrText>
    </w:r>
    <w:r>
      <w:rPr>
        <w:rFonts w:ascii="宋体" w:hAnsi="宋体"/>
        <w:sz w:val="26"/>
        <w:szCs w:val="26"/>
      </w:rPr>
      <w:fldChar w:fldCharType="separate"/>
    </w:r>
    <w:r>
      <w:rPr>
        <w:rFonts w:ascii="宋体" w:hAnsi="宋体"/>
        <w:sz w:val="26"/>
        <w:szCs w:val="26"/>
      </w:rPr>
      <w:t>25</w:t>
    </w:r>
    <w:r>
      <w:rPr>
        <w:rFonts w:ascii="宋体" w:hAnsi="宋体"/>
        <w:sz w:val="26"/>
        <w:szCs w:val="26"/>
      </w:rPr>
      <w:fldChar w:fldCharType="end"/>
    </w:r>
    <w:r>
      <w:rPr>
        <w:rFonts w:hint="eastAsia" w:ascii="宋体" w:hAnsi="宋体"/>
        <w:sz w:val="26"/>
        <w:szCs w:val="26"/>
        <w:lang w:val="en-US" w:eastAsia="zh-CN"/>
      </w:rPr>
      <w:t xml:space="preserve"> </w:t>
    </w:r>
    <w:r>
      <w:rPr>
        <w:rFonts w:hint="eastAsia" w:ascii="宋体" w:hAnsi="宋体"/>
        <w:sz w:val="28"/>
        <w:szCs w:val="28"/>
      </w:rPr>
      <w:t>—</w:t>
    </w:r>
  </w:p>
  <w:p w14:paraId="5D4F916F">
    <w:pPr>
      <w:tabs>
        <w:tab w:val="center" w:pos="4153"/>
        <w:tab w:val="right" w:pos="8306"/>
      </w:tabs>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56621">
    <w:pPr>
      <w:framePr w:wrap="around" w:vAnchor="text" w:hAnchor="margin" w:xAlign="outside" w:y="1"/>
      <w:tabs>
        <w:tab w:val="center" w:pos="4153"/>
        <w:tab w:val="right" w:pos="8306"/>
      </w:tabs>
      <w:rPr>
        <w:rFonts w:ascii="宋体" w:hAnsi="宋体"/>
        <w:sz w:val="28"/>
        <w:szCs w:val="28"/>
      </w:rPr>
    </w:pPr>
    <w:r>
      <w:rPr>
        <w:rFonts w:hint="eastAsia" w:ascii="宋体" w:hAnsi="宋体"/>
        <w:sz w:val="28"/>
        <w:szCs w:val="28"/>
      </w:rPr>
      <w:t>—</w:t>
    </w:r>
    <w:r>
      <w:rPr>
        <w:rFonts w:hint="eastAsia" w:ascii="宋体" w:hAnsi="宋体"/>
        <w:sz w:val="28"/>
        <w:szCs w:val="28"/>
        <w:lang w:val="en-US" w:eastAsia="zh-CN"/>
      </w:rPr>
      <w:t xml:space="preserve"> </w:t>
    </w:r>
    <w:r>
      <w:rPr>
        <w:rFonts w:ascii="宋体" w:hAnsi="宋体"/>
        <w:sz w:val="26"/>
        <w:szCs w:val="26"/>
      </w:rPr>
      <w:fldChar w:fldCharType="begin"/>
    </w:r>
    <w:r>
      <w:rPr>
        <w:rFonts w:ascii="宋体" w:hAnsi="宋体"/>
        <w:sz w:val="26"/>
        <w:szCs w:val="26"/>
      </w:rPr>
      <w:instrText xml:space="preserve">PAGE  </w:instrText>
    </w:r>
    <w:r>
      <w:rPr>
        <w:rFonts w:ascii="宋体" w:hAnsi="宋体"/>
        <w:sz w:val="26"/>
        <w:szCs w:val="26"/>
      </w:rPr>
      <w:fldChar w:fldCharType="separate"/>
    </w:r>
    <w:r>
      <w:rPr>
        <w:rFonts w:ascii="宋体" w:hAnsi="宋体"/>
        <w:sz w:val="26"/>
        <w:szCs w:val="26"/>
      </w:rPr>
      <w:t>61</w:t>
    </w:r>
    <w:r>
      <w:rPr>
        <w:rFonts w:ascii="宋体" w:hAnsi="宋体"/>
        <w:sz w:val="26"/>
        <w:szCs w:val="26"/>
      </w:rPr>
      <w:fldChar w:fldCharType="end"/>
    </w:r>
    <w:r>
      <w:rPr>
        <w:rFonts w:hint="eastAsia" w:ascii="宋体" w:hAnsi="宋体"/>
        <w:sz w:val="26"/>
        <w:szCs w:val="26"/>
        <w:lang w:val="en-US" w:eastAsia="zh-CN"/>
      </w:rPr>
      <w:t xml:space="preserve"> </w:t>
    </w:r>
    <w:r>
      <w:rPr>
        <w:rFonts w:hint="eastAsia" w:ascii="宋体" w:hAnsi="宋体"/>
        <w:sz w:val="28"/>
        <w:szCs w:val="28"/>
      </w:rPr>
      <w:t>—</w:t>
    </w:r>
  </w:p>
  <w:p w14:paraId="7B28AC9C">
    <w:pPr>
      <w:tabs>
        <w:tab w:val="center" w:pos="4153"/>
        <w:tab w:val="right" w:pos="8306"/>
      </w:tabs>
      <w:ind w:right="360"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862CA9"/>
    <w:multiLevelType w:val="multilevel"/>
    <w:tmpl w:val="41862CA9"/>
    <w:lvl w:ilvl="0" w:tentative="0">
      <w:start w:val="1"/>
      <w:numFmt w:val="decimal"/>
      <w:suff w:val="space"/>
      <w:lvlText w:val="%1"/>
      <w:lvlJc w:val="left"/>
      <w:pPr>
        <w:ind w:left="0" w:firstLine="0"/>
      </w:pPr>
      <w:rPr>
        <w:rFonts w:hint="eastAsia"/>
        <w:sz w:val="30"/>
        <w:szCs w:val="30"/>
      </w:rPr>
    </w:lvl>
    <w:lvl w:ilvl="1" w:tentative="0">
      <w:start w:val="1"/>
      <w:numFmt w:val="decimal"/>
      <w:pStyle w:val="33"/>
      <w:suff w:val="space"/>
      <w:lvlText w:val="%1.%2"/>
      <w:lvlJc w:val="left"/>
      <w:pPr>
        <w:ind w:left="1417" w:firstLine="0"/>
      </w:pPr>
      <w:rPr>
        <w:rFonts w:hint="default" w:ascii="Arial" w:hAnsi="Arial"/>
      </w:rPr>
    </w:lvl>
    <w:lvl w:ilvl="2" w:tentative="0">
      <w:start w:val="1"/>
      <w:numFmt w:val="decimal"/>
      <w:suff w:val="space"/>
      <w:lvlText w:val="%1.%2.%3"/>
      <w:lvlJc w:val="left"/>
      <w:pPr>
        <w:ind w:left="994" w:hanging="426"/>
      </w:pPr>
      <w:rPr>
        <w:rFonts w:hint="default" w:ascii="Arial" w:hAnsi="Arial"/>
      </w:rPr>
    </w:lvl>
    <w:lvl w:ilvl="3" w:tentative="0">
      <w:start w:val="1"/>
      <w:numFmt w:val="decimal"/>
      <w:suff w:val="nothing"/>
      <w:lvlText w:val="%1.%2.%3.%4"/>
      <w:lvlJc w:val="left"/>
      <w:pPr>
        <w:ind w:left="851" w:hanging="851"/>
      </w:pPr>
      <w:rPr>
        <w:rFonts w:hint="eastAsia" w:ascii="Arial" w:hAnsi="Arial"/>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7B4A2615"/>
    <w:multiLevelType w:val="multilevel"/>
    <w:tmpl w:val="7B4A2615"/>
    <w:lvl w:ilvl="0" w:tentative="0">
      <w:start w:val="0"/>
      <w:numFmt w:val="chineseCountingThousand"/>
      <w:lvlText w:val="第%1章"/>
      <w:lvlJc w:val="left"/>
      <w:pPr>
        <w:ind w:left="420" w:hanging="420"/>
      </w:pPr>
      <w:rPr>
        <w:rFonts w:hint="default"/>
        <w:sz w:val="44"/>
        <w:szCs w:val="44"/>
      </w:rPr>
    </w:lvl>
    <w:lvl w:ilvl="1" w:tentative="0">
      <w:start w:val="1"/>
      <w:numFmt w:val="decimal"/>
      <w:isLgl/>
      <w:lvlText w:val="%1.%2"/>
      <w:lvlJc w:val="left"/>
      <w:pPr>
        <w:ind w:left="0" w:firstLine="0"/>
      </w:pPr>
      <w:rPr>
        <w:rFonts w:hint="eastAsia"/>
      </w:rPr>
    </w:lvl>
    <w:lvl w:ilvl="2" w:tentative="0">
      <w:start w:val="1"/>
      <w:numFmt w:val="decimal"/>
      <w:isLgl/>
      <w:lvlText w:val="%1.%2.%3"/>
      <w:lvlJc w:val="left"/>
      <w:pPr>
        <w:ind w:left="0" w:firstLine="0"/>
      </w:pPr>
      <w:rPr>
        <w:rFonts w:hint="eastAsia"/>
      </w:rPr>
    </w:lvl>
    <w:lvl w:ilvl="3" w:tentative="0">
      <w:start w:val="1"/>
      <w:numFmt w:val="decimal"/>
      <w:isLgl/>
      <w:lvlText w:val="%1.%2.%3.%4"/>
      <w:lvlJc w:val="left"/>
      <w:pPr>
        <w:ind w:left="0" w:firstLine="0"/>
      </w:pPr>
      <w:rPr>
        <w:rFonts w:hint="eastAsia"/>
      </w:rPr>
    </w:lvl>
    <w:lvl w:ilvl="4" w:tentative="0">
      <w:start w:val="1"/>
      <w:numFmt w:val="decimal"/>
      <w:lvlRestart w:val="2"/>
      <w:pStyle w:val="11"/>
      <w:isLgl/>
      <w:lvlText w:val="表%1.%2-%5"/>
      <w:lvlJc w:val="center"/>
      <w:pPr>
        <w:ind w:left="0" w:firstLine="0"/>
      </w:pPr>
      <w:rPr>
        <w:rFonts w:hint="default" w:ascii="Times New Roman" w:hAnsi="Times New Roman" w:cs="Times New Roman"/>
        <w:b/>
        <w:i w:val="0"/>
        <w:color w:val="auto"/>
        <w:lang w:val="en-US"/>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00A14947"/>
    <w:rsid w:val="00002B96"/>
    <w:rsid w:val="00003224"/>
    <w:rsid w:val="00003E6F"/>
    <w:rsid w:val="00005D6E"/>
    <w:rsid w:val="000060B3"/>
    <w:rsid w:val="0000775B"/>
    <w:rsid w:val="000111BA"/>
    <w:rsid w:val="0001265F"/>
    <w:rsid w:val="00013011"/>
    <w:rsid w:val="00013AC1"/>
    <w:rsid w:val="000209A0"/>
    <w:rsid w:val="000212CB"/>
    <w:rsid w:val="00022131"/>
    <w:rsid w:val="000221CE"/>
    <w:rsid w:val="00024509"/>
    <w:rsid w:val="00025D20"/>
    <w:rsid w:val="00025F5C"/>
    <w:rsid w:val="00026860"/>
    <w:rsid w:val="000269A4"/>
    <w:rsid w:val="00030083"/>
    <w:rsid w:val="00030C7A"/>
    <w:rsid w:val="00031DAB"/>
    <w:rsid w:val="00032184"/>
    <w:rsid w:val="00036159"/>
    <w:rsid w:val="00036E3F"/>
    <w:rsid w:val="0004011D"/>
    <w:rsid w:val="00042707"/>
    <w:rsid w:val="0004364B"/>
    <w:rsid w:val="00045E16"/>
    <w:rsid w:val="000474BA"/>
    <w:rsid w:val="00050D58"/>
    <w:rsid w:val="000511EB"/>
    <w:rsid w:val="00051A2B"/>
    <w:rsid w:val="00054DDD"/>
    <w:rsid w:val="0005694F"/>
    <w:rsid w:val="00056A66"/>
    <w:rsid w:val="00057EEA"/>
    <w:rsid w:val="00057F22"/>
    <w:rsid w:val="00060DC4"/>
    <w:rsid w:val="00061B1F"/>
    <w:rsid w:val="00063E96"/>
    <w:rsid w:val="00071C56"/>
    <w:rsid w:val="000733C4"/>
    <w:rsid w:val="00074783"/>
    <w:rsid w:val="00076175"/>
    <w:rsid w:val="00076B14"/>
    <w:rsid w:val="0008070B"/>
    <w:rsid w:val="00080B5C"/>
    <w:rsid w:val="000810AC"/>
    <w:rsid w:val="00081A02"/>
    <w:rsid w:val="00082231"/>
    <w:rsid w:val="00082946"/>
    <w:rsid w:val="0008378F"/>
    <w:rsid w:val="000837C0"/>
    <w:rsid w:val="000843CF"/>
    <w:rsid w:val="000859BD"/>
    <w:rsid w:val="00085D38"/>
    <w:rsid w:val="00087777"/>
    <w:rsid w:val="00090F85"/>
    <w:rsid w:val="00091012"/>
    <w:rsid w:val="00091755"/>
    <w:rsid w:val="00092D38"/>
    <w:rsid w:val="0009377B"/>
    <w:rsid w:val="00096587"/>
    <w:rsid w:val="00097AA6"/>
    <w:rsid w:val="000A060C"/>
    <w:rsid w:val="000A1C16"/>
    <w:rsid w:val="000A20C9"/>
    <w:rsid w:val="000A2A07"/>
    <w:rsid w:val="000A3A0A"/>
    <w:rsid w:val="000A58DE"/>
    <w:rsid w:val="000A7304"/>
    <w:rsid w:val="000A7536"/>
    <w:rsid w:val="000B058F"/>
    <w:rsid w:val="000B27F9"/>
    <w:rsid w:val="000B38C5"/>
    <w:rsid w:val="000B4467"/>
    <w:rsid w:val="000B4DB9"/>
    <w:rsid w:val="000B4DFB"/>
    <w:rsid w:val="000B4F31"/>
    <w:rsid w:val="000B657C"/>
    <w:rsid w:val="000B65C3"/>
    <w:rsid w:val="000C02D5"/>
    <w:rsid w:val="000C09AC"/>
    <w:rsid w:val="000C1A20"/>
    <w:rsid w:val="000C5722"/>
    <w:rsid w:val="000C7222"/>
    <w:rsid w:val="000C767F"/>
    <w:rsid w:val="000C7FA0"/>
    <w:rsid w:val="000D0A05"/>
    <w:rsid w:val="000D1A38"/>
    <w:rsid w:val="000D29DC"/>
    <w:rsid w:val="000D3153"/>
    <w:rsid w:val="000D36B5"/>
    <w:rsid w:val="000D5A44"/>
    <w:rsid w:val="000D6184"/>
    <w:rsid w:val="000D74F6"/>
    <w:rsid w:val="000D7B4E"/>
    <w:rsid w:val="000E0F2B"/>
    <w:rsid w:val="000E0F46"/>
    <w:rsid w:val="000E1239"/>
    <w:rsid w:val="000E2129"/>
    <w:rsid w:val="000E264F"/>
    <w:rsid w:val="000E32EF"/>
    <w:rsid w:val="000E39E4"/>
    <w:rsid w:val="000E3ED2"/>
    <w:rsid w:val="000E3F90"/>
    <w:rsid w:val="000E6314"/>
    <w:rsid w:val="000E6B2F"/>
    <w:rsid w:val="000F029C"/>
    <w:rsid w:val="000F2D20"/>
    <w:rsid w:val="000F3073"/>
    <w:rsid w:val="000F3D0F"/>
    <w:rsid w:val="000F52D5"/>
    <w:rsid w:val="00100035"/>
    <w:rsid w:val="001006CF"/>
    <w:rsid w:val="001042F6"/>
    <w:rsid w:val="001053F2"/>
    <w:rsid w:val="001059F6"/>
    <w:rsid w:val="00105F05"/>
    <w:rsid w:val="00107383"/>
    <w:rsid w:val="0011004F"/>
    <w:rsid w:val="001110C5"/>
    <w:rsid w:val="00112447"/>
    <w:rsid w:val="00112A7F"/>
    <w:rsid w:val="00112CB1"/>
    <w:rsid w:val="001149BC"/>
    <w:rsid w:val="0011652C"/>
    <w:rsid w:val="00116AC7"/>
    <w:rsid w:val="00124030"/>
    <w:rsid w:val="00124D5B"/>
    <w:rsid w:val="001250F0"/>
    <w:rsid w:val="00126901"/>
    <w:rsid w:val="00131F42"/>
    <w:rsid w:val="0013294D"/>
    <w:rsid w:val="001332C4"/>
    <w:rsid w:val="001357F1"/>
    <w:rsid w:val="00136EC3"/>
    <w:rsid w:val="0014035B"/>
    <w:rsid w:val="00140FA8"/>
    <w:rsid w:val="00140FFE"/>
    <w:rsid w:val="00141BC5"/>
    <w:rsid w:val="00141F66"/>
    <w:rsid w:val="00142FEB"/>
    <w:rsid w:val="00143A2D"/>
    <w:rsid w:val="00145147"/>
    <w:rsid w:val="00145A41"/>
    <w:rsid w:val="00150084"/>
    <w:rsid w:val="00151675"/>
    <w:rsid w:val="00151BFE"/>
    <w:rsid w:val="00154C5A"/>
    <w:rsid w:val="00157435"/>
    <w:rsid w:val="001579B1"/>
    <w:rsid w:val="00157DF1"/>
    <w:rsid w:val="001621B3"/>
    <w:rsid w:val="0016528B"/>
    <w:rsid w:val="001669D2"/>
    <w:rsid w:val="00166C8E"/>
    <w:rsid w:val="00171A16"/>
    <w:rsid w:val="00171D0A"/>
    <w:rsid w:val="0017504D"/>
    <w:rsid w:val="00175EF2"/>
    <w:rsid w:val="001761E6"/>
    <w:rsid w:val="0017671A"/>
    <w:rsid w:val="00177422"/>
    <w:rsid w:val="001813A1"/>
    <w:rsid w:val="001826F3"/>
    <w:rsid w:val="00184590"/>
    <w:rsid w:val="00184DED"/>
    <w:rsid w:val="00184ECE"/>
    <w:rsid w:val="00184EE2"/>
    <w:rsid w:val="00185C46"/>
    <w:rsid w:val="0018667C"/>
    <w:rsid w:val="001870D1"/>
    <w:rsid w:val="0018781E"/>
    <w:rsid w:val="0019173B"/>
    <w:rsid w:val="0019262D"/>
    <w:rsid w:val="001A14AC"/>
    <w:rsid w:val="001A1B35"/>
    <w:rsid w:val="001A2BA4"/>
    <w:rsid w:val="001A3F58"/>
    <w:rsid w:val="001A430D"/>
    <w:rsid w:val="001A48A2"/>
    <w:rsid w:val="001A51E6"/>
    <w:rsid w:val="001A6F61"/>
    <w:rsid w:val="001B176F"/>
    <w:rsid w:val="001B2ADC"/>
    <w:rsid w:val="001B67B6"/>
    <w:rsid w:val="001B72B8"/>
    <w:rsid w:val="001C20D4"/>
    <w:rsid w:val="001C5188"/>
    <w:rsid w:val="001C6749"/>
    <w:rsid w:val="001C69B3"/>
    <w:rsid w:val="001D1D59"/>
    <w:rsid w:val="001D21B4"/>
    <w:rsid w:val="001D2760"/>
    <w:rsid w:val="001D2831"/>
    <w:rsid w:val="001D341B"/>
    <w:rsid w:val="001D4E2B"/>
    <w:rsid w:val="001D5595"/>
    <w:rsid w:val="001D6A2B"/>
    <w:rsid w:val="001D6FC6"/>
    <w:rsid w:val="001D7874"/>
    <w:rsid w:val="001D7BE9"/>
    <w:rsid w:val="001D7F22"/>
    <w:rsid w:val="001E0C04"/>
    <w:rsid w:val="001E1646"/>
    <w:rsid w:val="001E2299"/>
    <w:rsid w:val="001F0F17"/>
    <w:rsid w:val="001F3347"/>
    <w:rsid w:val="001F4618"/>
    <w:rsid w:val="001F69E4"/>
    <w:rsid w:val="00200024"/>
    <w:rsid w:val="00203B7E"/>
    <w:rsid w:val="00204769"/>
    <w:rsid w:val="00205298"/>
    <w:rsid w:val="00205BB3"/>
    <w:rsid w:val="0020654E"/>
    <w:rsid w:val="002125B4"/>
    <w:rsid w:val="00212791"/>
    <w:rsid w:val="0021551E"/>
    <w:rsid w:val="002155B8"/>
    <w:rsid w:val="00216466"/>
    <w:rsid w:val="0021667E"/>
    <w:rsid w:val="00216A2C"/>
    <w:rsid w:val="00217504"/>
    <w:rsid w:val="00222118"/>
    <w:rsid w:val="00223C44"/>
    <w:rsid w:val="00224839"/>
    <w:rsid w:val="002249B2"/>
    <w:rsid w:val="00225608"/>
    <w:rsid w:val="00226574"/>
    <w:rsid w:val="00226819"/>
    <w:rsid w:val="002278EC"/>
    <w:rsid w:val="00231EDC"/>
    <w:rsid w:val="002320AA"/>
    <w:rsid w:val="0023280E"/>
    <w:rsid w:val="00233BCA"/>
    <w:rsid w:val="002343CD"/>
    <w:rsid w:val="00234776"/>
    <w:rsid w:val="002369ED"/>
    <w:rsid w:val="002377D1"/>
    <w:rsid w:val="00241E3A"/>
    <w:rsid w:val="00242AB9"/>
    <w:rsid w:val="00243382"/>
    <w:rsid w:val="00246C50"/>
    <w:rsid w:val="00247018"/>
    <w:rsid w:val="002506BC"/>
    <w:rsid w:val="00251FA3"/>
    <w:rsid w:val="002537B2"/>
    <w:rsid w:val="00253EF1"/>
    <w:rsid w:val="00254345"/>
    <w:rsid w:val="002563A5"/>
    <w:rsid w:val="00257AAB"/>
    <w:rsid w:val="00262C03"/>
    <w:rsid w:val="00263DE8"/>
    <w:rsid w:val="0026412F"/>
    <w:rsid w:val="00264557"/>
    <w:rsid w:val="00266602"/>
    <w:rsid w:val="002705B5"/>
    <w:rsid w:val="0027133D"/>
    <w:rsid w:val="00275CB9"/>
    <w:rsid w:val="002805AB"/>
    <w:rsid w:val="002822EA"/>
    <w:rsid w:val="00284204"/>
    <w:rsid w:val="00285337"/>
    <w:rsid w:val="00286482"/>
    <w:rsid w:val="00290ABB"/>
    <w:rsid w:val="0029119D"/>
    <w:rsid w:val="002912A0"/>
    <w:rsid w:val="00291655"/>
    <w:rsid w:val="00291773"/>
    <w:rsid w:val="00292F7E"/>
    <w:rsid w:val="00294699"/>
    <w:rsid w:val="0029626B"/>
    <w:rsid w:val="00297A4D"/>
    <w:rsid w:val="00297B49"/>
    <w:rsid w:val="002A06A7"/>
    <w:rsid w:val="002A168C"/>
    <w:rsid w:val="002A3DC7"/>
    <w:rsid w:val="002A4615"/>
    <w:rsid w:val="002A51DA"/>
    <w:rsid w:val="002A6EFA"/>
    <w:rsid w:val="002A772E"/>
    <w:rsid w:val="002B162C"/>
    <w:rsid w:val="002B2226"/>
    <w:rsid w:val="002B3804"/>
    <w:rsid w:val="002B3887"/>
    <w:rsid w:val="002B49E2"/>
    <w:rsid w:val="002B519F"/>
    <w:rsid w:val="002B7B00"/>
    <w:rsid w:val="002B7C44"/>
    <w:rsid w:val="002C00A7"/>
    <w:rsid w:val="002C0ACB"/>
    <w:rsid w:val="002C2249"/>
    <w:rsid w:val="002C2844"/>
    <w:rsid w:val="002C2A87"/>
    <w:rsid w:val="002C2B17"/>
    <w:rsid w:val="002C2EC9"/>
    <w:rsid w:val="002D0914"/>
    <w:rsid w:val="002D2292"/>
    <w:rsid w:val="002D3163"/>
    <w:rsid w:val="002D34FD"/>
    <w:rsid w:val="002D3DD0"/>
    <w:rsid w:val="002D77F2"/>
    <w:rsid w:val="002E1F3A"/>
    <w:rsid w:val="002E298A"/>
    <w:rsid w:val="002E5FA0"/>
    <w:rsid w:val="002F3139"/>
    <w:rsid w:val="002F35AB"/>
    <w:rsid w:val="002F6D47"/>
    <w:rsid w:val="002F70F8"/>
    <w:rsid w:val="00301978"/>
    <w:rsid w:val="0030332C"/>
    <w:rsid w:val="00303ED0"/>
    <w:rsid w:val="003051C2"/>
    <w:rsid w:val="00305CC2"/>
    <w:rsid w:val="00306668"/>
    <w:rsid w:val="00310F63"/>
    <w:rsid w:val="0031182F"/>
    <w:rsid w:val="00311C0A"/>
    <w:rsid w:val="0031202A"/>
    <w:rsid w:val="00312296"/>
    <w:rsid w:val="00313CB2"/>
    <w:rsid w:val="0031427F"/>
    <w:rsid w:val="00314F0E"/>
    <w:rsid w:val="00315ABB"/>
    <w:rsid w:val="00316989"/>
    <w:rsid w:val="00316BE0"/>
    <w:rsid w:val="00316DF2"/>
    <w:rsid w:val="0032083D"/>
    <w:rsid w:val="00320B7C"/>
    <w:rsid w:val="00321D8E"/>
    <w:rsid w:val="00325928"/>
    <w:rsid w:val="00326870"/>
    <w:rsid w:val="003308B3"/>
    <w:rsid w:val="0033104E"/>
    <w:rsid w:val="00332863"/>
    <w:rsid w:val="003339CA"/>
    <w:rsid w:val="00333E13"/>
    <w:rsid w:val="0033463A"/>
    <w:rsid w:val="003364F0"/>
    <w:rsid w:val="0033684D"/>
    <w:rsid w:val="00337B42"/>
    <w:rsid w:val="0034100C"/>
    <w:rsid w:val="003418DC"/>
    <w:rsid w:val="00341924"/>
    <w:rsid w:val="00341B42"/>
    <w:rsid w:val="00342DA4"/>
    <w:rsid w:val="0034348F"/>
    <w:rsid w:val="00344E21"/>
    <w:rsid w:val="00347AD4"/>
    <w:rsid w:val="003501E3"/>
    <w:rsid w:val="00352E69"/>
    <w:rsid w:val="003532A5"/>
    <w:rsid w:val="00353C2A"/>
    <w:rsid w:val="0035571B"/>
    <w:rsid w:val="00356653"/>
    <w:rsid w:val="0035743F"/>
    <w:rsid w:val="00357451"/>
    <w:rsid w:val="00357AC9"/>
    <w:rsid w:val="00357BE2"/>
    <w:rsid w:val="00360AEE"/>
    <w:rsid w:val="0036170C"/>
    <w:rsid w:val="0036184B"/>
    <w:rsid w:val="00361976"/>
    <w:rsid w:val="003619DD"/>
    <w:rsid w:val="003643BE"/>
    <w:rsid w:val="00364E0D"/>
    <w:rsid w:val="00365292"/>
    <w:rsid w:val="00365FD5"/>
    <w:rsid w:val="00366E0F"/>
    <w:rsid w:val="003673ED"/>
    <w:rsid w:val="00367C7C"/>
    <w:rsid w:val="00370C2E"/>
    <w:rsid w:val="00371D23"/>
    <w:rsid w:val="0037250C"/>
    <w:rsid w:val="003728AB"/>
    <w:rsid w:val="00373E99"/>
    <w:rsid w:val="003809FE"/>
    <w:rsid w:val="00381A72"/>
    <w:rsid w:val="00381B83"/>
    <w:rsid w:val="0038266B"/>
    <w:rsid w:val="0038319C"/>
    <w:rsid w:val="00383880"/>
    <w:rsid w:val="00384676"/>
    <w:rsid w:val="0038509F"/>
    <w:rsid w:val="0038625B"/>
    <w:rsid w:val="0038691B"/>
    <w:rsid w:val="00386AE0"/>
    <w:rsid w:val="00390857"/>
    <w:rsid w:val="003914F7"/>
    <w:rsid w:val="003A2302"/>
    <w:rsid w:val="003A24E4"/>
    <w:rsid w:val="003A4BF3"/>
    <w:rsid w:val="003A55C5"/>
    <w:rsid w:val="003A6C66"/>
    <w:rsid w:val="003A6DD1"/>
    <w:rsid w:val="003B01EB"/>
    <w:rsid w:val="003B2662"/>
    <w:rsid w:val="003B3E63"/>
    <w:rsid w:val="003B420D"/>
    <w:rsid w:val="003B4881"/>
    <w:rsid w:val="003C06E0"/>
    <w:rsid w:val="003C15D7"/>
    <w:rsid w:val="003C4107"/>
    <w:rsid w:val="003C66C0"/>
    <w:rsid w:val="003C6C16"/>
    <w:rsid w:val="003C6E04"/>
    <w:rsid w:val="003C7987"/>
    <w:rsid w:val="003C79C9"/>
    <w:rsid w:val="003D2275"/>
    <w:rsid w:val="003D3DF5"/>
    <w:rsid w:val="003D5E2C"/>
    <w:rsid w:val="003D794D"/>
    <w:rsid w:val="003E0234"/>
    <w:rsid w:val="003E1F93"/>
    <w:rsid w:val="003E3058"/>
    <w:rsid w:val="003E4D0D"/>
    <w:rsid w:val="003E55C4"/>
    <w:rsid w:val="003E5D30"/>
    <w:rsid w:val="003E68B6"/>
    <w:rsid w:val="003E76A9"/>
    <w:rsid w:val="003F0809"/>
    <w:rsid w:val="003F17D4"/>
    <w:rsid w:val="003F44BB"/>
    <w:rsid w:val="003F489F"/>
    <w:rsid w:val="003F4EF3"/>
    <w:rsid w:val="003F6A8C"/>
    <w:rsid w:val="003F755C"/>
    <w:rsid w:val="0040069F"/>
    <w:rsid w:val="004032A7"/>
    <w:rsid w:val="00405F59"/>
    <w:rsid w:val="00406F01"/>
    <w:rsid w:val="004074F3"/>
    <w:rsid w:val="00414710"/>
    <w:rsid w:val="00414BE6"/>
    <w:rsid w:val="00416D50"/>
    <w:rsid w:val="00416FD5"/>
    <w:rsid w:val="00417772"/>
    <w:rsid w:val="004207BF"/>
    <w:rsid w:val="00420E6A"/>
    <w:rsid w:val="00424E52"/>
    <w:rsid w:val="00425A9E"/>
    <w:rsid w:val="00425AF0"/>
    <w:rsid w:val="00426D6B"/>
    <w:rsid w:val="00427A5C"/>
    <w:rsid w:val="0043156E"/>
    <w:rsid w:val="00431E6C"/>
    <w:rsid w:val="00433CE7"/>
    <w:rsid w:val="004346B6"/>
    <w:rsid w:val="00436977"/>
    <w:rsid w:val="00442312"/>
    <w:rsid w:val="00444485"/>
    <w:rsid w:val="00444797"/>
    <w:rsid w:val="00445077"/>
    <w:rsid w:val="00447164"/>
    <w:rsid w:val="004471F4"/>
    <w:rsid w:val="0045067F"/>
    <w:rsid w:val="00450A05"/>
    <w:rsid w:val="004511E2"/>
    <w:rsid w:val="004519FD"/>
    <w:rsid w:val="004523ED"/>
    <w:rsid w:val="00452738"/>
    <w:rsid w:val="00453E33"/>
    <w:rsid w:val="0045544D"/>
    <w:rsid w:val="00456091"/>
    <w:rsid w:val="0046223E"/>
    <w:rsid w:val="00466321"/>
    <w:rsid w:val="00474432"/>
    <w:rsid w:val="00475A0E"/>
    <w:rsid w:val="004762C3"/>
    <w:rsid w:val="00476732"/>
    <w:rsid w:val="004777E6"/>
    <w:rsid w:val="00480822"/>
    <w:rsid w:val="0048105B"/>
    <w:rsid w:val="00481F64"/>
    <w:rsid w:val="004827FA"/>
    <w:rsid w:val="0048487A"/>
    <w:rsid w:val="00484B9B"/>
    <w:rsid w:val="004855F6"/>
    <w:rsid w:val="004864EE"/>
    <w:rsid w:val="0048661E"/>
    <w:rsid w:val="00492EAF"/>
    <w:rsid w:val="00493557"/>
    <w:rsid w:val="00494107"/>
    <w:rsid w:val="00494670"/>
    <w:rsid w:val="004946E6"/>
    <w:rsid w:val="00497D9E"/>
    <w:rsid w:val="004A0B1C"/>
    <w:rsid w:val="004A3823"/>
    <w:rsid w:val="004B5037"/>
    <w:rsid w:val="004B6B8E"/>
    <w:rsid w:val="004B78E6"/>
    <w:rsid w:val="004C24CE"/>
    <w:rsid w:val="004C3B64"/>
    <w:rsid w:val="004C48AA"/>
    <w:rsid w:val="004C57A0"/>
    <w:rsid w:val="004D22D7"/>
    <w:rsid w:val="004D3CB2"/>
    <w:rsid w:val="004D513F"/>
    <w:rsid w:val="004D7047"/>
    <w:rsid w:val="004E19E5"/>
    <w:rsid w:val="004E228E"/>
    <w:rsid w:val="004E4F38"/>
    <w:rsid w:val="004E4FA2"/>
    <w:rsid w:val="004E6946"/>
    <w:rsid w:val="004F1AD8"/>
    <w:rsid w:val="004F35D9"/>
    <w:rsid w:val="004F3BF6"/>
    <w:rsid w:val="004F457C"/>
    <w:rsid w:val="005004A2"/>
    <w:rsid w:val="00501FC4"/>
    <w:rsid w:val="005039CB"/>
    <w:rsid w:val="00504095"/>
    <w:rsid w:val="00504CD8"/>
    <w:rsid w:val="0050558F"/>
    <w:rsid w:val="00506286"/>
    <w:rsid w:val="00510813"/>
    <w:rsid w:val="00511990"/>
    <w:rsid w:val="00511DE0"/>
    <w:rsid w:val="00513374"/>
    <w:rsid w:val="00514870"/>
    <w:rsid w:val="00514B9B"/>
    <w:rsid w:val="00514E70"/>
    <w:rsid w:val="0051730A"/>
    <w:rsid w:val="00517F02"/>
    <w:rsid w:val="00520703"/>
    <w:rsid w:val="00522189"/>
    <w:rsid w:val="00524303"/>
    <w:rsid w:val="005258A2"/>
    <w:rsid w:val="00526A8B"/>
    <w:rsid w:val="00530174"/>
    <w:rsid w:val="0053255B"/>
    <w:rsid w:val="0053306A"/>
    <w:rsid w:val="00533AA9"/>
    <w:rsid w:val="005361B2"/>
    <w:rsid w:val="005401AE"/>
    <w:rsid w:val="0054129C"/>
    <w:rsid w:val="00542E07"/>
    <w:rsid w:val="005431A4"/>
    <w:rsid w:val="00544F3F"/>
    <w:rsid w:val="00545424"/>
    <w:rsid w:val="00546E84"/>
    <w:rsid w:val="00546EA7"/>
    <w:rsid w:val="0055449F"/>
    <w:rsid w:val="00554A7B"/>
    <w:rsid w:val="0055572C"/>
    <w:rsid w:val="00555A2D"/>
    <w:rsid w:val="0056106A"/>
    <w:rsid w:val="00561B40"/>
    <w:rsid w:val="005654F1"/>
    <w:rsid w:val="005669AA"/>
    <w:rsid w:val="005720AE"/>
    <w:rsid w:val="005728EC"/>
    <w:rsid w:val="0057622F"/>
    <w:rsid w:val="00582E1B"/>
    <w:rsid w:val="00583A4A"/>
    <w:rsid w:val="005842DC"/>
    <w:rsid w:val="00585052"/>
    <w:rsid w:val="005853EE"/>
    <w:rsid w:val="005857AD"/>
    <w:rsid w:val="0058775B"/>
    <w:rsid w:val="00592315"/>
    <w:rsid w:val="0059349C"/>
    <w:rsid w:val="00594B5B"/>
    <w:rsid w:val="00594D77"/>
    <w:rsid w:val="005969E4"/>
    <w:rsid w:val="005A06B7"/>
    <w:rsid w:val="005A1759"/>
    <w:rsid w:val="005A2822"/>
    <w:rsid w:val="005A33C7"/>
    <w:rsid w:val="005A58DA"/>
    <w:rsid w:val="005A68A7"/>
    <w:rsid w:val="005A6B53"/>
    <w:rsid w:val="005B0F8F"/>
    <w:rsid w:val="005B199F"/>
    <w:rsid w:val="005B49D2"/>
    <w:rsid w:val="005B542A"/>
    <w:rsid w:val="005B5EE5"/>
    <w:rsid w:val="005B695A"/>
    <w:rsid w:val="005C048E"/>
    <w:rsid w:val="005C7AD7"/>
    <w:rsid w:val="005D06E1"/>
    <w:rsid w:val="005D36AB"/>
    <w:rsid w:val="005D41BD"/>
    <w:rsid w:val="005D41F4"/>
    <w:rsid w:val="005D5DE7"/>
    <w:rsid w:val="005E06EB"/>
    <w:rsid w:val="005E1FC4"/>
    <w:rsid w:val="005E4211"/>
    <w:rsid w:val="005E44F7"/>
    <w:rsid w:val="005E79E2"/>
    <w:rsid w:val="005F04B1"/>
    <w:rsid w:val="005F3041"/>
    <w:rsid w:val="005F32B1"/>
    <w:rsid w:val="005F4FDB"/>
    <w:rsid w:val="005F6A95"/>
    <w:rsid w:val="006011F7"/>
    <w:rsid w:val="006012F1"/>
    <w:rsid w:val="00603EA6"/>
    <w:rsid w:val="00604114"/>
    <w:rsid w:val="006044CB"/>
    <w:rsid w:val="00604B8A"/>
    <w:rsid w:val="00604F9F"/>
    <w:rsid w:val="00605984"/>
    <w:rsid w:val="00606DC8"/>
    <w:rsid w:val="00612D71"/>
    <w:rsid w:val="00613E03"/>
    <w:rsid w:val="00613FCE"/>
    <w:rsid w:val="006141A1"/>
    <w:rsid w:val="00615839"/>
    <w:rsid w:val="00616DAB"/>
    <w:rsid w:val="00617CC3"/>
    <w:rsid w:val="00621C53"/>
    <w:rsid w:val="00622719"/>
    <w:rsid w:val="00625B71"/>
    <w:rsid w:val="00630877"/>
    <w:rsid w:val="00635DE3"/>
    <w:rsid w:val="00636E85"/>
    <w:rsid w:val="006377A6"/>
    <w:rsid w:val="00637A3D"/>
    <w:rsid w:val="00637A76"/>
    <w:rsid w:val="006402DC"/>
    <w:rsid w:val="00640555"/>
    <w:rsid w:val="00640BDF"/>
    <w:rsid w:val="0064105C"/>
    <w:rsid w:val="006411EF"/>
    <w:rsid w:val="00642A40"/>
    <w:rsid w:val="00642B27"/>
    <w:rsid w:val="0064490E"/>
    <w:rsid w:val="00644EC4"/>
    <w:rsid w:val="00646017"/>
    <w:rsid w:val="006463CF"/>
    <w:rsid w:val="00651163"/>
    <w:rsid w:val="00651545"/>
    <w:rsid w:val="0065342B"/>
    <w:rsid w:val="00653C56"/>
    <w:rsid w:val="00654EA1"/>
    <w:rsid w:val="00655544"/>
    <w:rsid w:val="00656B90"/>
    <w:rsid w:val="006578EA"/>
    <w:rsid w:val="006579FE"/>
    <w:rsid w:val="006609FC"/>
    <w:rsid w:val="0066114C"/>
    <w:rsid w:val="00661BD7"/>
    <w:rsid w:val="00661C8A"/>
    <w:rsid w:val="0066246B"/>
    <w:rsid w:val="006637E8"/>
    <w:rsid w:val="0067132D"/>
    <w:rsid w:val="00671FF2"/>
    <w:rsid w:val="00672465"/>
    <w:rsid w:val="00672D7B"/>
    <w:rsid w:val="00672D92"/>
    <w:rsid w:val="00672F28"/>
    <w:rsid w:val="006748B8"/>
    <w:rsid w:val="00675E8D"/>
    <w:rsid w:val="0067616C"/>
    <w:rsid w:val="006775C3"/>
    <w:rsid w:val="00680B78"/>
    <w:rsid w:val="006812B9"/>
    <w:rsid w:val="00683D98"/>
    <w:rsid w:val="0068458D"/>
    <w:rsid w:val="006864FD"/>
    <w:rsid w:val="00690737"/>
    <w:rsid w:val="006909A3"/>
    <w:rsid w:val="00691678"/>
    <w:rsid w:val="00691984"/>
    <w:rsid w:val="0069290A"/>
    <w:rsid w:val="0069775A"/>
    <w:rsid w:val="00697813"/>
    <w:rsid w:val="00697AB0"/>
    <w:rsid w:val="006A0105"/>
    <w:rsid w:val="006A0DCA"/>
    <w:rsid w:val="006A3EE8"/>
    <w:rsid w:val="006A4886"/>
    <w:rsid w:val="006A70D2"/>
    <w:rsid w:val="006A72BF"/>
    <w:rsid w:val="006A74A1"/>
    <w:rsid w:val="006A7658"/>
    <w:rsid w:val="006B03F2"/>
    <w:rsid w:val="006B1463"/>
    <w:rsid w:val="006B2500"/>
    <w:rsid w:val="006B37DC"/>
    <w:rsid w:val="006B414F"/>
    <w:rsid w:val="006B443B"/>
    <w:rsid w:val="006B4F68"/>
    <w:rsid w:val="006B6528"/>
    <w:rsid w:val="006B6BB3"/>
    <w:rsid w:val="006C0592"/>
    <w:rsid w:val="006C1D7E"/>
    <w:rsid w:val="006C1DC1"/>
    <w:rsid w:val="006C272E"/>
    <w:rsid w:val="006C3050"/>
    <w:rsid w:val="006C337A"/>
    <w:rsid w:val="006C4D82"/>
    <w:rsid w:val="006C4FAE"/>
    <w:rsid w:val="006C5479"/>
    <w:rsid w:val="006C66BC"/>
    <w:rsid w:val="006C77F4"/>
    <w:rsid w:val="006D13B5"/>
    <w:rsid w:val="006D1D6C"/>
    <w:rsid w:val="006D2E12"/>
    <w:rsid w:val="006D3549"/>
    <w:rsid w:val="006E12FF"/>
    <w:rsid w:val="006E607E"/>
    <w:rsid w:val="006E758C"/>
    <w:rsid w:val="006F050A"/>
    <w:rsid w:val="0070187C"/>
    <w:rsid w:val="00702ACE"/>
    <w:rsid w:val="007036DA"/>
    <w:rsid w:val="007038C4"/>
    <w:rsid w:val="00704E5B"/>
    <w:rsid w:val="00705334"/>
    <w:rsid w:val="00706105"/>
    <w:rsid w:val="00706C5D"/>
    <w:rsid w:val="00710FCD"/>
    <w:rsid w:val="00713F2E"/>
    <w:rsid w:val="007215D4"/>
    <w:rsid w:val="00722603"/>
    <w:rsid w:val="00722B55"/>
    <w:rsid w:val="00724EF0"/>
    <w:rsid w:val="00725138"/>
    <w:rsid w:val="0072762C"/>
    <w:rsid w:val="00732922"/>
    <w:rsid w:val="00736206"/>
    <w:rsid w:val="00737202"/>
    <w:rsid w:val="00743F24"/>
    <w:rsid w:val="0074799B"/>
    <w:rsid w:val="00750493"/>
    <w:rsid w:val="007504A3"/>
    <w:rsid w:val="00750B5E"/>
    <w:rsid w:val="0075162E"/>
    <w:rsid w:val="00752033"/>
    <w:rsid w:val="00754034"/>
    <w:rsid w:val="00755DA2"/>
    <w:rsid w:val="00756556"/>
    <w:rsid w:val="00756C31"/>
    <w:rsid w:val="00757D13"/>
    <w:rsid w:val="007618C4"/>
    <w:rsid w:val="00761C0C"/>
    <w:rsid w:val="00764178"/>
    <w:rsid w:val="00765ABF"/>
    <w:rsid w:val="00766C61"/>
    <w:rsid w:val="00767980"/>
    <w:rsid w:val="00767D52"/>
    <w:rsid w:val="00770B19"/>
    <w:rsid w:val="0077170A"/>
    <w:rsid w:val="0077463F"/>
    <w:rsid w:val="00777448"/>
    <w:rsid w:val="00782007"/>
    <w:rsid w:val="007836EA"/>
    <w:rsid w:val="00783D60"/>
    <w:rsid w:val="00784CDA"/>
    <w:rsid w:val="00785761"/>
    <w:rsid w:val="00785804"/>
    <w:rsid w:val="00785C2A"/>
    <w:rsid w:val="00785F2A"/>
    <w:rsid w:val="00786160"/>
    <w:rsid w:val="007906C4"/>
    <w:rsid w:val="0079092A"/>
    <w:rsid w:val="00792A48"/>
    <w:rsid w:val="00793467"/>
    <w:rsid w:val="007940EA"/>
    <w:rsid w:val="00794764"/>
    <w:rsid w:val="00795251"/>
    <w:rsid w:val="007957F8"/>
    <w:rsid w:val="007967E8"/>
    <w:rsid w:val="007972F6"/>
    <w:rsid w:val="007A00A0"/>
    <w:rsid w:val="007A156E"/>
    <w:rsid w:val="007A2170"/>
    <w:rsid w:val="007A22BF"/>
    <w:rsid w:val="007A3323"/>
    <w:rsid w:val="007A3E51"/>
    <w:rsid w:val="007A43A2"/>
    <w:rsid w:val="007A4B1D"/>
    <w:rsid w:val="007A5608"/>
    <w:rsid w:val="007A5A52"/>
    <w:rsid w:val="007A5A9C"/>
    <w:rsid w:val="007A7B28"/>
    <w:rsid w:val="007B0700"/>
    <w:rsid w:val="007B1C5E"/>
    <w:rsid w:val="007B5984"/>
    <w:rsid w:val="007B6FCE"/>
    <w:rsid w:val="007B72B8"/>
    <w:rsid w:val="007B7928"/>
    <w:rsid w:val="007B7A58"/>
    <w:rsid w:val="007C1E1C"/>
    <w:rsid w:val="007C21B5"/>
    <w:rsid w:val="007C22DE"/>
    <w:rsid w:val="007C2D48"/>
    <w:rsid w:val="007C3BE7"/>
    <w:rsid w:val="007C4682"/>
    <w:rsid w:val="007C4A98"/>
    <w:rsid w:val="007C6148"/>
    <w:rsid w:val="007C6C6F"/>
    <w:rsid w:val="007D1614"/>
    <w:rsid w:val="007D2D5E"/>
    <w:rsid w:val="007D3AE4"/>
    <w:rsid w:val="007D4B99"/>
    <w:rsid w:val="007D6885"/>
    <w:rsid w:val="007D6B8F"/>
    <w:rsid w:val="007D6FD8"/>
    <w:rsid w:val="007D7682"/>
    <w:rsid w:val="007D7D61"/>
    <w:rsid w:val="007E3CE0"/>
    <w:rsid w:val="007E4BD2"/>
    <w:rsid w:val="007E7A96"/>
    <w:rsid w:val="007F207A"/>
    <w:rsid w:val="007F6D04"/>
    <w:rsid w:val="007F7C1C"/>
    <w:rsid w:val="00801393"/>
    <w:rsid w:val="008013C5"/>
    <w:rsid w:val="00802F88"/>
    <w:rsid w:val="00806E3D"/>
    <w:rsid w:val="008079A5"/>
    <w:rsid w:val="0081293E"/>
    <w:rsid w:val="00814D6F"/>
    <w:rsid w:val="00815465"/>
    <w:rsid w:val="008155C2"/>
    <w:rsid w:val="00817E9A"/>
    <w:rsid w:val="0082393C"/>
    <w:rsid w:val="00825E31"/>
    <w:rsid w:val="00827B12"/>
    <w:rsid w:val="008306BD"/>
    <w:rsid w:val="0083124B"/>
    <w:rsid w:val="00831A80"/>
    <w:rsid w:val="00833258"/>
    <w:rsid w:val="00833743"/>
    <w:rsid w:val="008340A4"/>
    <w:rsid w:val="00834237"/>
    <w:rsid w:val="00837F19"/>
    <w:rsid w:val="0084234D"/>
    <w:rsid w:val="00842A47"/>
    <w:rsid w:val="00843B62"/>
    <w:rsid w:val="00843E65"/>
    <w:rsid w:val="0084660A"/>
    <w:rsid w:val="00846DB2"/>
    <w:rsid w:val="008510F4"/>
    <w:rsid w:val="008551DC"/>
    <w:rsid w:val="00860D90"/>
    <w:rsid w:val="00862016"/>
    <w:rsid w:val="0086204C"/>
    <w:rsid w:val="00870152"/>
    <w:rsid w:val="0087135F"/>
    <w:rsid w:val="00872D94"/>
    <w:rsid w:val="00875C6F"/>
    <w:rsid w:val="008774B7"/>
    <w:rsid w:val="00880364"/>
    <w:rsid w:val="0088260F"/>
    <w:rsid w:val="00885F65"/>
    <w:rsid w:val="00886AE7"/>
    <w:rsid w:val="00887411"/>
    <w:rsid w:val="00887AAB"/>
    <w:rsid w:val="00891204"/>
    <w:rsid w:val="00891592"/>
    <w:rsid w:val="00891E9E"/>
    <w:rsid w:val="00891F9C"/>
    <w:rsid w:val="00896B3D"/>
    <w:rsid w:val="008A0F32"/>
    <w:rsid w:val="008A2A3F"/>
    <w:rsid w:val="008A2F68"/>
    <w:rsid w:val="008A58E5"/>
    <w:rsid w:val="008B094E"/>
    <w:rsid w:val="008B2464"/>
    <w:rsid w:val="008B2D0F"/>
    <w:rsid w:val="008B4FA6"/>
    <w:rsid w:val="008B5282"/>
    <w:rsid w:val="008B5D24"/>
    <w:rsid w:val="008B613D"/>
    <w:rsid w:val="008B7077"/>
    <w:rsid w:val="008B7C17"/>
    <w:rsid w:val="008C2D01"/>
    <w:rsid w:val="008C40E6"/>
    <w:rsid w:val="008C48FB"/>
    <w:rsid w:val="008C7DDD"/>
    <w:rsid w:val="008D0291"/>
    <w:rsid w:val="008D0F7A"/>
    <w:rsid w:val="008D67DA"/>
    <w:rsid w:val="008D68E4"/>
    <w:rsid w:val="008E0506"/>
    <w:rsid w:val="008E0CCC"/>
    <w:rsid w:val="008E0CFF"/>
    <w:rsid w:val="008E5D6B"/>
    <w:rsid w:val="008E76F0"/>
    <w:rsid w:val="008F15FE"/>
    <w:rsid w:val="008F2CC2"/>
    <w:rsid w:val="008F2D29"/>
    <w:rsid w:val="008F5187"/>
    <w:rsid w:val="008F60D8"/>
    <w:rsid w:val="008F6156"/>
    <w:rsid w:val="00900241"/>
    <w:rsid w:val="00901605"/>
    <w:rsid w:val="00902727"/>
    <w:rsid w:val="00902E9B"/>
    <w:rsid w:val="0090312B"/>
    <w:rsid w:val="009040C8"/>
    <w:rsid w:val="00907C28"/>
    <w:rsid w:val="00910DC1"/>
    <w:rsid w:val="009122B4"/>
    <w:rsid w:val="009122CC"/>
    <w:rsid w:val="00915F51"/>
    <w:rsid w:val="0091736D"/>
    <w:rsid w:val="00920069"/>
    <w:rsid w:val="00920D15"/>
    <w:rsid w:val="00923F3D"/>
    <w:rsid w:val="009258D3"/>
    <w:rsid w:val="00926EFA"/>
    <w:rsid w:val="009273EC"/>
    <w:rsid w:val="0093037A"/>
    <w:rsid w:val="009306CB"/>
    <w:rsid w:val="00930CCB"/>
    <w:rsid w:val="00931ABE"/>
    <w:rsid w:val="00932194"/>
    <w:rsid w:val="0093245F"/>
    <w:rsid w:val="00933199"/>
    <w:rsid w:val="00933CF3"/>
    <w:rsid w:val="009344F1"/>
    <w:rsid w:val="00936E7D"/>
    <w:rsid w:val="0094154D"/>
    <w:rsid w:val="00941DED"/>
    <w:rsid w:val="00947C70"/>
    <w:rsid w:val="00950C67"/>
    <w:rsid w:val="0095155F"/>
    <w:rsid w:val="00951AF9"/>
    <w:rsid w:val="009527DB"/>
    <w:rsid w:val="00952E00"/>
    <w:rsid w:val="00953067"/>
    <w:rsid w:val="00954429"/>
    <w:rsid w:val="00955972"/>
    <w:rsid w:val="009562D4"/>
    <w:rsid w:val="009563CE"/>
    <w:rsid w:val="00956504"/>
    <w:rsid w:val="00957B83"/>
    <w:rsid w:val="00961082"/>
    <w:rsid w:val="00961370"/>
    <w:rsid w:val="00961A04"/>
    <w:rsid w:val="00961ABF"/>
    <w:rsid w:val="00962428"/>
    <w:rsid w:val="00962AD9"/>
    <w:rsid w:val="00965AFD"/>
    <w:rsid w:val="0096628F"/>
    <w:rsid w:val="00967000"/>
    <w:rsid w:val="00967317"/>
    <w:rsid w:val="00976328"/>
    <w:rsid w:val="0097680D"/>
    <w:rsid w:val="0097695B"/>
    <w:rsid w:val="009805F4"/>
    <w:rsid w:val="00982438"/>
    <w:rsid w:val="00982558"/>
    <w:rsid w:val="009828AE"/>
    <w:rsid w:val="0098404C"/>
    <w:rsid w:val="00985283"/>
    <w:rsid w:val="0098752F"/>
    <w:rsid w:val="009906D0"/>
    <w:rsid w:val="0099097A"/>
    <w:rsid w:val="0099381D"/>
    <w:rsid w:val="00994A88"/>
    <w:rsid w:val="00995992"/>
    <w:rsid w:val="00997FE6"/>
    <w:rsid w:val="009A03E5"/>
    <w:rsid w:val="009A0619"/>
    <w:rsid w:val="009A07C4"/>
    <w:rsid w:val="009A0F3B"/>
    <w:rsid w:val="009A112D"/>
    <w:rsid w:val="009A1975"/>
    <w:rsid w:val="009A1BB4"/>
    <w:rsid w:val="009A2242"/>
    <w:rsid w:val="009A2628"/>
    <w:rsid w:val="009A265F"/>
    <w:rsid w:val="009A3200"/>
    <w:rsid w:val="009A47D2"/>
    <w:rsid w:val="009A5570"/>
    <w:rsid w:val="009A6BDC"/>
    <w:rsid w:val="009A6D6B"/>
    <w:rsid w:val="009B0897"/>
    <w:rsid w:val="009B139F"/>
    <w:rsid w:val="009B3443"/>
    <w:rsid w:val="009B4346"/>
    <w:rsid w:val="009B4B1B"/>
    <w:rsid w:val="009B5B1C"/>
    <w:rsid w:val="009B5D0A"/>
    <w:rsid w:val="009B7BD9"/>
    <w:rsid w:val="009C0F95"/>
    <w:rsid w:val="009C37E7"/>
    <w:rsid w:val="009C3C79"/>
    <w:rsid w:val="009C514A"/>
    <w:rsid w:val="009C5DCE"/>
    <w:rsid w:val="009C6193"/>
    <w:rsid w:val="009C7296"/>
    <w:rsid w:val="009C79C9"/>
    <w:rsid w:val="009C7DD5"/>
    <w:rsid w:val="009D0BA4"/>
    <w:rsid w:val="009D45B1"/>
    <w:rsid w:val="009D5366"/>
    <w:rsid w:val="009D593F"/>
    <w:rsid w:val="009E227D"/>
    <w:rsid w:val="009E2E5B"/>
    <w:rsid w:val="009E3847"/>
    <w:rsid w:val="009E5019"/>
    <w:rsid w:val="009E5445"/>
    <w:rsid w:val="009E6B24"/>
    <w:rsid w:val="009F069E"/>
    <w:rsid w:val="009F1B32"/>
    <w:rsid w:val="009F3635"/>
    <w:rsid w:val="009F3B74"/>
    <w:rsid w:val="009F3D21"/>
    <w:rsid w:val="009F3FD5"/>
    <w:rsid w:val="009F4F48"/>
    <w:rsid w:val="009F7DA7"/>
    <w:rsid w:val="00A03982"/>
    <w:rsid w:val="00A04F1B"/>
    <w:rsid w:val="00A0501B"/>
    <w:rsid w:val="00A0547C"/>
    <w:rsid w:val="00A05B53"/>
    <w:rsid w:val="00A1267F"/>
    <w:rsid w:val="00A1333E"/>
    <w:rsid w:val="00A14947"/>
    <w:rsid w:val="00A154DB"/>
    <w:rsid w:val="00A154E0"/>
    <w:rsid w:val="00A15D6B"/>
    <w:rsid w:val="00A2068E"/>
    <w:rsid w:val="00A20907"/>
    <w:rsid w:val="00A26190"/>
    <w:rsid w:val="00A27AD1"/>
    <w:rsid w:val="00A301DB"/>
    <w:rsid w:val="00A303CF"/>
    <w:rsid w:val="00A32A83"/>
    <w:rsid w:val="00A3379C"/>
    <w:rsid w:val="00A3418C"/>
    <w:rsid w:val="00A34946"/>
    <w:rsid w:val="00A368DB"/>
    <w:rsid w:val="00A404D7"/>
    <w:rsid w:val="00A40A5D"/>
    <w:rsid w:val="00A4192E"/>
    <w:rsid w:val="00A423AA"/>
    <w:rsid w:val="00A43978"/>
    <w:rsid w:val="00A43D6B"/>
    <w:rsid w:val="00A46093"/>
    <w:rsid w:val="00A460EB"/>
    <w:rsid w:val="00A47BFA"/>
    <w:rsid w:val="00A47C7C"/>
    <w:rsid w:val="00A52868"/>
    <w:rsid w:val="00A53EC6"/>
    <w:rsid w:val="00A55C0F"/>
    <w:rsid w:val="00A5744C"/>
    <w:rsid w:val="00A6058F"/>
    <w:rsid w:val="00A61A67"/>
    <w:rsid w:val="00A62960"/>
    <w:rsid w:val="00A634C9"/>
    <w:rsid w:val="00A65157"/>
    <w:rsid w:val="00A655ED"/>
    <w:rsid w:val="00A67824"/>
    <w:rsid w:val="00A71288"/>
    <w:rsid w:val="00A729A7"/>
    <w:rsid w:val="00A73B56"/>
    <w:rsid w:val="00A76FA5"/>
    <w:rsid w:val="00A77187"/>
    <w:rsid w:val="00A80B24"/>
    <w:rsid w:val="00A820F5"/>
    <w:rsid w:val="00A83DA8"/>
    <w:rsid w:val="00A8713F"/>
    <w:rsid w:val="00A90BA1"/>
    <w:rsid w:val="00A9268E"/>
    <w:rsid w:val="00A965F5"/>
    <w:rsid w:val="00A96A5E"/>
    <w:rsid w:val="00A97A9A"/>
    <w:rsid w:val="00AA023A"/>
    <w:rsid w:val="00AA0671"/>
    <w:rsid w:val="00AA217F"/>
    <w:rsid w:val="00AA2531"/>
    <w:rsid w:val="00AA63DF"/>
    <w:rsid w:val="00AB1E09"/>
    <w:rsid w:val="00AB2DCB"/>
    <w:rsid w:val="00AB5330"/>
    <w:rsid w:val="00AB70A0"/>
    <w:rsid w:val="00AB7747"/>
    <w:rsid w:val="00AC000A"/>
    <w:rsid w:val="00AC14CE"/>
    <w:rsid w:val="00AC2A0E"/>
    <w:rsid w:val="00AC2A56"/>
    <w:rsid w:val="00AC30E5"/>
    <w:rsid w:val="00AC614B"/>
    <w:rsid w:val="00AC6913"/>
    <w:rsid w:val="00AC73C5"/>
    <w:rsid w:val="00AD055E"/>
    <w:rsid w:val="00AD3032"/>
    <w:rsid w:val="00AD47A7"/>
    <w:rsid w:val="00AD7707"/>
    <w:rsid w:val="00AE063E"/>
    <w:rsid w:val="00AE1A49"/>
    <w:rsid w:val="00AE3CB5"/>
    <w:rsid w:val="00AE3FAE"/>
    <w:rsid w:val="00AE570B"/>
    <w:rsid w:val="00AE59F6"/>
    <w:rsid w:val="00AF0CBF"/>
    <w:rsid w:val="00AF257F"/>
    <w:rsid w:val="00AF33CF"/>
    <w:rsid w:val="00AF4881"/>
    <w:rsid w:val="00AF4D50"/>
    <w:rsid w:val="00AF54EA"/>
    <w:rsid w:val="00AF5C8A"/>
    <w:rsid w:val="00AF6179"/>
    <w:rsid w:val="00AF7348"/>
    <w:rsid w:val="00B05889"/>
    <w:rsid w:val="00B05D5C"/>
    <w:rsid w:val="00B0797A"/>
    <w:rsid w:val="00B07E21"/>
    <w:rsid w:val="00B1295A"/>
    <w:rsid w:val="00B13C31"/>
    <w:rsid w:val="00B16502"/>
    <w:rsid w:val="00B16771"/>
    <w:rsid w:val="00B20A45"/>
    <w:rsid w:val="00B212A2"/>
    <w:rsid w:val="00B213AF"/>
    <w:rsid w:val="00B22156"/>
    <w:rsid w:val="00B22C5C"/>
    <w:rsid w:val="00B24A28"/>
    <w:rsid w:val="00B24A38"/>
    <w:rsid w:val="00B24C45"/>
    <w:rsid w:val="00B24F30"/>
    <w:rsid w:val="00B262E6"/>
    <w:rsid w:val="00B26CD2"/>
    <w:rsid w:val="00B26EBE"/>
    <w:rsid w:val="00B30652"/>
    <w:rsid w:val="00B31872"/>
    <w:rsid w:val="00B31ABF"/>
    <w:rsid w:val="00B3215F"/>
    <w:rsid w:val="00B33BE3"/>
    <w:rsid w:val="00B34CB8"/>
    <w:rsid w:val="00B34FA1"/>
    <w:rsid w:val="00B360FE"/>
    <w:rsid w:val="00B36BA5"/>
    <w:rsid w:val="00B3783A"/>
    <w:rsid w:val="00B37A0E"/>
    <w:rsid w:val="00B37F75"/>
    <w:rsid w:val="00B37FBC"/>
    <w:rsid w:val="00B40EF0"/>
    <w:rsid w:val="00B41D25"/>
    <w:rsid w:val="00B41E76"/>
    <w:rsid w:val="00B446EF"/>
    <w:rsid w:val="00B448BF"/>
    <w:rsid w:val="00B453F5"/>
    <w:rsid w:val="00B460A8"/>
    <w:rsid w:val="00B464B2"/>
    <w:rsid w:val="00B46F8D"/>
    <w:rsid w:val="00B47E76"/>
    <w:rsid w:val="00B5031D"/>
    <w:rsid w:val="00B51A4B"/>
    <w:rsid w:val="00B53B5D"/>
    <w:rsid w:val="00B54DCA"/>
    <w:rsid w:val="00B55159"/>
    <w:rsid w:val="00B5767F"/>
    <w:rsid w:val="00B57D32"/>
    <w:rsid w:val="00B6055E"/>
    <w:rsid w:val="00B60BE4"/>
    <w:rsid w:val="00B616A3"/>
    <w:rsid w:val="00B6317D"/>
    <w:rsid w:val="00B64EA2"/>
    <w:rsid w:val="00B668EB"/>
    <w:rsid w:val="00B70134"/>
    <w:rsid w:val="00B721AF"/>
    <w:rsid w:val="00B74A2E"/>
    <w:rsid w:val="00B76A15"/>
    <w:rsid w:val="00B7703A"/>
    <w:rsid w:val="00B7723F"/>
    <w:rsid w:val="00B80534"/>
    <w:rsid w:val="00B82039"/>
    <w:rsid w:val="00B82A76"/>
    <w:rsid w:val="00B8348B"/>
    <w:rsid w:val="00B83B27"/>
    <w:rsid w:val="00B8433C"/>
    <w:rsid w:val="00B8650B"/>
    <w:rsid w:val="00B86A59"/>
    <w:rsid w:val="00B87491"/>
    <w:rsid w:val="00B90F5A"/>
    <w:rsid w:val="00B9146D"/>
    <w:rsid w:val="00B916D8"/>
    <w:rsid w:val="00B91E58"/>
    <w:rsid w:val="00BA29E9"/>
    <w:rsid w:val="00BA34C4"/>
    <w:rsid w:val="00BA51F0"/>
    <w:rsid w:val="00BA5346"/>
    <w:rsid w:val="00BA7142"/>
    <w:rsid w:val="00BB2167"/>
    <w:rsid w:val="00BB237C"/>
    <w:rsid w:val="00BB41A3"/>
    <w:rsid w:val="00BB441B"/>
    <w:rsid w:val="00BB463B"/>
    <w:rsid w:val="00BC0901"/>
    <w:rsid w:val="00BC2FB9"/>
    <w:rsid w:val="00BC32DC"/>
    <w:rsid w:val="00BC3586"/>
    <w:rsid w:val="00BC35B6"/>
    <w:rsid w:val="00BC4B7A"/>
    <w:rsid w:val="00BC5738"/>
    <w:rsid w:val="00BC66D9"/>
    <w:rsid w:val="00BD047A"/>
    <w:rsid w:val="00BD1B51"/>
    <w:rsid w:val="00BD4596"/>
    <w:rsid w:val="00BD5791"/>
    <w:rsid w:val="00BE1405"/>
    <w:rsid w:val="00BE1CF4"/>
    <w:rsid w:val="00BE22AB"/>
    <w:rsid w:val="00BE28C1"/>
    <w:rsid w:val="00BE312D"/>
    <w:rsid w:val="00BE5174"/>
    <w:rsid w:val="00BE73B7"/>
    <w:rsid w:val="00BF1196"/>
    <w:rsid w:val="00BF1C20"/>
    <w:rsid w:val="00BF5DE3"/>
    <w:rsid w:val="00BF621B"/>
    <w:rsid w:val="00BF76D7"/>
    <w:rsid w:val="00BF7C64"/>
    <w:rsid w:val="00C0080B"/>
    <w:rsid w:val="00C00DFD"/>
    <w:rsid w:val="00C017C1"/>
    <w:rsid w:val="00C034FA"/>
    <w:rsid w:val="00C04248"/>
    <w:rsid w:val="00C04873"/>
    <w:rsid w:val="00C10578"/>
    <w:rsid w:val="00C10821"/>
    <w:rsid w:val="00C135BC"/>
    <w:rsid w:val="00C13D2C"/>
    <w:rsid w:val="00C149AA"/>
    <w:rsid w:val="00C15C95"/>
    <w:rsid w:val="00C1660C"/>
    <w:rsid w:val="00C16F43"/>
    <w:rsid w:val="00C21D22"/>
    <w:rsid w:val="00C23745"/>
    <w:rsid w:val="00C23939"/>
    <w:rsid w:val="00C2596A"/>
    <w:rsid w:val="00C27477"/>
    <w:rsid w:val="00C27537"/>
    <w:rsid w:val="00C30375"/>
    <w:rsid w:val="00C328FE"/>
    <w:rsid w:val="00C33507"/>
    <w:rsid w:val="00C3679F"/>
    <w:rsid w:val="00C377A9"/>
    <w:rsid w:val="00C4091E"/>
    <w:rsid w:val="00C4235C"/>
    <w:rsid w:val="00C42B63"/>
    <w:rsid w:val="00C4409D"/>
    <w:rsid w:val="00C44E72"/>
    <w:rsid w:val="00C45A06"/>
    <w:rsid w:val="00C45C6C"/>
    <w:rsid w:val="00C47E5B"/>
    <w:rsid w:val="00C512B3"/>
    <w:rsid w:val="00C56A91"/>
    <w:rsid w:val="00C5761F"/>
    <w:rsid w:val="00C57B8A"/>
    <w:rsid w:val="00C61E4B"/>
    <w:rsid w:val="00C61EBE"/>
    <w:rsid w:val="00C62DBF"/>
    <w:rsid w:val="00C632C7"/>
    <w:rsid w:val="00C63A61"/>
    <w:rsid w:val="00C64424"/>
    <w:rsid w:val="00C64BFF"/>
    <w:rsid w:val="00C64F6C"/>
    <w:rsid w:val="00C6711B"/>
    <w:rsid w:val="00C704E9"/>
    <w:rsid w:val="00C743DD"/>
    <w:rsid w:val="00C758FB"/>
    <w:rsid w:val="00C759CA"/>
    <w:rsid w:val="00C763C9"/>
    <w:rsid w:val="00C76D94"/>
    <w:rsid w:val="00C77A04"/>
    <w:rsid w:val="00C80057"/>
    <w:rsid w:val="00C80529"/>
    <w:rsid w:val="00C80C5C"/>
    <w:rsid w:val="00C8130D"/>
    <w:rsid w:val="00C813C5"/>
    <w:rsid w:val="00C82232"/>
    <w:rsid w:val="00C82913"/>
    <w:rsid w:val="00C83214"/>
    <w:rsid w:val="00C863BD"/>
    <w:rsid w:val="00C87FC4"/>
    <w:rsid w:val="00C908F2"/>
    <w:rsid w:val="00C90FEE"/>
    <w:rsid w:val="00C91083"/>
    <w:rsid w:val="00C91EBD"/>
    <w:rsid w:val="00C925BC"/>
    <w:rsid w:val="00C93A37"/>
    <w:rsid w:val="00C9469E"/>
    <w:rsid w:val="00C9610E"/>
    <w:rsid w:val="00C965D6"/>
    <w:rsid w:val="00C972B1"/>
    <w:rsid w:val="00C97EF8"/>
    <w:rsid w:val="00CA1533"/>
    <w:rsid w:val="00CA2CCE"/>
    <w:rsid w:val="00CA43FD"/>
    <w:rsid w:val="00CA7EF8"/>
    <w:rsid w:val="00CB50D1"/>
    <w:rsid w:val="00CB5D47"/>
    <w:rsid w:val="00CB68BC"/>
    <w:rsid w:val="00CB75FB"/>
    <w:rsid w:val="00CC21F9"/>
    <w:rsid w:val="00CC3590"/>
    <w:rsid w:val="00CC489B"/>
    <w:rsid w:val="00CC4ADD"/>
    <w:rsid w:val="00CD0042"/>
    <w:rsid w:val="00CD0BFC"/>
    <w:rsid w:val="00CD0D7C"/>
    <w:rsid w:val="00CD244F"/>
    <w:rsid w:val="00CD2A44"/>
    <w:rsid w:val="00CD2BCD"/>
    <w:rsid w:val="00CD3A4C"/>
    <w:rsid w:val="00CD4113"/>
    <w:rsid w:val="00CD46C0"/>
    <w:rsid w:val="00CE0AE2"/>
    <w:rsid w:val="00CE0FF8"/>
    <w:rsid w:val="00CE10E9"/>
    <w:rsid w:val="00CE18C4"/>
    <w:rsid w:val="00CE2910"/>
    <w:rsid w:val="00CE2C51"/>
    <w:rsid w:val="00CE3117"/>
    <w:rsid w:val="00CE3577"/>
    <w:rsid w:val="00CE3A46"/>
    <w:rsid w:val="00CE5393"/>
    <w:rsid w:val="00CE57FE"/>
    <w:rsid w:val="00CE67F8"/>
    <w:rsid w:val="00CF36BE"/>
    <w:rsid w:val="00CF4383"/>
    <w:rsid w:val="00CF4A1C"/>
    <w:rsid w:val="00CF6000"/>
    <w:rsid w:val="00CF6473"/>
    <w:rsid w:val="00CF6F8B"/>
    <w:rsid w:val="00CF7020"/>
    <w:rsid w:val="00D002DB"/>
    <w:rsid w:val="00D003F3"/>
    <w:rsid w:val="00D0364F"/>
    <w:rsid w:val="00D04EA7"/>
    <w:rsid w:val="00D0668E"/>
    <w:rsid w:val="00D06834"/>
    <w:rsid w:val="00D10E0F"/>
    <w:rsid w:val="00D1338B"/>
    <w:rsid w:val="00D13DAA"/>
    <w:rsid w:val="00D140E8"/>
    <w:rsid w:val="00D15E15"/>
    <w:rsid w:val="00D16DCF"/>
    <w:rsid w:val="00D17809"/>
    <w:rsid w:val="00D20350"/>
    <w:rsid w:val="00D22ECE"/>
    <w:rsid w:val="00D24352"/>
    <w:rsid w:val="00D26A9B"/>
    <w:rsid w:val="00D308ED"/>
    <w:rsid w:val="00D310B4"/>
    <w:rsid w:val="00D3248B"/>
    <w:rsid w:val="00D33AD7"/>
    <w:rsid w:val="00D340C9"/>
    <w:rsid w:val="00D34688"/>
    <w:rsid w:val="00D34F7A"/>
    <w:rsid w:val="00D36D86"/>
    <w:rsid w:val="00D37BA3"/>
    <w:rsid w:val="00D40028"/>
    <w:rsid w:val="00D41535"/>
    <w:rsid w:val="00D42401"/>
    <w:rsid w:val="00D4249E"/>
    <w:rsid w:val="00D428AA"/>
    <w:rsid w:val="00D43F54"/>
    <w:rsid w:val="00D50A34"/>
    <w:rsid w:val="00D5109A"/>
    <w:rsid w:val="00D52775"/>
    <w:rsid w:val="00D52F6E"/>
    <w:rsid w:val="00D53EA7"/>
    <w:rsid w:val="00D53EFA"/>
    <w:rsid w:val="00D5403B"/>
    <w:rsid w:val="00D5686B"/>
    <w:rsid w:val="00D60994"/>
    <w:rsid w:val="00D621CF"/>
    <w:rsid w:val="00D65CB2"/>
    <w:rsid w:val="00D66089"/>
    <w:rsid w:val="00D67101"/>
    <w:rsid w:val="00D675D5"/>
    <w:rsid w:val="00D75C3E"/>
    <w:rsid w:val="00D76A22"/>
    <w:rsid w:val="00D801E3"/>
    <w:rsid w:val="00D805A3"/>
    <w:rsid w:val="00D82CBC"/>
    <w:rsid w:val="00D83B86"/>
    <w:rsid w:val="00D90892"/>
    <w:rsid w:val="00D9125E"/>
    <w:rsid w:val="00D92C6B"/>
    <w:rsid w:val="00D94625"/>
    <w:rsid w:val="00D94A7C"/>
    <w:rsid w:val="00D95896"/>
    <w:rsid w:val="00D96698"/>
    <w:rsid w:val="00DA0B24"/>
    <w:rsid w:val="00DA10DF"/>
    <w:rsid w:val="00DA2142"/>
    <w:rsid w:val="00DA2CF8"/>
    <w:rsid w:val="00DA79E2"/>
    <w:rsid w:val="00DB017C"/>
    <w:rsid w:val="00DB1914"/>
    <w:rsid w:val="00DB2983"/>
    <w:rsid w:val="00DB3078"/>
    <w:rsid w:val="00DB3563"/>
    <w:rsid w:val="00DB5A70"/>
    <w:rsid w:val="00DB6397"/>
    <w:rsid w:val="00DB6AA3"/>
    <w:rsid w:val="00DC1257"/>
    <w:rsid w:val="00DC359B"/>
    <w:rsid w:val="00DC3DC0"/>
    <w:rsid w:val="00DC4681"/>
    <w:rsid w:val="00DC4788"/>
    <w:rsid w:val="00DC4916"/>
    <w:rsid w:val="00DC4E05"/>
    <w:rsid w:val="00DC5B2B"/>
    <w:rsid w:val="00DD10B9"/>
    <w:rsid w:val="00DD19BF"/>
    <w:rsid w:val="00DD318D"/>
    <w:rsid w:val="00DD34C7"/>
    <w:rsid w:val="00DD418D"/>
    <w:rsid w:val="00DD432C"/>
    <w:rsid w:val="00DD694C"/>
    <w:rsid w:val="00DD787A"/>
    <w:rsid w:val="00DE01DA"/>
    <w:rsid w:val="00DE7CC0"/>
    <w:rsid w:val="00DF14A9"/>
    <w:rsid w:val="00DF2E12"/>
    <w:rsid w:val="00DF3591"/>
    <w:rsid w:val="00DF3BF7"/>
    <w:rsid w:val="00DF3CEE"/>
    <w:rsid w:val="00DF514A"/>
    <w:rsid w:val="00DF6690"/>
    <w:rsid w:val="00DF6804"/>
    <w:rsid w:val="00DF7172"/>
    <w:rsid w:val="00DF73DC"/>
    <w:rsid w:val="00DF7CC6"/>
    <w:rsid w:val="00E0135D"/>
    <w:rsid w:val="00E0284E"/>
    <w:rsid w:val="00E0358D"/>
    <w:rsid w:val="00E03878"/>
    <w:rsid w:val="00E04323"/>
    <w:rsid w:val="00E05A94"/>
    <w:rsid w:val="00E070A2"/>
    <w:rsid w:val="00E10DF6"/>
    <w:rsid w:val="00E12265"/>
    <w:rsid w:val="00E129F9"/>
    <w:rsid w:val="00E153D9"/>
    <w:rsid w:val="00E233CA"/>
    <w:rsid w:val="00E253E8"/>
    <w:rsid w:val="00E2656A"/>
    <w:rsid w:val="00E304C6"/>
    <w:rsid w:val="00E30624"/>
    <w:rsid w:val="00E30E47"/>
    <w:rsid w:val="00E318ED"/>
    <w:rsid w:val="00E32451"/>
    <w:rsid w:val="00E32856"/>
    <w:rsid w:val="00E36BF5"/>
    <w:rsid w:val="00E412D0"/>
    <w:rsid w:val="00E42F62"/>
    <w:rsid w:val="00E431AD"/>
    <w:rsid w:val="00E44867"/>
    <w:rsid w:val="00E44C07"/>
    <w:rsid w:val="00E45B87"/>
    <w:rsid w:val="00E51F71"/>
    <w:rsid w:val="00E5460D"/>
    <w:rsid w:val="00E56322"/>
    <w:rsid w:val="00E60982"/>
    <w:rsid w:val="00E61459"/>
    <w:rsid w:val="00E621B4"/>
    <w:rsid w:val="00E62C62"/>
    <w:rsid w:val="00E62CAD"/>
    <w:rsid w:val="00E654C1"/>
    <w:rsid w:val="00E65622"/>
    <w:rsid w:val="00E65D97"/>
    <w:rsid w:val="00E72A5A"/>
    <w:rsid w:val="00E73232"/>
    <w:rsid w:val="00E73354"/>
    <w:rsid w:val="00E75F60"/>
    <w:rsid w:val="00E77A37"/>
    <w:rsid w:val="00E80004"/>
    <w:rsid w:val="00E81AF0"/>
    <w:rsid w:val="00E84FA6"/>
    <w:rsid w:val="00E8640F"/>
    <w:rsid w:val="00E90E94"/>
    <w:rsid w:val="00E9242D"/>
    <w:rsid w:val="00E93216"/>
    <w:rsid w:val="00E93C0E"/>
    <w:rsid w:val="00E94418"/>
    <w:rsid w:val="00E96417"/>
    <w:rsid w:val="00E96465"/>
    <w:rsid w:val="00E966FF"/>
    <w:rsid w:val="00E97674"/>
    <w:rsid w:val="00EA0AC6"/>
    <w:rsid w:val="00EA28C0"/>
    <w:rsid w:val="00EA28D5"/>
    <w:rsid w:val="00EA772D"/>
    <w:rsid w:val="00EB0DAF"/>
    <w:rsid w:val="00EB3F7E"/>
    <w:rsid w:val="00EB5255"/>
    <w:rsid w:val="00EB5A09"/>
    <w:rsid w:val="00EB5C47"/>
    <w:rsid w:val="00EB5E2E"/>
    <w:rsid w:val="00EB7C66"/>
    <w:rsid w:val="00EC18C0"/>
    <w:rsid w:val="00EC1D69"/>
    <w:rsid w:val="00EC46D1"/>
    <w:rsid w:val="00EC57EC"/>
    <w:rsid w:val="00EC5E2D"/>
    <w:rsid w:val="00EC6850"/>
    <w:rsid w:val="00EC7D0B"/>
    <w:rsid w:val="00ED0639"/>
    <w:rsid w:val="00ED2EE6"/>
    <w:rsid w:val="00ED44D8"/>
    <w:rsid w:val="00ED45A9"/>
    <w:rsid w:val="00ED4808"/>
    <w:rsid w:val="00ED485C"/>
    <w:rsid w:val="00ED6AD4"/>
    <w:rsid w:val="00EE00AB"/>
    <w:rsid w:val="00EE1C6C"/>
    <w:rsid w:val="00EE4E77"/>
    <w:rsid w:val="00EE73F0"/>
    <w:rsid w:val="00EF0E23"/>
    <w:rsid w:val="00EF1C07"/>
    <w:rsid w:val="00EF4755"/>
    <w:rsid w:val="00EF5F46"/>
    <w:rsid w:val="00EF6EFA"/>
    <w:rsid w:val="00EF7135"/>
    <w:rsid w:val="00F01090"/>
    <w:rsid w:val="00F01379"/>
    <w:rsid w:val="00F02215"/>
    <w:rsid w:val="00F027DB"/>
    <w:rsid w:val="00F0450E"/>
    <w:rsid w:val="00F046EE"/>
    <w:rsid w:val="00F06AB3"/>
    <w:rsid w:val="00F06EA2"/>
    <w:rsid w:val="00F07FC8"/>
    <w:rsid w:val="00F1033E"/>
    <w:rsid w:val="00F14A7A"/>
    <w:rsid w:val="00F14DCA"/>
    <w:rsid w:val="00F16D9F"/>
    <w:rsid w:val="00F22985"/>
    <w:rsid w:val="00F23D30"/>
    <w:rsid w:val="00F2580C"/>
    <w:rsid w:val="00F25F58"/>
    <w:rsid w:val="00F26003"/>
    <w:rsid w:val="00F27397"/>
    <w:rsid w:val="00F31E9D"/>
    <w:rsid w:val="00F3307C"/>
    <w:rsid w:val="00F3383E"/>
    <w:rsid w:val="00F33979"/>
    <w:rsid w:val="00F35DE0"/>
    <w:rsid w:val="00F36272"/>
    <w:rsid w:val="00F43959"/>
    <w:rsid w:val="00F465A7"/>
    <w:rsid w:val="00F50B7C"/>
    <w:rsid w:val="00F5284D"/>
    <w:rsid w:val="00F53DDF"/>
    <w:rsid w:val="00F54D7D"/>
    <w:rsid w:val="00F550E6"/>
    <w:rsid w:val="00F567BD"/>
    <w:rsid w:val="00F57040"/>
    <w:rsid w:val="00F579AC"/>
    <w:rsid w:val="00F60B93"/>
    <w:rsid w:val="00F610C4"/>
    <w:rsid w:val="00F61892"/>
    <w:rsid w:val="00F6268E"/>
    <w:rsid w:val="00F63136"/>
    <w:rsid w:val="00F64E4F"/>
    <w:rsid w:val="00F65505"/>
    <w:rsid w:val="00F6696B"/>
    <w:rsid w:val="00F66A40"/>
    <w:rsid w:val="00F67D4B"/>
    <w:rsid w:val="00F7319F"/>
    <w:rsid w:val="00F73962"/>
    <w:rsid w:val="00F74345"/>
    <w:rsid w:val="00F74B47"/>
    <w:rsid w:val="00F75022"/>
    <w:rsid w:val="00F7579F"/>
    <w:rsid w:val="00F75DA7"/>
    <w:rsid w:val="00F8082E"/>
    <w:rsid w:val="00F80A0A"/>
    <w:rsid w:val="00F82B19"/>
    <w:rsid w:val="00F83140"/>
    <w:rsid w:val="00F86DEC"/>
    <w:rsid w:val="00F9212D"/>
    <w:rsid w:val="00F9229A"/>
    <w:rsid w:val="00F93286"/>
    <w:rsid w:val="00F95742"/>
    <w:rsid w:val="00F95D51"/>
    <w:rsid w:val="00F965DA"/>
    <w:rsid w:val="00FA406A"/>
    <w:rsid w:val="00FA647E"/>
    <w:rsid w:val="00FA6E1B"/>
    <w:rsid w:val="00FB0AE3"/>
    <w:rsid w:val="00FB12D7"/>
    <w:rsid w:val="00FB1E79"/>
    <w:rsid w:val="00FB3AE3"/>
    <w:rsid w:val="00FB3F12"/>
    <w:rsid w:val="00FB4718"/>
    <w:rsid w:val="00FB503A"/>
    <w:rsid w:val="00FB516C"/>
    <w:rsid w:val="00FB54B4"/>
    <w:rsid w:val="00FB6886"/>
    <w:rsid w:val="00FB75DB"/>
    <w:rsid w:val="00FC1F70"/>
    <w:rsid w:val="00FC28DD"/>
    <w:rsid w:val="00FC4E3A"/>
    <w:rsid w:val="00FC7A27"/>
    <w:rsid w:val="00FD0236"/>
    <w:rsid w:val="00FD12CC"/>
    <w:rsid w:val="00FD177B"/>
    <w:rsid w:val="00FD18F4"/>
    <w:rsid w:val="00FD2914"/>
    <w:rsid w:val="00FD3012"/>
    <w:rsid w:val="00FD4B98"/>
    <w:rsid w:val="00FD54DB"/>
    <w:rsid w:val="00FD5668"/>
    <w:rsid w:val="00FD612A"/>
    <w:rsid w:val="00FD619F"/>
    <w:rsid w:val="00FE039C"/>
    <w:rsid w:val="00FE0CE2"/>
    <w:rsid w:val="00FE2E98"/>
    <w:rsid w:val="00FE3678"/>
    <w:rsid w:val="00FE43D4"/>
    <w:rsid w:val="00FE5C46"/>
    <w:rsid w:val="00FF4EDE"/>
    <w:rsid w:val="00FF616A"/>
    <w:rsid w:val="011378D4"/>
    <w:rsid w:val="01290F7E"/>
    <w:rsid w:val="015953A8"/>
    <w:rsid w:val="015D1E09"/>
    <w:rsid w:val="02492D21"/>
    <w:rsid w:val="025538DE"/>
    <w:rsid w:val="02697903"/>
    <w:rsid w:val="02A5701C"/>
    <w:rsid w:val="02F96569"/>
    <w:rsid w:val="032A6191"/>
    <w:rsid w:val="03902BCA"/>
    <w:rsid w:val="03C55996"/>
    <w:rsid w:val="03EA7B21"/>
    <w:rsid w:val="04D64CF2"/>
    <w:rsid w:val="05F83EAE"/>
    <w:rsid w:val="060A14C6"/>
    <w:rsid w:val="063E7D85"/>
    <w:rsid w:val="07251621"/>
    <w:rsid w:val="07293586"/>
    <w:rsid w:val="07295285"/>
    <w:rsid w:val="07636392"/>
    <w:rsid w:val="07770C56"/>
    <w:rsid w:val="07D86998"/>
    <w:rsid w:val="082F0F7A"/>
    <w:rsid w:val="08BD20E2"/>
    <w:rsid w:val="08CE609D"/>
    <w:rsid w:val="08DA2B8B"/>
    <w:rsid w:val="08EF6AC5"/>
    <w:rsid w:val="092217DD"/>
    <w:rsid w:val="093A7294"/>
    <w:rsid w:val="096D4A70"/>
    <w:rsid w:val="09842C00"/>
    <w:rsid w:val="098D4402"/>
    <w:rsid w:val="09E447DF"/>
    <w:rsid w:val="0A0F34BC"/>
    <w:rsid w:val="0A1D65D0"/>
    <w:rsid w:val="0A263993"/>
    <w:rsid w:val="0A2D3AC2"/>
    <w:rsid w:val="0A436802"/>
    <w:rsid w:val="0A5465A5"/>
    <w:rsid w:val="0A9C17A4"/>
    <w:rsid w:val="0AA755DF"/>
    <w:rsid w:val="0ABE045A"/>
    <w:rsid w:val="0ABF2D04"/>
    <w:rsid w:val="0AFC7EAB"/>
    <w:rsid w:val="0B120D44"/>
    <w:rsid w:val="0B9B6AB2"/>
    <w:rsid w:val="0BD27BF6"/>
    <w:rsid w:val="0C3B3C7D"/>
    <w:rsid w:val="0C9F68C2"/>
    <w:rsid w:val="0CAB2EAE"/>
    <w:rsid w:val="0D621C7D"/>
    <w:rsid w:val="0DA425E6"/>
    <w:rsid w:val="0DC207E1"/>
    <w:rsid w:val="0DC648BF"/>
    <w:rsid w:val="0E626473"/>
    <w:rsid w:val="0E675D26"/>
    <w:rsid w:val="0E73034D"/>
    <w:rsid w:val="0E9B22B3"/>
    <w:rsid w:val="0EC046DA"/>
    <w:rsid w:val="0ECF4D5E"/>
    <w:rsid w:val="0EE32E50"/>
    <w:rsid w:val="0F13775A"/>
    <w:rsid w:val="0F544CFD"/>
    <w:rsid w:val="0F5F45FE"/>
    <w:rsid w:val="0F9A112B"/>
    <w:rsid w:val="0F9C3E26"/>
    <w:rsid w:val="0FD82769"/>
    <w:rsid w:val="10625288"/>
    <w:rsid w:val="106D2F64"/>
    <w:rsid w:val="10B63710"/>
    <w:rsid w:val="10BF2107"/>
    <w:rsid w:val="10E65103"/>
    <w:rsid w:val="10F10820"/>
    <w:rsid w:val="10FB7E70"/>
    <w:rsid w:val="111C2F7A"/>
    <w:rsid w:val="11665CA1"/>
    <w:rsid w:val="116E2B13"/>
    <w:rsid w:val="1178275A"/>
    <w:rsid w:val="11F97D93"/>
    <w:rsid w:val="12A83E03"/>
    <w:rsid w:val="12AA7B7B"/>
    <w:rsid w:val="12F72363"/>
    <w:rsid w:val="13951726"/>
    <w:rsid w:val="1407736F"/>
    <w:rsid w:val="14302F29"/>
    <w:rsid w:val="14396509"/>
    <w:rsid w:val="146F2E2A"/>
    <w:rsid w:val="14DD2C3C"/>
    <w:rsid w:val="15415E49"/>
    <w:rsid w:val="154F67B8"/>
    <w:rsid w:val="15C3670A"/>
    <w:rsid w:val="15DB0537"/>
    <w:rsid w:val="15DB73F5"/>
    <w:rsid w:val="16087E1D"/>
    <w:rsid w:val="1666140E"/>
    <w:rsid w:val="169F74A2"/>
    <w:rsid w:val="175A5936"/>
    <w:rsid w:val="17701D14"/>
    <w:rsid w:val="17735226"/>
    <w:rsid w:val="17E51656"/>
    <w:rsid w:val="181015B6"/>
    <w:rsid w:val="189F624C"/>
    <w:rsid w:val="18E2254E"/>
    <w:rsid w:val="18F97EFB"/>
    <w:rsid w:val="19C562A9"/>
    <w:rsid w:val="19D41982"/>
    <w:rsid w:val="1A1C66C0"/>
    <w:rsid w:val="1A42393B"/>
    <w:rsid w:val="1A4C424F"/>
    <w:rsid w:val="1A687E1C"/>
    <w:rsid w:val="1AAD45DE"/>
    <w:rsid w:val="1B046F80"/>
    <w:rsid w:val="1B3267B5"/>
    <w:rsid w:val="1B40161D"/>
    <w:rsid w:val="1B441859"/>
    <w:rsid w:val="1B6606B1"/>
    <w:rsid w:val="1B6F1D0F"/>
    <w:rsid w:val="1C517B84"/>
    <w:rsid w:val="1C5E7925"/>
    <w:rsid w:val="1C701B2E"/>
    <w:rsid w:val="1C991BDC"/>
    <w:rsid w:val="1CFD070F"/>
    <w:rsid w:val="1D157911"/>
    <w:rsid w:val="1D5149A6"/>
    <w:rsid w:val="1D5F6196"/>
    <w:rsid w:val="1D6132A5"/>
    <w:rsid w:val="1D73014E"/>
    <w:rsid w:val="1D8E56D5"/>
    <w:rsid w:val="1DA245E7"/>
    <w:rsid w:val="1DAC565F"/>
    <w:rsid w:val="1DF200AB"/>
    <w:rsid w:val="1E3614E8"/>
    <w:rsid w:val="1E7A43DA"/>
    <w:rsid w:val="1E97280D"/>
    <w:rsid w:val="1F29710C"/>
    <w:rsid w:val="1F4153C3"/>
    <w:rsid w:val="1FE7539E"/>
    <w:rsid w:val="201435A2"/>
    <w:rsid w:val="20595E08"/>
    <w:rsid w:val="20671BE0"/>
    <w:rsid w:val="20963CB8"/>
    <w:rsid w:val="20A420AE"/>
    <w:rsid w:val="20A81A1B"/>
    <w:rsid w:val="20B07FB6"/>
    <w:rsid w:val="20B646FB"/>
    <w:rsid w:val="2136082C"/>
    <w:rsid w:val="213B74B1"/>
    <w:rsid w:val="215A2310"/>
    <w:rsid w:val="21630962"/>
    <w:rsid w:val="21DE2321"/>
    <w:rsid w:val="21DE318A"/>
    <w:rsid w:val="21EF5B80"/>
    <w:rsid w:val="22576990"/>
    <w:rsid w:val="22654B24"/>
    <w:rsid w:val="226E6C73"/>
    <w:rsid w:val="22884127"/>
    <w:rsid w:val="22A425FA"/>
    <w:rsid w:val="22C205C9"/>
    <w:rsid w:val="22C74CD6"/>
    <w:rsid w:val="22F47480"/>
    <w:rsid w:val="230C70CE"/>
    <w:rsid w:val="230D5E10"/>
    <w:rsid w:val="23960A2F"/>
    <w:rsid w:val="239D4B92"/>
    <w:rsid w:val="23DE1C48"/>
    <w:rsid w:val="23E035B4"/>
    <w:rsid w:val="240210CD"/>
    <w:rsid w:val="242627C0"/>
    <w:rsid w:val="24A84695"/>
    <w:rsid w:val="24BF09F7"/>
    <w:rsid w:val="24D313DC"/>
    <w:rsid w:val="252D53FE"/>
    <w:rsid w:val="25745696"/>
    <w:rsid w:val="25A55C17"/>
    <w:rsid w:val="25C96973"/>
    <w:rsid w:val="25EC2D81"/>
    <w:rsid w:val="25FC6378"/>
    <w:rsid w:val="2661414A"/>
    <w:rsid w:val="277057A2"/>
    <w:rsid w:val="283C2BCC"/>
    <w:rsid w:val="28650375"/>
    <w:rsid w:val="28AF339E"/>
    <w:rsid w:val="29206EB8"/>
    <w:rsid w:val="294C5091"/>
    <w:rsid w:val="29595666"/>
    <w:rsid w:val="29705E0E"/>
    <w:rsid w:val="29852351"/>
    <w:rsid w:val="29874881"/>
    <w:rsid w:val="29E325E0"/>
    <w:rsid w:val="2A452503"/>
    <w:rsid w:val="2B1A1567"/>
    <w:rsid w:val="2B3D3A89"/>
    <w:rsid w:val="2B67116C"/>
    <w:rsid w:val="2BA936A8"/>
    <w:rsid w:val="2C315A5A"/>
    <w:rsid w:val="2C4B1C25"/>
    <w:rsid w:val="2C931228"/>
    <w:rsid w:val="2CC44A12"/>
    <w:rsid w:val="2CCF547C"/>
    <w:rsid w:val="2D9E56F5"/>
    <w:rsid w:val="2DCA0D67"/>
    <w:rsid w:val="2E667F96"/>
    <w:rsid w:val="2E7B1082"/>
    <w:rsid w:val="2E8226AB"/>
    <w:rsid w:val="2E8942A3"/>
    <w:rsid w:val="2EAC6508"/>
    <w:rsid w:val="2EC8340B"/>
    <w:rsid w:val="2EE95DBA"/>
    <w:rsid w:val="2F1C1A2C"/>
    <w:rsid w:val="2F5A07F0"/>
    <w:rsid w:val="2FAB6003"/>
    <w:rsid w:val="2FD065E6"/>
    <w:rsid w:val="2FD96870"/>
    <w:rsid w:val="300A04BC"/>
    <w:rsid w:val="30194B02"/>
    <w:rsid w:val="301A1983"/>
    <w:rsid w:val="30203625"/>
    <w:rsid w:val="302C79CA"/>
    <w:rsid w:val="30580BC9"/>
    <w:rsid w:val="30AB24D8"/>
    <w:rsid w:val="311E2ED7"/>
    <w:rsid w:val="315619EE"/>
    <w:rsid w:val="315C449C"/>
    <w:rsid w:val="317A36B7"/>
    <w:rsid w:val="31B82709"/>
    <w:rsid w:val="31D05482"/>
    <w:rsid w:val="31FE2B92"/>
    <w:rsid w:val="321A792F"/>
    <w:rsid w:val="32400B34"/>
    <w:rsid w:val="32577E08"/>
    <w:rsid w:val="329E6876"/>
    <w:rsid w:val="333015F2"/>
    <w:rsid w:val="334039A9"/>
    <w:rsid w:val="334B6320"/>
    <w:rsid w:val="33B674A0"/>
    <w:rsid w:val="33D934D4"/>
    <w:rsid w:val="33E12879"/>
    <w:rsid w:val="33FE2F6A"/>
    <w:rsid w:val="340E07E5"/>
    <w:rsid w:val="34235BF7"/>
    <w:rsid w:val="34384B8F"/>
    <w:rsid w:val="34D4418C"/>
    <w:rsid w:val="34DB19BE"/>
    <w:rsid w:val="35605657"/>
    <w:rsid w:val="358636D8"/>
    <w:rsid w:val="358C5FA8"/>
    <w:rsid w:val="35C15DF1"/>
    <w:rsid w:val="35C3424E"/>
    <w:rsid w:val="36074A7F"/>
    <w:rsid w:val="3614442B"/>
    <w:rsid w:val="363C023B"/>
    <w:rsid w:val="36686CB6"/>
    <w:rsid w:val="366C4FC4"/>
    <w:rsid w:val="36923549"/>
    <w:rsid w:val="36926756"/>
    <w:rsid w:val="369E4B69"/>
    <w:rsid w:val="36B75FBF"/>
    <w:rsid w:val="36BD0C45"/>
    <w:rsid w:val="36D7380E"/>
    <w:rsid w:val="37E00298"/>
    <w:rsid w:val="38034540"/>
    <w:rsid w:val="383438BF"/>
    <w:rsid w:val="38A84565"/>
    <w:rsid w:val="38AD5420"/>
    <w:rsid w:val="38B302F9"/>
    <w:rsid w:val="38CD25D6"/>
    <w:rsid w:val="38F12CD3"/>
    <w:rsid w:val="38F94775"/>
    <w:rsid w:val="392971ED"/>
    <w:rsid w:val="39325651"/>
    <w:rsid w:val="39D75DD0"/>
    <w:rsid w:val="39F01962"/>
    <w:rsid w:val="3A1B3003"/>
    <w:rsid w:val="3A315640"/>
    <w:rsid w:val="3A4A73CA"/>
    <w:rsid w:val="3A872856"/>
    <w:rsid w:val="3A992100"/>
    <w:rsid w:val="3A9F0B17"/>
    <w:rsid w:val="3B3763D1"/>
    <w:rsid w:val="3B5023D2"/>
    <w:rsid w:val="3B6F58D1"/>
    <w:rsid w:val="3C2F6E1E"/>
    <w:rsid w:val="3C4F64BA"/>
    <w:rsid w:val="3CD90C71"/>
    <w:rsid w:val="3CDA245A"/>
    <w:rsid w:val="3CE75037"/>
    <w:rsid w:val="3CFA520F"/>
    <w:rsid w:val="3D10436A"/>
    <w:rsid w:val="3D1E06B7"/>
    <w:rsid w:val="3D6A5877"/>
    <w:rsid w:val="3D9A67F0"/>
    <w:rsid w:val="3E0364AB"/>
    <w:rsid w:val="3E5E68DB"/>
    <w:rsid w:val="3EDA0523"/>
    <w:rsid w:val="3EE4626E"/>
    <w:rsid w:val="3F3A738A"/>
    <w:rsid w:val="3F79605C"/>
    <w:rsid w:val="3F9A46C3"/>
    <w:rsid w:val="3F9C7144"/>
    <w:rsid w:val="403E4454"/>
    <w:rsid w:val="40721C20"/>
    <w:rsid w:val="407A6407"/>
    <w:rsid w:val="40AA6F5B"/>
    <w:rsid w:val="41214BFD"/>
    <w:rsid w:val="412F6F14"/>
    <w:rsid w:val="41691042"/>
    <w:rsid w:val="41FB6F31"/>
    <w:rsid w:val="4200449D"/>
    <w:rsid w:val="423A3BCC"/>
    <w:rsid w:val="424E57D2"/>
    <w:rsid w:val="427922FE"/>
    <w:rsid w:val="4293584A"/>
    <w:rsid w:val="42B26C49"/>
    <w:rsid w:val="433A6FE6"/>
    <w:rsid w:val="43480868"/>
    <w:rsid w:val="4350713C"/>
    <w:rsid w:val="436653E0"/>
    <w:rsid w:val="43732192"/>
    <w:rsid w:val="43C4431A"/>
    <w:rsid w:val="43FD452D"/>
    <w:rsid w:val="440334CC"/>
    <w:rsid w:val="442E2373"/>
    <w:rsid w:val="443B0360"/>
    <w:rsid w:val="445D6BF4"/>
    <w:rsid w:val="44B951CC"/>
    <w:rsid w:val="44CD14E0"/>
    <w:rsid w:val="44EA27E4"/>
    <w:rsid w:val="44F20B0B"/>
    <w:rsid w:val="44F443AA"/>
    <w:rsid w:val="452E5F4C"/>
    <w:rsid w:val="45324658"/>
    <w:rsid w:val="45612018"/>
    <w:rsid w:val="456D0411"/>
    <w:rsid w:val="458946E9"/>
    <w:rsid w:val="45A47C0E"/>
    <w:rsid w:val="45AC3534"/>
    <w:rsid w:val="45F1351A"/>
    <w:rsid w:val="46084DD4"/>
    <w:rsid w:val="462F0492"/>
    <w:rsid w:val="464C63B2"/>
    <w:rsid w:val="46577FD6"/>
    <w:rsid w:val="46BF5A68"/>
    <w:rsid w:val="46D955A7"/>
    <w:rsid w:val="470162F4"/>
    <w:rsid w:val="47133957"/>
    <w:rsid w:val="476B56EF"/>
    <w:rsid w:val="47770BF2"/>
    <w:rsid w:val="47A07E0C"/>
    <w:rsid w:val="47BD17EC"/>
    <w:rsid w:val="47F24BFD"/>
    <w:rsid w:val="4870272E"/>
    <w:rsid w:val="48B74DF5"/>
    <w:rsid w:val="490162C2"/>
    <w:rsid w:val="49753D38"/>
    <w:rsid w:val="497F1FA4"/>
    <w:rsid w:val="49DC7715"/>
    <w:rsid w:val="4A023139"/>
    <w:rsid w:val="4A7B576F"/>
    <w:rsid w:val="4AEA6060"/>
    <w:rsid w:val="4AF561A9"/>
    <w:rsid w:val="4B2652EA"/>
    <w:rsid w:val="4B582E12"/>
    <w:rsid w:val="4BBB2E53"/>
    <w:rsid w:val="4BF75EA9"/>
    <w:rsid w:val="4C4A0649"/>
    <w:rsid w:val="4C4D48E0"/>
    <w:rsid w:val="4C6C6C38"/>
    <w:rsid w:val="4C7E5ECA"/>
    <w:rsid w:val="4C876AA5"/>
    <w:rsid w:val="4CAB49E1"/>
    <w:rsid w:val="4D0E00FB"/>
    <w:rsid w:val="4D176606"/>
    <w:rsid w:val="4D243AAB"/>
    <w:rsid w:val="4D6B6F91"/>
    <w:rsid w:val="4D93340F"/>
    <w:rsid w:val="4DEC4FB0"/>
    <w:rsid w:val="4E075D8A"/>
    <w:rsid w:val="4E625B5A"/>
    <w:rsid w:val="4E6917FA"/>
    <w:rsid w:val="4E9937BE"/>
    <w:rsid w:val="4EC00FAD"/>
    <w:rsid w:val="4F401D0C"/>
    <w:rsid w:val="4F7C48E0"/>
    <w:rsid w:val="4F9843DC"/>
    <w:rsid w:val="4FB51DFA"/>
    <w:rsid w:val="4FC62A8C"/>
    <w:rsid w:val="4FE20F0D"/>
    <w:rsid w:val="4FE51552"/>
    <w:rsid w:val="5035677F"/>
    <w:rsid w:val="504F164D"/>
    <w:rsid w:val="50504C4B"/>
    <w:rsid w:val="50635C1F"/>
    <w:rsid w:val="506833B0"/>
    <w:rsid w:val="50812D02"/>
    <w:rsid w:val="509C6E7C"/>
    <w:rsid w:val="510B2A7F"/>
    <w:rsid w:val="5162104E"/>
    <w:rsid w:val="522E708C"/>
    <w:rsid w:val="523E560F"/>
    <w:rsid w:val="52495D62"/>
    <w:rsid w:val="52E418E4"/>
    <w:rsid w:val="53056405"/>
    <w:rsid w:val="53586B0C"/>
    <w:rsid w:val="538B1131"/>
    <w:rsid w:val="53A01F2F"/>
    <w:rsid w:val="53A039CC"/>
    <w:rsid w:val="53A1505A"/>
    <w:rsid w:val="54063E08"/>
    <w:rsid w:val="54281085"/>
    <w:rsid w:val="543437E8"/>
    <w:rsid w:val="54E57FC4"/>
    <w:rsid w:val="54F73313"/>
    <w:rsid w:val="54F80955"/>
    <w:rsid w:val="555170A7"/>
    <w:rsid w:val="555A44E9"/>
    <w:rsid w:val="5587536D"/>
    <w:rsid w:val="558C0ED4"/>
    <w:rsid w:val="559B174B"/>
    <w:rsid w:val="55CE0CF4"/>
    <w:rsid w:val="55E52EA1"/>
    <w:rsid w:val="56327FB1"/>
    <w:rsid w:val="56914112"/>
    <w:rsid w:val="56B22A9C"/>
    <w:rsid w:val="56BC2FA6"/>
    <w:rsid w:val="5722271A"/>
    <w:rsid w:val="57A43E00"/>
    <w:rsid w:val="57B72A76"/>
    <w:rsid w:val="57C3426C"/>
    <w:rsid w:val="57CE1F93"/>
    <w:rsid w:val="580361F2"/>
    <w:rsid w:val="585D5EFF"/>
    <w:rsid w:val="588743D1"/>
    <w:rsid w:val="5887701A"/>
    <w:rsid w:val="58B7255A"/>
    <w:rsid w:val="596F6481"/>
    <w:rsid w:val="5971703E"/>
    <w:rsid w:val="597A4A53"/>
    <w:rsid w:val="59C0439F"/>
    <w:rsid w:val="5A7A5110"/>
    <w:rsid w:val="5A8B33BB"/>
    <w:rsid w:val="5ABE2233"/>
    <w:rsid w:val="5AEA6EE7"/>
    <w:rsid w:val="5B702342"/>
    <w:rsid w:val="5B742FB7"/>
    <w:rsid w:val="5BD9769A"/>
    <w:rsid w:val="5BDF5D95"/>
    <w:rsid w:val="5BFE7528"/>
    <w:rsid w:val="5C08138E"/>
    <w:rsid w:val="5C2025DD"/>
    <w:rsid w:val="5C471A56"/>
    <w:rsid w:val="5C853E3A"/>
    <w:rsid w:val="5CCF719B"/>
    <w:rsid w:val="5D3D3CAB"/>
    <w:rsid w:val="5D7F2D50"/>
    <w:rsid w:val="5DB16D82"/>
    <w:rsid w:val="5DED7EE9"/>
    <w:rsid w:val="5DFD019F"/>
    <w:rsid w:val="5E2467F1"/>
    <w:rsid w:val="5E43209B"/>
    <w:rsid w:val="5E944DA9"/>
    <w:rsid w:val="5F1A2B43"/>
    <w:rsid w:val="5F7A1C50"/>
    <w:rsid w:val="5FB213EA"/>
    <w:rsid w:val="5FB837BB"/>
    <w:rsid w:val="60014F00"/>
    <w:rsid w:val="60C413D5"/>
    <w:rsid w:val="60CC405A"/>
    <w:rsid w:val="615F43BA"/>
    <w:rsid w:val="61E215D8"/>
    <w:rsid w:val="61E6665C"/>
    <w:rsid w:val="621B3775"/>
    <w:rsid w:val="62364782"/>
    <w:rsid w:val="62987DFB"/>
    <w:rsid w:val="6394356A"/>
    <w:rsid w:val="63C61B2C"/>
    <w:rsid w:val="63D40BE9"/>
    <w:rsid w:val="63E53C38"/>
    <w:rsid w:val="64102431"/>
    <w:rsid w:val="64445734"/>
    <w:rsid w:val="648A56AD"/>
    <w:rsid w:val="64A5243A"/>
    <w:rsid w:val="64F531DE"/>
    <w:rsid w:val="64FD48CA"/>
    <w:rsid w:val="650D361C"/>
    <w:rsid w:val="65143B67"/>
    <w:rsid w:val="65373578"/>
    <w:rsid w:val="658E3D30"/>
    <w:rsid w:val="66240220"/>
    <w:rsid w:val="66812FCE"/>
    <w:rsid w:val="671F124A"/>
    <w:rsid w:val="67280488"/>
    <w:rsid w:val="677A33C6"/>
    <w:rsid w:val="67815F57"/>
    <w:rsid w:val="678B6D32"/>
    <w:rsid w:val="67A847E1"/>
    <w:rsid w:val="67EB3272"/>
    <w:rsid w:val="681F6961"/>
    <w:rsid w:val="68610A2F"/>
    <w:rsid w:val="6873723D"/>
    <w:rsid w:val="68805514"/>
    <w:rsid w:val="68CF126B"/>
    <w:rsid w:val="6905258B"/>
    <w:rsid w:val="69316E2F"/>
    <w:rsid w:val="694E2071"/>
    <w:rsid w:val="69766163"/>
    <w:rsid w:val="69790883"/>
    <w:rsid w:val="697A3B33"/>
    <w:rsid w:val="698E1FE0"/>
    <w:rsid w:val="699D6504"/>
    <w:rsid w:val="69C714A6"/>
    <w:rsid w:val="69D44760"/>
    <w:rsid w:val="6A520EC7"/>
    <w:rsid w:val="6A7F011B"/>
    <w:rsid w:val="6AF87E20"/>
    <w:rsid w:val="6B322639"/>
    <w:rsid w:val="6BB512DA"/>
    <w:rsid w:val="6BE02E3B"/>
    <w:rsid w:val="6C014F53"/>
    <w:rsid w:val="6C2707E0"/>
    <w:rsid w:val="6C4C4FC6"/>
    <w:rsid w:val="6C636C38"/>
    <w:rsid w:val="6C886D6E"/>
    <w:rsid w:val="6CD72222"/>
    <w:rsid w:val="6CE30E35"/>
    <w:rsid w:val="6DB34098"/>
    <w:rsid w:val="6DB545B6"/>
    <w:rsid w:val="6DB92C8F"/>
    <w:rsid w:val="6DE02FB4"/>
    <w:rsid w:val="6E0D15DD"/>
    <w:rsid w:val="6E514CED"/>
    <w:rsid w:val="6E645FA5"/>
    <w:rsid w:val="6EB563D5"/>
    <w:rsid w:val="6ED92677"/>
    <w:rsid w:val="6EF03395"/>
    <w:rsid w:val="6F225983"/>
    <w:rsid w:val="6F987BB7"/>
    <w:rsid w:val="6FE2142B"/>
    <w:rsid w:val="6FE23FEA"/>
    <w:rsid w:val="6FED5043"/>
    <w:rsid w:val="6FFC5590"/>
    <w:rsid w:val="706D1DD0"/>
    <w:rsid w:val="70856B87"/>
    <w:rsid w:val="70B362D3"/>
    <w:rsid w:val="70C91977"/>
    <w:rsid w:val="70D527EE"/>
    <w:rsid w:val="70E72E0A"/>
    <w:rsid w:val="715B5300"/>
    <w:rsid w:val="718764F1"/>
    <w:rsid w:val="71AA1F21"/>
    <w:rsid w:val="71CE6936"/>
    <w:rsid w:val="71D27F8A"/>
    <w:rsid w:val="71E673EC"/>
    <w:rsid w:val="72553024"/>
    <w:rsid w:val="73122968"/>
    <w:rsid w:val="731F5D5E"/>
    <w:rsid w:val="734A6C75"/>
    <w:rsid w:val="73941736"/>
    <w:rsid w:val="73C51AD5"/>
    <w:rsid w:val="73C843E0"/>
    <w:rsid w:val="741E793C"/>
    <w:rsid w:val="745E3944"/>
    <w:rsid w:val="748A428C"/>
    <w:rsid w:val="74B77F9A"/>
    <w:rsid w:val="74DF6C09"/>
    <w:rsid w:val="75287D22"/>
    <w:rsid w:val="75792336"/>
    <w:rsid w:val="75B37761"/>
    <w:rsid w:val="7635099D"/>
    <w:rsid w:val="76692551"/>
    <w:rsid w:val="76746D49"/>
    <w:rsid w:val="770B16B4"/>
    <w:rsid w:val="770E2F52"/>
    <w:rsid w:val="77572004"/>
    <w:rsid w:val="77762421"/>
    <w:rsid w:val="77B56B1F"/>
    <w:rsid w:val="780F09F4"/>
    <w:rsid w:val="789E321B"/>
    <w:rsid w:val="78A90480"/>
    <w:rsid w:val="794078D5"/>
    <w:rsid w:val="795D59E2"/>
    <w:rsid w:val="799D398C"/>
    <w:rsid w:val="79DA6FF7"/>
    <w:rsid w:val="79F35ADA"/>
    <w:rsid w:val="7A0B306D"/>
    <w:rsid w:val="7A364017"/>
    <w:rsid w:val="7A39656D"/>
    <w:rsid w:val="7A456C8B"/>
    <w:rsid w:val="7A8265E1"/>
    <w:rsid w:val="7A884734"/>
    <w:rsid w:val="7ADC47BA"/>
    <w:rsid w:val="7B5865A7"/>
    <w:rsid w:val="7B686D42"/>
    <w:rsid w:val="7B720293"/>
    <w:rsid w:val="7B841746"/>
    <w:rsid w:val="7B98775D"/>
    <w:rsid w:val="7C340692"/>
    <w:rsid w:val="7C543A48"/>
    <w:rsid w:val="7C6C5AC7"/>
    <w:rsid w:val="7C803566"/>
    <w:rsid w:val="7CA659DB"/>
    <w:rsid w:val="7CC6544B"/>
    <w:rsid w:val="7CF742D5"/>
    <w:rsid w:val="7D0239FF"/>
    <w:rsid w:val="7D5E40CD"/>
    <w:rsid w:val="7D6A32F1"/>
    <w:rsid w:val="7DB03A8B"/>
    <w:rsid w:val="7DCD56F2"/>
    <w:rsid w:val="7E5754B0"/>
    <w:rsid w:val="7E8D6E52"/>
    <w:rsid w:val="7E926340"/>
    <w:rsid w:val="7E9B42F4"/>
    <w:rsid w:val="7EA822E9"/>
    <w:rsid w:val="7EBA6AF1"/>
    <w:rsid w:val="7ED52C41"/>
    <w:rsid w:val="7F001CE7"/>
    <w:rsid w:val="7F183EFE"/>
    <w:rsid w:val="7FC00ADC"/>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ocked="1"/>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unhideWhenUsed="0" w:uiPriority="0" w:semiHidden="0" w:name="annotation reference"/>
    <w:lsdException w:unhideWhenUsed="0" w:uiPriority="0" w:semiHidden="0" w:name="line number" w:locked="1"/>
    <w:lsdException w:unhideWhenUsed="0" w:uiPriority="0" w:semiHidden="0" w:name="page number"/>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sdException w:unhideWhenUsed="0" w:uiPriority="0" w:semiHidden="0" w:name="List Number 2" w:locked="1"/>
    <w:lsdException w:unhideWhenUsed="0" w:uiPriority="0" w:semiHidden="0" w:name="List Number 3"/>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ocked="1"/>
    <w:lsdException w:unhideWhenUsed="0" w:uiPriority="0" w:semiHidden="0" w:name="Body Text Indent 2"/>
    <w:lsdException w:unhideWhenUsed="0" w:uiPriority="0" w:semiHidden="0" w:name="Body Text Indent 3"/>
    <w:lsdException w:qFormat="1" w:unhideWhenUsed="0" w:uiPriority="0" w:semiHidden="0" w:name="Block Text" w:locked="1"/>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ocked="1"/>
    <w:lsdException w:unhideWhenUsed="0" w:uiPriority="0" w:semiHidden="0" w:name="Normal (Web)"/>
    <w:lsdException w:unhideWhenUsed="0" w:uiPriority="0" w:semiHidden="0" w:name="HTML Acronym"/>
    <w:lsdException w:unhideWhenUsed="0" w:uiPriority="0" w:semiHidden="0" w:name="HTML Address" w:locked="1"/>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ocked="1"/>
    <w:lsdException w:unhideWhenUsed="0" w:uiPriority="0" w:semiHidden="0" w:name="HTML Sample"/>
    <w:lsdException w:unhideWhenUsed="0" w:uiPriority="0" w:semiHidden="0" w:name="HTML Typewriter" w:locked="1"/>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nhideWhenUsed="0" w:uiPriority="0" w:semiHidden="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420" w:firstLineChars="200"/>
      <w:jc w:val="both"/>
    </w:pPr>
    <w:rPr>
      <w:rFonts w:ascii="Times New Roman" w:hAnsi="Times New Roman" w:eastAsia="宋体" w:cs="Times New Roman"/>
      <w:kern w:val="2"/>
      <w:sz w:val="24"/>
      <w:szCs w:val="24"/>
      <w:lang w:val="en-US" w:eastAsia="zh-CN" w:bidi="ar-SA"/>
    </w:rPr>
  </w:style>
  <w:style w:type="paragraph" w:styleId="3">
    <w:name w:val="heading 1"/>
    <w:basedOn w:val="1"/>
    <w:next w:val="1"/>
    <w:link w:val="16"/>
    <w:qFormat/>
    <w:locked/>
    <w:uiPriority w:val="99"/>
    <w:pPr>
      <w:keepNext/>
      <w:overflowPunct w:val="0"/>
      <w:snapToGrid w:val="0"/>
      <w:spacing w:line="360" w:lineRule="auto"/>
      <w:ind w:left="0" w:firstLine="0" w:firstLineChars="0"/>
      <w:jc w:val="center"/>
      <w:outlineLvl w:val="0"/>
    </w:pPr>
    <w:rPr>
      <w:rFonts w:ascii="Times New Roman" w:hAnsi="Times New Roman" w:eastAsia="黑体"/>
      <w:b/>
      <w:bCs/>
      <w:color w:val="000000"/>
      <w:kern w:val="44"/>
      <w:sz w:val="30"/>
      <w:szCs w:val="30"/>
    </w:rPr>
  </w:style>
  <w:style w:type="paragraph" w:styleId="4">
    <w:name w:val="heading 2"/>
    <w:basedOn w:val="1"/>
    <w:next w:val="1"/>
    <w:link w:val="17"/>
    <w:qFormat/>
    <w:locked/>
    <w:uiPriority w:val="0"/>
    <w:pPr>
      <w:keepNext/>
      <w:keepLines/>
      <w:outlineLvl w:val="1"/>
    </w:pPr>
    <w:rPr>
      <w:rFonts w:ascii="Arial" w:hAnsi="Arial" w:eastAsia="黑体"/>
      <w:b/>
      <w:bCs/>
      <w:sz w:val="28"/>
      <w:szCs w:val="32"/>
    </w:rPr>
  </w:style>
  <w:style w:type="paragraph" w:styleId="5">
    <w:name w:val="heading 3"/>
    <w:basedOn w:val="1"/>
    <w:next w:val="1"/>
    <w:link w:val="15"/>
    <w:unhideWhenUsed/>
    <w:qFormat/>
    <w:locked/>
    <w:uiPriority w:val="0"/>
    <w:pPr>
      <w:keepNext/>
      <w:keepLines/>
      <w:spacing w:before="260" w:after="260" w:line="416" w:lineRule="auto"/>
      <w:outlineLvl w:val="2"/>
    </w:pPr>
    <w:rPr>
      <w:b/>
      <w:bCs/>
      <w:sz w:val="32"/>
      <w:szCs w:val="32"/>
    </w:rPr>
  </w:style>
  <w:style w:type="paragraph" w:styleId="6">
    <w:name w:val="heading 4"/>
    <w:basedOn w:val="1"/>
    <w:next w:val="1"/>
    <w:link w:val="18"/>
    <w:qFormat/>
    <w:locked/>
    <w:uiPriority w:val="0"/>
    <w:pPr>
      <w:keepNext/>
      <w:keepLines/>
      <w:spacing w:before="280" w:after="290" w:line="372" w:lineRule="auto"/>
      <w:outlineLvl w:val="3"/>
    </w:pPr>
    <w:rPr>
      <w:rFonts w:ascii="Arial" w:hAnsi="Arial" w:eastAsia="黑体"/>
      <w:b/>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lock Text"/>
    <w:basedOn w:val="1"/>
    <w:qFormat/>
    <w:locked/>
    <w:uiPriority w:val="0"/>
    <w:pPr>
      <w:spacing w:after="120" w:line="500" w:lineRule="exact"/>
      <w:ind w:left="1440" w:leftChars="700" w:right="1440" w:rightChars="700"/>
    </w:pPr>
    <w:rPr>
      <w:rFonts w:hint="eastAsia" w:ascii="仿宋" w:eastAsia="仿宋"/>
      <w:sz w:val="28"/>
    </w:rPr>
  </w:style>
  <w:style w:type="paragraph" w:styleId="7">
    <w:name w:val="caption"/>
    <w:basedOn w:val="1"/>
    <w:next w:val="1"/>
    <w:qFormat/>
    <w:uiPriority w:val="35"/>
    <w:pPr>
      <w:spacing w:line="240" w:lineRule="auto"/>
      <w:ind w:firstLine="0" w:firstLineChars="0"/>
      <w:jc w:val="center"/>
    </w:pPr>
    <w:rPr>
      <w:rFonts w:cs="等线"/>
      <w:b/>
      <w:sz w:val="21"/>
      <w:szCs w:val="20"/>
    </w:rPr>
  </w:style>
  <w:style w:type="paragraph" w:styleId="8">
    <w:name w:val="annotation text"/>
    <w:basedOn w:val="1"/>
    <w:qFormat/>
    <w:uiPriority w:val="0"/>
    <w:pPr>
      <w:jc w:val="left"/>
    </w:pPr>
  </w:style>
  <w:style w:type="paragraph" w:styleId="9">
    <w:name w:val="footer"/>
    <w:basedOn w:val="1"/>
    <w:next w:val="1"/>
    <w:qFormat/>
    <w:uiPriority w:val="99"/>
    <w:pPr>
      <w:tabs>
        <w:tab w:val="center" w:pos="4153"/>
        <w:tab w:val="right" w:pos="8306"/>
      </w:tabs>
      <w:snapToGrid w:val="0"/>
      <w:jc w:val="left"/>
    </w:pPr>
    <w:rPr>
      <w:kern w:val="0"/>
      <w:sz w:val="18"/>
      <w:szCs w:val="20"/>
    </w:rPr>
  </w:style>
  <w:style w:type="paragraph" w:styleId="10">
    <w:name w:val="Subtitle"/>
    <w:basedOn w:val="1"/>
    <w:link w:val="19"/>
    <w:qFormat/>
    <w:locked/>
    <w:uiPriority w:val="0"/>
    <w:pPr>
      <w:widowControl/>
      <w:ind w:left="1080" w:hanging="1080"/>
    </w:pPr>
    <w:rPr>
      <w:rFonts w:ascii="宋体" w:hAnsi="Courier New" w:eastAsia="宋体" w:cs="Times New Roman"/>
      <w:kern w:val="2"/>
      <w:sz w:val="21"/>
      <w:szCs w:val="21"/>
    </w:rPr>
  </w:style>
  <w:style w:type="paragraph" w:styleId="11">
    <w:name w:val="Title"/>
    <w:basedOn w:val="1"/>
    <w:next w:val="1"/>
    <w:link w:val="20"/>
    <w:qFormat/>
    <w:locked/>
    <w:uiPriority w:val="0"/>
    <w:pPr>
      <w:numPr>
        <w:ilvl w:val="4"/>
        <w:numId w:val="1"/>
      </w:numPr>
      <w:jc w:val="center"/>
      <w:outlineLvl w:val="4"/>
    </w:pPr>
    <w:rPr>
      <w:rFonts w:ascii="Cambria" w:hAnsi="Cambria" w:eastAsia="Times New Roman" w:cs="Times New Roman"/>
      <w:b/>
      <w:bCs/>
      <w:snapToGrid w:val="0"/>
      <w:sz w:val="24"/>
      <w:szCs w:val="32"/>
    </w:rPr>
  </w:style>
  <w:style w:type="table" w:styleId="13">
    <w:name w:val="Table Grid"/>
    <w:basedOn w:val="12"/>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标题 3 Char"/>
    <w:basedOn w:val="14"/>
    <w:link w:val="5"/>
    <w:qFormat/>
    <w:uiPriority w:val="0"/>
    <w:rPr>
      <w:b/>
      <w:bCs/>
      <w:kern w:val="2"/>
      <w:sz w:val="32"/>
      <w:szCs w:val="32"/>
    </w:rPr>
  </w:style>
  <w:style w:type="character" w:customStyle="1" w:styleId="16">
    <w:name w:val="标题 1 Char"/>
    <w:link w:val="3"/>
    <w:qFormat/>
    <w:uiPriority w:val="99"/>
    <w:rPr>
      <w:rFonts w:ascii="Times New Roman" w:hAnsi="Times New Roman" w:eastAsia="黑体"/>
      <w:b/>
      <w:bCs/>
      <w:color w:val="000000"/>
      <w:kern w:val="44"/>
      <w:sz w:val="30"/>
      <w:szCs w:val="30"/>
    </w:rPr>
  </w:style>
  <w:style w:type="character" w:customStyle="1" w:styleId="17">
    <w:name w:val="标题 2 Char"/>
    <w:basedOn w:val="14"/>
    <w:link w:val="4"/>
    <w:qFormat/>
    <w:uiPriority w:val="0"/>
    <w:rPr>
      <w:rFonts w:ascii="Arial" w:hAnsi="Arial" w:eastAsia="黑体"/>
      <w:b/>
      <w:bCs/>
      <w:kern w:val="2"/>
      <w:sz w:val="28"/>
      <w:szCs w:val="32"/>
    </w:rPr>
  </w:style>
  <w:style w:type="character" w:customStyle="1" w:styleId="18">
    <w:name w:val="标题 4 Char"/>
    <w:link w:val="6"/>
    <w:qFormat/>
    <w:uiPriority w:val="0"/>
    <w:rPr>
      <w:rFonts w:ascii="Arial" w:hAnsi="Arial" w:eastAsia="黑体"/>
      <w:b/>
      <w:bCs/>
      <w:kern w:val="2"/>
      <w:sz w:val="28"/>
      <w:szCs w:val="28"/>
    </w:rPr>
  </w:style>
  <w:style w:type="character" w:customStyle="1" w:styleId="19">
    <w:name w:val="副标题 Char"/>
    <w:basedOn w:val="14"/>
    <w:link w:val="10"/>
    <w:qFormat/>
    <w:uiPriority w:val="0"/>
    <w:rPr>
      <w:rFonts w:ascii="宋体" w:hAnsi="Courier New"/>
      <w:kern w:val="2"/>
      <w:sz w:val="21"/>
      <w:szCs w:val="21"/>
    </w:rPr>
  </w:style>
  <w:style w:type="character" w:customStyle="1" w:styleId="20">
    <w:name w:val="标题 Char"/>
    <w:basedOn w:val="14"/>
    <w:link w:val="11"/>
    <w:qFormat/>
    <w:uiPriority w:val="0"/>
    <w:rPr>
      <w:rFonts w:ascii="Cambria" w:hAnsi="Cambria" w:eastAsia="Times New Roman"/>
      <w:b/>
      <w:bCs/>
      <w:snapToGrid w:val="0"/>
      <w:kern w:val="2"/>
      <w:sz w:val="24"/>
      <w:szCs w:val="32"/>
    </w:rPr>
  </w:style>
  <w:style w:type="paragraph" w:customStyle="1" w:styleId="21">
    <w:name w:val="表格标题"/>
    <w:link w:val="23"/>
    <w:qFormat/>
    <w:uiPriority w:val="0"/>
    <w:pPr>
      <w:spacing w:before="50" w:beforeLines="50"/>
      <w:ind w:firstLine="0" w:firstLineChars="0"/>
      <w:jc w:val="center"/>
    </w:pPr>
    <w:rPr>
      <w:rFonts w:ascii="Times New Roman" w:hAnsi="Times New Roman" w:eastAsia="宋体" w:cs="Times New Roman"/>
      <w:b/>
      <w:sz w:val="21"/>
    </w:rPr>
  </w:style>
  <w:style w:type="paragraph" w:customStyle="1" w:styleId="22">
    <w:name w:val="表格内文字"/>
    <w:basedOn w:val="1"/>
    <w:link w:val="25"/>
    <w:qFormat/>
    <w:uiPriority w:val="0"/>
    <w:pPr>
      <w:adjustRightInd w:val="0"/>
      <w:snapToGrid w:val="0"/>
      <w:spacing w:line="240" w:lineRule="auto"/>
      <w:ind w:firstLine="0" w:firstLineChars="0"/>
      <w:jc w:val="center"/>
    </w:pPr>
    <w:rPr>
      <w:color w:val="000000"/>
      <w:sz w:val="21"/>
    </w:rPr>
  </w:style>
  <w:style w:type="character" w:customStyle="1" w:styleId="23">
    <w:name w:val="表格标题 Char"/>
    <w:link w:val="21"/>
    <w:qFormat/>
    <w:uiPriority w:val="0"/>
    <w:rPr>
      <w:rFonts w:ascii="Times New Roman" w:hAnsi="Times New Roman" w:eastAsia="宋体"/>
      <w:b/>
      <w:sz w:val="21"/>
    </w:rPr>
  </w:style>
  <w:style w:type="table" w:customStyle="1" w:styleId="24">
    <w:name w:val="Table Normal"/>
    <w:basedOn w:val="12"/>
    <w:semiHidden/>
    <w:unhideWhenUsed/>
    <w:qFormat/>
    <w:uiPriority w:val="0"/>
    <w:tblPr>
      <w:tblCellMar>
        <w:top w:w="0" w:type="dxa"/>
        <w:left w:w="0" w:type="dxa"/>
        <w:bottom w:w="0" w:type="dxa"/>
        <w:right w:w="0" w:type="dxa"/>
      </w:tblCellMar>
    </w:tblPr>
  </w:style>
  <w:style w:type="character" w:customStyle="1" w:styleId="25">
    <w:name w:val="表格内文字 Char"/>
    <w:link w:val="22"/>
    <w:qFormat/>
    <w:uiPriority w:val="0"/>
    <w:rPr>
      <w:color w:val="000000"/>
      <w:sz w:val="21"/>
    </w:rPr>
  </w:style>
  <w:style w:type="paragraph" w:customStyle="1" w:styleId="26">
    <w:name w:val="注"/>
    <w:qFormat/>
    <w:uiPriority w:val="0"/>
    <w:pPr>
      <w:tabs>
        <w:tab w:val="left" w:pos="4345"/>
        <w:tab w:val="center" w:pos="6679"/>
      </w:tabs>
      <w:spacing w:line="240" w:lineRule="auto"/>
      <w:jc w:val="left"/>
    </w:pPr>
    <w:rPr>
      <w:rFonts w:hint="eastAsia" w:ascii="Times New Roman" w:hAnsi="Times New Roman" w:eastAsia="宋体" w:cs="Times New Roman"/>
      <w:b/>
      <w:color w:val="auto"/>
      <w:sz w:val="18"/>
      <w:szCs w:val="18"/>
    </w:rPr>
  </w:style>
  <w:style w:type="character" w:customStyle="1" w:styleId="27">
    <w:name w:val="正文文字缩进 Char Char"/>
    <w:qFormat/>
    <w:uiPriority w:val="0"/>
    <w:rPr>
      <w:rFonts w:eastAsia="宋体"/>
      <w:kern w:val="2"/>
      <w:sz w:val="24"/>
      <w:lang w:val="en-US" w:eastAsia="zh-CN" w:bidi="ar-SA"/>
    </w:rPr>
  </w:style>
  <w:style w:type="paragraph" w:customStyle="1" w:styleId="28">
    <w:name w:val="报告正文"/>
    <w:qFormat/>
    <w:uiPriority w:val="0"/>
    <w:pPr>
      <w:spacing w:line="360" w:lineRule="auto"/>
      <w:ind w:firstLine="723" w:firstLineChars="200"/>
    </w:pPr>
    <w:rPr>
      <w:rFonts w:ascii="Times New Roman" w:hAnsi="Times New Roman" w:eastAsia="宋体" w:cs="宋体"/>
      <w:sz w:val="24"/>
      <w:szCs w:val="24"/>
      <w:lang w:val="en-US" w:eastAsia="zh-CN" w:bidi="ar-SA"/>
    </w:rPr>
  </w:style>
  <w:style w:type="paragraph" w:customStyle="1" w:styleId="29">
    <w:name w:val="文本"/>
    <w:basedOn w:val="1"/>
    <w:qFormat/>
    <w:uiPriority w:val="0"/>
    <w:pPr>
      <w:autoSpaceDE w:val="0"/>
      <w:autoSpaceDN w:val="0"/>
      <w:adjustRightInd w:val="0"/>
      <w:snapToGrid w:val="0"/>
      <w:spacing w:line="360" w:lineRule="auto"/>
      <w:ind w:firstLine="720" w:firstLineChars="200"/>
      <w:jc w:val="both"/>
    </w:pPr>
    <w:rPr>
      <w:rFonts w:ascii="Times New Roman" w:hAnsi="Times New Roman" w:eastAsia="宋体" w:cs="Times New Roman"/>
      <w:kern w:val="0"/>
      <w:sz w:val="24"/>
      <w:szCs w:val="21"/>
    </w:rPr>
  </w:style>
  <w:style w:type="paragraph" w:customStyle="1" w:styleId="30">
    <w:name w:val="4表格内正文"/>
    <w:basedOn w:val="31"/>
    <w:qFormat/>
    <w:uiPriority w:val="0"/>
    <w:pPr>
      <w:spacing w:line="240" w:lineRule="auto"/>
      <w:ind w:firstLine="0" w:firstLineChars="0"/>
      <w:jc w:val="center"/>
    </w:pPr>
    <w:rPr>
      <w:sz w:val="21"/>
    </w:rPr>
  </w:style>
  <w:style w:type="paragraph" w:customStyle="1" w:styleId="31">
    <w:name w:val="4正文格式"/>
    <w:basedOn w:val="1"/>
    <w:qFormat/>
    <w:uiPriority w:val="0"/>
    <w:pPr>
      <w:spacing w:line="360" w:lineRule="auto"/>
      <w:ind w:firstLine="200" w:firstLineChars="200"/>
      <w:jc w:val="left"/>
    </w:pPr>
  </w:style>
  <w:style w:type="paragraph" w:customStyle="1" w:styleId="32">
    <w:name w:val="Default"/>
    <w:basedOn w:val="33"/>
    <w:next w:val="34"/>
    <w:qFormat/>
    <w:uiPriority w:val="0"/>
    <w:pPr>
      <w:autoSpaceDE w:val="0"/>
      <w:autoSpaceDN w:val="0"/>
      <w:adjustRightInd w:val="0"/>
    </w:pPr>
    <w:rPr>
      <w:rFonts w:ascii="宋体" w:hAnsi="Times New Roman" w:eastAsia="宋体" w:cs="宋体"/>
      <w:color w:val="000000"/>
      <w:sz w:val="24"/>
      <w:szCs w:val="24"/>
      <w:lang w:val="en-US" w:eastAsia="zh-CN" w:bidi="ar-SA"/>
    </w:rPr>
  </w:style>
  <w:style w:type="paragraph" w:customStyle="1" w:styleId="33">
    <w:name w:val="标题2"/>
    <w:basedOn w:val="4"/>
    <w:qFormat/>
    <w:uiPriority w:val="0"/>
    <w:pPr>
      <w:numPr>
        <w:ilvl w:val="1"/>
        <w:numId w:val="2"/>
      </w:numPr>
      <w:spacing w:before="0" w:after="0" w:line="440" w:lineRule="exact"/>
    </w:pPr>
    <w:rPr>
      <w:kern w:val="0"/>
      <w:sz w:val="28"/>
    </w:rPr>
  </w:style>
  <w:style w:type="paragraph" w:customStyle="1" w:styleId="34">
    <w:name w:val="样式35"/>
    <w:basedOn w:val="1"/>
    <w:qFormat/>
    <w:uiPriority w:val="0"/>
    <w:pPr>
      <w:adjustRightInd w:val="0"/>
      <w:spacing w:line="312" w:lineRule="auto"/>
      <w:ind w:firstLine="567"/>
    </w:pPr>
    <w:rPr>
      <w:rFonts w:ascii="宋体"/>
      <w:kern w:val="0"/>
      <w:sz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2.png"/><Relationship Id="rId24" Type="http://schemas.openxmlformats.org/officeDocument/2006/relationships/image" Target="media/image11.wmf"/><Relationship Id="rId23" Type="http://schemas.openxmlformats.org/officeDocument/2006/relationships/oleObject" Target="embeddings/oleObject5.bin"/><Relationship Id="rId22" Type="http://schemas.openxmlformats.org/officeDocument/2006/relationships/image" Target="media/image10.wmf"/><Relationship Id="rId21" Type="http://schemas.openxmlformats.org/officeDocument/2006/relationships/oleObject" Target="embeddings/oleObject4.bin"/><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8.wmf"/><Relationship Id="rId17" Type="http://schemas.openxmlformats.org/officeDocument/2006/relationships/oleObject" Target="embeddings/oleObject2.bin"/><Relationship Id="rId16" Type="http://schemas.openxmlformats.org/officeDocument/2006/relationships/image" Target="media/image7.png"/><Relationship Id="rId15" Type="http://schemas.openxmlformats.org/officeDocument/2006/relationships/image" Target="media/image6.wmf"/><Relationship Id="rId14" Type="http://schemas.openxmlformats.org/officeDocument/2006/relationships/oleObject" Target="embeddings/oleObject1.bin"/><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cap="flat" cmpd="sng">
          <a:solidFill>
            <a:srgbClr val="000000"/>
          </a:solidFill>
          <a:prstDash val="solid"/>
          <a:miter/>
          <a:headEnd type="none" w="med" len="med"/>
          <a:tailEnd type="none" w="med" len="med"/>
        </a:ln>
      </a:spPr>
      <a:bodyPr wrap="square" upright="1"/>
      <a:lst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15e3f47f-d33e-42b6-9450-515b9673a8f0</errorID>
      <errorWord>-</errorWord>
      <group>L1_Format</group>
      <groupName>格式问题</groupName>
      <ability>L2_HalfPunc</ability>
      <abilityName>全半角检查</abilityName>
      <candidateList>
        <item>－</item>
      </candidateList>
      <explain>文本全半角错误。</explain>
      <paraID>  D54C1E</paraID>
      <start>3</start>
      <end>4</end>
      <status>ignored</status>
      <modifiedWord/>
      <trackRevisions>false</trackRevisions>
    </reviewItem>
    <reviewItem>
      <errorID>2ce5b75c-4d84-4efe-9829-5c64c1814d6e</errorID>
      <errorWord>-</errorWord>
      <group>L1_Format</group>
      <groupName>格式问题</groupName>
      <ability>L2_HalfPunc</ability>
      <abilityName>全半角检查</abilityName>
      <candidateList>
        <item>－</item>
      </candidateList>
      <explain>文本全半角错误。</explain>
      <paraID>  D54C1E</paraID>
      <start>20</start>
      <end>21</end>
      <status>ignored</status>
      <modifiedWord/>
      <trackRevisions>false</trackRevisions>
    </reviewItem>
    <reviewItem>
      <errorID>f5366e7e-b8c1-43fb-957c-c36ccc089f2c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A71B794</paraID>
      <start>46</start>
      <end>47</end>
      <status>ignored</status>
      <modifiedWord/>
      <trackRevisions>false</trackRevisions>
    </reviewItem>
    <reviewItem>
      <errorID>f4edeb02-9bc8-40d3-9cbb-352c8aaa89cb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67E3776C</paraID>
      <start>51</start>
      <end>52</end>
      <status>ignored</status>
      <modifiedWord/>
      <trackRevisions>false</trackRevisions>
    </reviewItem>
    <reviewItem>
      <errorID>f5a89319-74c3-48e0-8eb1-befbfed5096d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2E0AD894</paraID>
      <start>0</start>
      <end>2</end>
      <status>ignored</status>
      <modifiedWord/>
      <trackRevisions>false</trackRevisions>
    </reviewItem>
    <reviewItem>
      <errorID>403c053d-03bb-4d09-a0a6-4ab85cccab66</errorID>
      <errorWord>完善现代产业体系</errorWord>
      <group>L1_Political</group>
      <groupName>政治性问题</groupName>
      <ability>L2_Keyword</ability>
      <abilityName>固定表述</abilityName>
      <candidateList>
        <item>完善现代化产业体系</item>
      </candidateList>
      <explain>词汇“完善现代化产业体系”在特定场景下为固定表述形式，请确认此处的“完善现代产业体系”是否存在不当。</explain>
      <paraID>7441DF3E</paraID>
      <start>127</start>
      <end>135</end>
      <status>ignored</status>
      <modifiedWord/>
      <trackRevisions>false</trackRevisions>
    </reviewItem>
    <reviewItem>
      <errorID>934ad0fa-3238-4847-b662-073485f0c7b7</errorID>
      <errorWord>十三五规划</errorWord>
      <group>L1_Political</group>
      <groupName>政治性问题</groupName>
      <ability>L2_Keyword</ability>
      <abilityName>固定表述</abilityName>
      <candidateList>
        <item>“十三五”规划</item>
      </candidateList>
      <explain>注意检查当前固定表述标点是否使用规范。</explain>
      <paraID>7441DF3E</paraID>
      <start>304</start>
      <end>309</end>
      <status>ignored</status>
      <modifiedWord/>
      <trackRevisions>false</trackRevisions>
    </reviewItem>
    <reviewItem>
      <errorID>db27fdbd-8206-44f6-8cd4-51a8624f81d1</errorID>
      <errorWord>十三五期间</errorWord>
      <group>L1_Political</group>
      <groupName>政治性问题</groupName>
      <ability>L2_Keyword</ability>
      <abilityName>固定表述</abilityName>
      <candidateList>
        <item>“十三五”期间</item>
      </candidateList>
      <explain>注意检查当前固定表述标点是否使用规范。</explain>
      <paraID>7441DF3E</paraID>
      <start>310</start>
      <end>315</end>
      <status>ignored</status>
      <modifiedWord/>
      <trackRevisions>false</trackRevisions>
    </reviewItem>
    <reviewItem>
      <errorID>e57dd77f-c879-4eb5-a351-e540750d9005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599902F7</paraID>
      <start>0</start>
      <end>2</end>
      <status>ignored</status>
      <modifiedWord/>
      <trackRevisions>false</trackRevisions>
    </reviewItem>
    <reviewItem>
      <errorID>0c5e7529-6bb1-4da2-92fb-a9d4c4872c5b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599902F7</paraID>
      <start>40</start>
      <end>41</end>
      <status>ignored</status>
      <modifiedWord/>
      <trackRevisions>false</trackRevisions>
    </reviewItem>
    <reviewItem>
      <errorID>5f992488-26fa-458f-b09a-a7e89d660868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75AFD3F8</paraID>
      <start>39</start>
      <end>40</end>
      <status>ignored</status>
      <modifiedWord/>
      <trackRevisions>false</trackRevisions>
    </reviewItem>
    <reviewItem>
      <errorID>db8d57aa-098c-47bb-8c14-1ee3c4d587ab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35F48C35</paraID>
      <start>0</start>
      <end>2</end>
      <status>ignored</status>
      <modifiedWord/>
      <trackRevisions>false</trackRevisions>
    </reviewItem>
    <reviewItem>
      <errorID>b33f2001-5d79-4abb-9644-e591c508f95a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35F48C35</paraID>
      <start>40</start>
      <end>41</end>
      <status>ignored</status>
      <modifiedWord/>
      <trackRevisions>false</trackRevisions>
    </reviewItem>
    <reviewItem>
      <errorID>b847f121-320c-483c-87bd-b56fef88d17b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980A73D</paraID>
      <start>44</start>
      <end>45</end>
      <status>ignored</status>
      <modifiedWord/>
      <trackRevisions>false</trackRevisions>
    </reviewItem>
    <reviewItem>
      <errorID>c64a6f7d-f8f5-496d-a99c-c8abbb51938d</errorID>
      <errorWord>坚持绿色协调发展</errorWord>
      <group>L1_Political</group>
      <groupName>政治性问题</groupName>
      <ability>L2_Keyword</ability>
      <abilityName>固定表述</abilityName>
      <candidateList>
        <item>坚持绿色低碳发展</item>
      </candidateList>
      <explain>词汇“坚持绿色低碳发展”在特定场景下为固定表述形式，请确认此处的“坚持绿色协调发展”是否存在不当。</explain>
      <paraID>47C8C1D8</paraID>
      <start>12</start>
      <end>20</end>
      <status>ignored</status>
      <modifiedWord/>
      <trackRevisions>false</trackRevisions>
    </reviewItem>
    <reviewItem>
      <errorID>d19f0bda-dbc1-484f-9f91-d87b72316319</errorID>
      <errorWord>位于位于</errorWord>
      <group>L1_Word</group>
      <groupName>字词问题</groupName>
      <ability>L2_Typo</ability>
      <abilityName>字词错误</abilityName>
      <candidateList>
        <item>位于</item>
      </candidateList>
      <explain/>
      <paraID>57F61D91</paraID>
      <start>127</start>
      <end>129</end>
      <status>modified</status>
      <modifiedWord>位于</modifiedWord>
      <trackRevisions>false</trackRevisions>
    </reviewItem>
    <reviewItem>
      <errorID>454f1940-b776-468d-b986-602435e1712f</errorID>
      <errorWord>划</errorWord>
      <group>L1_Word</group>
      <groupName>字词问题</groupName>
      <ability>L2_Typo</ability>
      <abilityName>字词错误</abilityName>
      <candidateList>
        <item>划布</item>
      </candidateList>
      <explain/>
      <paraID>70E1D154</paraID>
      <start>46</start>
      <end>48</end>
      <status>modified</status>
      <modifiedWord>划布</modifiedWord>
      <trackRevisions>false</trackRevisions>
    </reviewItem>
    <reviewItem>
      <errorID>7f80edbc-cdc4-4634-bc17-c5cad3d92729</errorID>
      <errorWord>环保基础设施建设</errorWord>
      <group>L1_Political</group>
      <groupName>政治性问题</groupName>
      <ability>L2_Keyword</ability>
      <abilityName>固定表述</abilityName>
      <candidateList>
        <item>环境基础设施建设</item>
      </candidateList>
      <explain>词汇“环境基础设施建设”在特定场景下为固定表述形式，请确认此处的“环保基础设施建设”是否存在不当。</explain>
      <paraID> 9A4123D</paraID>
      <start>5</start>
      <end>13</end>
      <status>ignored</status>
      <modifiedWord/>
      <trackRevisions>false</trackRevisions>
    </reviewItem>
    <reviewItem>
      <errorID>9fff5da4-1fa2-402c-8b43-0cf74b1390b8</errorID>
      <errorWord>环保基础设施建设</errorWord>
      <group>L1_Political</group>
      <groupName>政治性问题</groupName>
      <ability>L2_Keyword</ability>
      <abilityName>固定表述</abilityName>
      <candidateList>
        <item>环境基础设施建设</item>
      </candidateList>
      <explain>词汇“环境基础设施建设”在特定场景下为固定表述形式，请确认此处的“环保基础设施建设”是否存在不当。</explain>
      <paraID> 9A4123D</paraID>
      <start>57</start>
      <end>65</end>
      <status>ignored</status>
      <modifiedWord/>
      <trackRevisions>false</trackRevisions>
    </reviewItem>
    <reviewItem>
      <errorID>8767d008-52b1-417d-aff8-38da15aa94ea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1735D8D2</paraID>
      <start>47</start>
      <end>48</end>
      <status>ignored</status>
      <modifiedWord/>
      <trackRevisions>false</trackRevisions>
    </reviewItem>
    <reviewItem>
      <errorID>c9508bf1-4bcb-4cbc-a5fb-5885370397e5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7BC63F64</paraID>
      <start>0</start>
      <end>2</end>
      <status>ignored</status>
      <modifiedWord/>
      <trackRevisions>false</trackRevisions>
    </reviewItem>
    <reviewItem>
      <errorID>9e287d73-bdd1-4f0a-bb9c-5fd8ec1f45ee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19DA6141</paraID>
      <start>62</start>
      <end>63</end>
      <status>ignored</status>
      <modifiedWord/>
      <trackRevisions>false</trackRevisions>
    </reviewItem>
    <reviewItem>
      <errorID>5a5f2fc9-595e-4ddb-a187-47da904bd2fb</errorID>
      <errorWord>(</errorWord>
      <group>L1_Format</group>
      <groupName>格式问题</groupName>
      <ability>L2_HalfPunc</ability>
      <abilityName>全半角检查</abilityName>
      <candidateList>
        <item>（</item>
      </candidateList>
      <explain>文本全半角错误。</explain>
      <paraID>54516F43</paraID>
      <start>49</start>
      <end>50</end>
      <status>ignored</status>
      <modifiedWord/>
      <trackRevisions>false</trackRevisions>
    </reviewItem>
    <reviewItem>
      <errorID>43f26c83-f4d1-4e64-9ddf-92b5245a11c3</errorID>
      <errorWord>)</errorWord>
      <group>L1_Format</group>
      <groupName>格式问题</groupName>
      <ability>L2_HalfPunc</ability>
      <abilityName>全半角检查</abilityName>
      <candidateList>
        <item>）</item>
      </candidateList>
      <explain>文本全半角错误。</explain>
      <paraID>54516F43</paraID>
      <start>62</start>
      <end>63</end>
      <status>ignored</status>
      <modifiedWord/>
      <trackRevisions>false</trackRevisions>
    </reviewItem>
    <reviewItem>
      <errorID>2c354a09-eadf-4576-a5b2-d557245582d2</errorID>
      <errorWord>(</errorWord>
      <group>L1_Format</group>
      <groupName>格式问题</groupName>
      <ability>L2_HalfPunc</ability>
      <abilityName>全半角检查</abilityName>
      <candidateList>
        <item>（</item>
      </candidateList>
      <explain>文本全半角错误。</explain>
      <paraID>54516F43</paraID>
      <start>69</start>
      <end>70</end>
      <status>ignored</status>
      <modifiedWord/>
      <trackRevisions>false</trackRevisions>
    </reviewItem>
    <reviewItem>
      <errorID>ed924fdf-3331-4ecf-bbaa-0694070f7aa2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54516F43</paraID>
      <start>74</start>
      <end>75</end>
      <status>ignored</status>
      <modifiedWord/>
      <trackRevisions>false</trackRevisions>
    </reviewItem>
    <reviewItem>
      <errorID>371c79f2-8f27-4112-8047-c82b1626a755</errorID>
      <errorWord>)</errorWord>
      <group>L1_Format</group>
      <groupName>格式问题</groupName>
      <ability>L2_HalfPunc</ability>
      <abilityName>全半角检查</abilityName>
      <candidateList>
        <item>）</item>
      </candidateList>
      <explain>文本全半角错误。</explain>
      <paraID>54516F43</paraID>
      <start>80</start>
      <end>81</end>
      <status>ignored</status>
      <modifiedWord/>
      <trackRevisions>false</trackRevisions>
    </reviewItem>
    <reviewItem>
      <errorID>61f1c8ff-1353-49d1-a984-2ec22749b96a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3385E3AA</paraID>
      <start>0</start>
      <end>2</end>
      <status>ignored</status>
      <modifiedWord/>
      <trackRevisions>false</trackRevisions>
    </reviewItem>
    <reviewItem>
      <errorID>32179606-66f9-49d2-9296-a45ee8654efd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5E00FB6A</paraID>
      <start>0</start>
      <end>2</end>
      <status>ignored</status>
      <modifiedWord/>
      <trackRevisions>false</trackRevisions>
    </reviewItem>
    <reviewItem>
      <errorID>b33ef615-aa7e-43e1-a4b3-ba5c1b954374</errorID>
      <errorWord>(</errorWord>
      <group>L1_Format</group>
      <groupName>格式问题</groupName>
      <ability>L2_HalfPunc</ability>
      <abilityName>全半角检查</abilityName>
      <candidateList>
        <item>（</item>
      </candidateList>
      <explain>文本全半角错误。</explain>
      <paraID>5E00FB6A</paraID>
      <start>20</start>
      <end>21</end>
      <status>ignored</status>
      <modifiedWord/>
      <trackRevisions>false</trackRevisions>
    </reviewItem>
    <reviewItem>
      <errorID>c52a74f7-c7a9-459a-b8e7-63f3937abf20</errorID>
      <errorWord>(2024)36号</errorWord>
      <group>L1_Knowledge</group>
      <groupName>知识性问题</groupName>
      <ability>L2_Knowledge</ability>
      <abilityName>其他知识</abilityName>
      <candidateList>
        <item>〔2024〕36号</item>
      </candidateList>
      <explain>发文字号格式错误。</explain>
      <paraID>5E00FB6A</paraID>
      <start>23</start>
      <end>32</end>
      <status>modified</status>
      <modifiedWord>〔2024〕36号</modifiedWord>
      <trackRevisions>false</trackRevisions>
    </reviewItem>
    <reviewItem>
      <errorID>292556db-0bf1-4c6d-bc73-dffd4d9692b8</errorID>
      <errorWord>)</errorWord>
      <group>L1_Format</group>
      <groupName>格式问题</groupName>
      <ability>L2_HalfPunc</ability>
      <abilityName>全半角检查</abilityName>
      <candidateList>
        <item>）</item>
      </candidateList>
      <explain>文本全半角错误。</explain>
      <paraID>5E00FB6A</paraID>
      <start>32</start>
      <end>33</end>
      <status>ignored</status>
      <modifiedWord/>
      <trackRevisions>false</trackRevisions>
    </reviewItem>
    <reviewItem>
      <errorID>cd1a0e71-1a94-4ae0-a0b2-a25f93e72ee3</errorID>
      <errorWord>（2024）36号</errorWord>
      <group>L1_Knowledge</group>
      <groupName>知识性问题</groupName>
      <ability>L2_Knowledge</ability>
      <abilityName>其他知识</abilityName>
      <candidateList>
        <item>〔2024〕36号</item>
      </candidateList>
      <explain>发文字号格式错误。</explain>
      <paraID>7B675B5D</paraID>
      <start>11</start>
      <end>20</end>
      <status>modified</status>
      <modifiedWord>〔2024〕36号</modifiedWord>
      <trackRevisions>false</trackRevisions>
    </reviewItem>
    <reviewItem>
      <errorID>196362bd-b780-4e2b-a1ae-bd42dc77e441</errorID>
      <errorWord>胶粘剂</errorWord>
      <group>L1_Word</group>
      <groupName>字词问题</groupName>
      <ability>L2_Typo</ability>
      <abilityName>字词错误</abilityName>
      <candidateList>
        <item>胶黏剂</item>
      </candidateList>
      <explain/>
      <paraID>309AB759</paraID>
      <start>43</start>
      <end>46</end>
      <status>ignored</status>
      <modifiedWord/>
      <trackRevisions>false</trackRevisions>
    </reviewItem>
    <reviewItem>
      <errorID>53ac5ced-e4c7-4dc7-a9c2-63afb2002326</errorID>
      <errorWord>(</errorWord>
      <group>L1_Format</group>
      <groupName>格式问题</groupName>
      <ability>L2_HalfPunc</ability>
      <abilityName>全半角检查</abilityName>
      <candidateList>
        <item>（</item>
      </candidateList>
      <explain>文本全半角错误。</explain>
      <paraID>3DC665BD</paraID>
      <start>31</start>
      <end>32</end>
      <status>ignored</status>
      <modifiedWord/>
      <trackRevisions>false</trackRevisions>
    </reviewItem>
    <reviewItem>
      <errorID>8dc37c65-87f2-4945-a7f6-22167427a392</errorID>
      <errorWord>(2024)36号</errorWord>
      <group>L1_Knowledge</group>
      <groupName>知识性问题</groupName>
      <ability>L2_Knowledge</ability>
      <abilityName>其他知识</abilityName>
      <candidateList>
        <item>〔2024〕36号</item>
      </candidateList>
      <explain>发文字号格式错误。</explain>
      <paraID>3DC665BD</paraID>
      <start>34</start>
      <end>43</end>
      <status>modified</status>
      <modifiedWord>〔2024〕36号</modifiedWord>
      <trackRevisions>false</trackRevisions>
    </reviewItem>
    <reviewItem>
      <errorID>aee73dd2-90b5-4234-b170-e8ec36a72b9c</errorID>
      <errorWord>)</errorWord>
      <group>L1_Format</group>
      <groupName>格式问题</groupName>
      <ability>L2_HalfPunc</ability>
      <abilityName>全半角检查</abilityName>
      <candidateList>
        <item>）</item>
      </candidateList>
      <explain>文本全半角错误。</explain>
      <paraID>3DC665BD</paraID>
      <start>43</start>
      <end>44</end>
      <status>ignored</status>
      <modifiedWord/>
      <trackRevisions>false</trackRevisions>
    </reviewItem>
    <reviewItem>
      <errorID>55ffc47a-b5f9-4f64-a04c-27432114979c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B58D0C3</paraID>
      <start>0</start>
      <end>2</end>
      <status>ignored</status>
      <modifiedWord/>
      <trackRevisions>false</trackRevisions>
    </reviewItem>
    <reviewItem>
      <errorID>d2f0e446-095a-463b-87f7-cb1be89729d3</errorID>
      <errorWord>胶粘剂</errorWord>
      <group>L1_Word</group>
      <groupName>字词问题</groupName>
      <ability>L2_Typo</ability>
      <abilityName>字词错误</abilityName>
      <candidateList>
        <item>胶黏剂</item>
      </candidateList>
      <explain/>
      <paraID>59B89985</paraID>
      <start>21</start>
      <end>24</end>
      <status>ignored</status>
      <modifiedWord/>
      <trackRevisions>false</trackRevisions>
    </reviewItem>
    <reviewItem>
      <errorID>afe952f4-f203-46fc-9f70-faca9f535cc2</errorID>
      <errorWord>依</errorWord>
      <group>L1_Word</group>
      <groupName>字词问题</groupName>
      <ability>L2_Typo</ability>
      <abilityName>字词错误</abilityName>
      <candidateList>
        <item>体</item>
      </candidateList>
      <explain/>
      <paraID> 475DBA3</paraID>
      <start>28</start>
      <end>29</end>
      <status>ignored</status>
      <modifiedWord/>
      <trackRevisions>false</trackRevisions>
    </reviewItem>
    <reviewItem>
      <errorID>e9504b2b-cd96-40ad-aacc-07411278e640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B918DDA</paraID>
      <start>0</start>
      <end>2</end>
      <status>ignored</status>
      <modifiedWord/>
      <trackRevisions>false</trackRevisions>
    </reviewItem>
    <reviewItem>
      <errorID>d9a0a843-cce1-409d-a4c2-153c6e5cfd74</errorID>
      <errorWord>胶粘剂</errorWord>
      <group>L1_Word</group>
      <groupName>字词问题</groupName>
      <ability>L2_Typo</ability>
      <abilityName>字词错误</abilityName>
      <candidateList>
        <item>胶黏剂</item>
      </candidateList>
      <explain/>
      <paraID>3A6AFD63</paraID>
      <start>116</start>
      <end>119</end>
      <status>ignored</status>
      <modifiedWord/>
      <trackRevisions>false</trackRevisions>
    </reviewItem>
    <reviewItem>
      <errorID>7daa2d80-d1ed-47e5-b0ed-92cff224c1c1</errorID>
      <errorWord>胶粘剂</errorWord>
      <group>L1_Word</group>
      <groupName>字词问题</groupName>
      <ability>L2_Typo</ability>
      <abilityName>字词错误</abilityName>
      <candidateList>
        <item>胶黏剂</item>
      </candidateList>
      <explain/>
      <paraID>3E63E89F</paraID>
      <start>3</start>
      <end>6</end>
      <status>ignored</status>
      <modifiedWord/>
      <trackRevisions>false</trackRevisions>
    </reviewItem>
    <reviewItem>
      <errorID>7d15215e-6890-42f2-a705-9417594e932a</errorID>
      <errorWord>胶粘剂</errorWord>
      <group>L1_Word</group>
      <groupName>字词问题</groupName>
      <ability>L2_Typo</ability>
      <abilityName>字词错误</abilityName>
      <candidateList>
        <item>胶黏剂</item>
      </candidateList>
      <explain/>
      <paraID>39AFA0C6</paraID>
      <start>47</start>
      <end>50</end>
      <status>ignored</status>
      <modifiedWord/>
      <trackRevisions>false</trackRevisions>
    </reviewItem>
    <reviewItem>
      <errorID>d5f25e7b-222c-45f2-95b2-8ee283320fb0</errorID>
      <errorWord>胶粘剂</errorWord>
      <group>L1_Word</group>
      <groupName>字词问题</groupName>
      <ability>L2_Typo</ability>
      <abilityName>字词错误</abilityName>
      <candidateList>
        <item>胶黏剂</item>
      </candidateList>
      <explain/>
      <paraID>39AFA0C6</paraID>
      <start>54</start>
      <end>57</end>
      <status>ignored</status>
      <modifiedWord/>
      <trackRevisions>false</trackRevisions>
    </reviewItem>
    <reviewItem>
      <errorID>cdddf8a9-a019-4093-943b-7289d5692c06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18906810</paraID>
      <start>0</start>
      <end>2</end>
      <status>ignored</status>
      <modifiedWord/>
      <trackRevisions>false</trackRevisions>
    </reviewItem>
    <reviewItem>
      <errorID>0cf04b48-f07c-4cdd-adc3-5231d85a7917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4CC1D30D</paraID>
      <start>0</start>
      <end>2</end>
      <status>ignored</status>
      <modifiedWord/>
      <trackRevisions>false</trackRevisions>
    </reviewItem>
    <reviewItem>
      <errorID>bc4879c4-866e-47c4-b523-d13cbaa4e44b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3139EF6E</paraID>
      <start>0</start>
      <end>2</end>
      <status>ignored</status>
      <modifiedWord/>
      <trackRevisions>false</trackRevisions>
    </reviewItem>
    <reviewItem>
      <errorID>c78ed84b-237b-4821-a790-bb2929ac4fba</errorID>
      <errorWord>胶粘剂</errorWord>
      <group>L1_Word</group>
      <groupName>字词问题</groupName>
      <ability>L2_Typo</ability>
      <abilityName>字词错误</abilityName>
      <candidateList>
        <item>胶黏剂</item>
      </candidateList>
      <explain/>
      <paraID>40E08C9C</paraID>
      <start>47</start>
      <end>50</end>
      <status>ignored</status>
      <modifiedWord/>
      <trackRevisions>false</trackRevisions>
    </reviewItem>
    <reviewItem>
      <errorID>883a5eda-6ff7-4e2d-9c75-905dc7589250</errorID>
      <errorWord>胶粘剂</errorWord>
      <group>L1_Word</group>
      <groupName>字词问题</groupName>
      <ability>L2_Typo</ability>
      <abilityName>字词错误</abilityName>
      <candidateList>
        <item>胶黏剂</item>
      </candidateList>
      <explain/>
      <paraID>48236D92</paraID>
      <start>24</start>
      <end>27</end>
      <status>ignored</status>
      <modifiedWord/>
      <trackRevisions>false</trackRevisions>
    </reviewItem>
    <reviewItem>
      <errorID>8ba165c2-e0b7-4b38-8eb3-a3a7f5b31c43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64368E8F</paraID>
      <start>0</start>
      <end>2</end>
      <status>ignored</status>
      <modifiedWord/>
      <trackRevisions>false</trackRevisions>
    </reviewItem>
    <reviewItem>
      <errorID>f4ce68ed-c0f9-40f0-8237-90c3911b5e77</errorID>
      <errorWord>上线</errorWord>
      <group>L1_Word</group>
      <groupName>字词问题</groupName>
      <ability>L2_Typo</ability>
      <abilityName>字词错误</abilityName>
      <candidateList>
        <item>上限</item>
      </candidateList>
      <explain>存在发音相同字词的误用。</explain>
      <paraID>311E24D1</paraID>
      <start>8</start>
      <end>10</end>
      <status>ignored</status>
      <modifiedWord/>
      <trackRevisions>false</trackRevisions>
    </reviewItem>
    <reviewItem>
      <errorID>97756449-d50a-4775-9d26-455d48f690e0</errorID>
      <errorWord>上线</errorWord>
      <group>L1_Word</group>
      <groupName>字词问题</groupName>
      <ability>L2_Typo</ability>
      <abilityName>字词错误</abilityName>
      <candidateList>
        <item>上限</item>
      </candidateList>
      <explain/>
      <paraID>7BD2D600</paraID>
      <start>130</start>
      <end>132</end>
      <status>ignored</status>
      <modifiedWord/>
      <trackRevisions>false</trackRevisions>
    </reviewItem>
    <reviewItem>
      <errorID>319718a5-d7ac-40d1-ae77-505862e08fee</errorID>
      <errorWord>(</errorWord>
      <group>L1_Format</group>
      <groupName>格式问题</groupName>
      <ability>L2_HalfPunc</ability>
      <abilityName>全半角检查</abilityName>
      <candidateList>
        <item>（</item>
      </candidateList>
      <explain>文本全半角错误。</explain>
      <paraID> 46BDE4E</paraID>
      <start>101</start>
      <end>102</end>
      <status>ignored</status>
      <modifiedWord/>
      <trackRevisions>false</trackRevisions>
    </reviewItem>
    <reviewItem>
      <errorID>880f87e3-fd4f-4596-b305-1a1528db4ceb</errorID>
      <errorWord>)</errorWord>
      <group>L1_Format</group>
      <groupName>格式问题</groupName>
      <ability>L2_HalfPunc</ability>
      <abilityName>全半角检查</abilityName>
      <candidateList>
        <item>）</item>
      </candidateList>
      <explain>文本全半角错误。</explain>
      <paraID> 46BDE4E</paraID>
      <start>114</start>
      <end>115</end>
      <status>ignored</status>
      <modifiedWord/>
      <trackRevisions>false</trackRevisions>
    </reviewItem>
    <reviewItem>
      <errorID>e1841733-206a-49e4-8fbc-aa82cee3d438</errorID>
      <errorWord>胶粘剂</errorWord>
      <group>L1_Word</group>
      <groupName>字词问题</groupName>
      <ability>L2_Typo</ability>
      <abilityName>字词错误</abilityName>
      <candidateList>
        <item>胶黏剂</item>
      </candidateList>
      <explain/>
      <paraID>5B2AB204</paraID>
      <start>24</start>
      <end>27</end>
      <status>ignored</status>
      <modifiedWord/>
      <trackRevisions>false</trackRevisions>
    </reviewItem>
    <reviewItem>
      <errorID>65bbab94-c8ad-4e0c-87bc-fde0bcf4c3ac</errorID>
      <errorWord>胶粘剂</errorWord>
      <group>L1_Word</group>
      <groupName>字词问题</groupName>
      <ability>L2_Typo</ability>
      <abilityName>字词错误</abilityName>
      <candidateList>
        <item>胶黏剂</item>
      </candidateList>
      <explain/>
      <paraID>5306D576</paraID>
      <start>12</start>
      <end>15</end>
      <status>ignored</status>
      <modifiedWord/>
      <trackRevisions>false</trackRevisions>
    </reviewItem>
    <reviewItem>
      <errorID>a47fcee2-c563-464c-b57b-f2a0e803845d</errorID>
      <errorWord>《建筑工程施工和预拌混凝土生产扬尘污染防治标准》（试行）</errorWord>
      <group>L1_Knowledge</group>
      <groupName>知识性问题</groupName>
      <ability>L2_Knowledge</ability>
      <abilityName>其他知识</abilityName>
      <candidateList>
        <item>《建筑工程施工和预拌混凝土生产扬尘污染防治标准（试行）》</item>
      </candidateList>
      <explain>疑似政策文件、法律法规名称等书写不规范，请注意检查。</explain>
      <paraID>4B29E608</paraID>
      <start>75</start>
      <end>103</end>
      <status>ignored</status>
      <modifiedWord/>
      <trackRevisions>false</trackRevisions>
    </reviewItem>
    <reviewItem>
      <errorID>e2e6dbca-5504-4e90-b9fb-5a505f321065</errorID>
      <errorWord>并</errorWord>
      <group>L1_Word</group>
      <groupName>字词问题</groupName>
      <ability>L2_Typo</ability>
      <abilityName>字词错误</abilityName>
      <candidateList>
        <item>并进</item>
      </candidateList>
      <explain/>
      <paraID>19F04AF2</paraID>
      <start>70</start>
      <end>71</end>
      <status>ignored</status>
      <modifiedWord/>
      <trackRevisions>false</trackRevisions>
    </reviewItem>
    <reviewItem>
      <errorID>807480eb-3db8-4ef0-9335-12602890865e</errorID>
      <errorWord>集中集中</errorWord>
      <group>L1_Word</group>
      <groupName>字词问题</groupName>
      <ability>L2_Typo</ability>
      <abilityName>字词错误</abilityName>
      <candidateList>
        <item>集中</item>
      </candidateList>
      <explain/>
      <paraID>4373FD15</paraID>
      <start>9</start>
      <end>11</end>
      <status>modified</status>
      <modifiedWord>集中</modifiedWord>
      <trackRevisions>false</trackRevisions>
    </reviewItem>
    <reviewItem>
      <errorID>c681e7cd-8550-4769-9882-58a975d1d082</errorID>
      <errorWord>~</errorWord>
      <group>L1_Format</group>
      <groupName>格式问题</groupName>
      <ability>L2_HalfPunc</ability>
      <abilityName>全半角检查</abilityName>
      <candidateList>
        <item>～</item>
      </candidateList>
      <explain>文本全半角错误。</explain>
      <paraID>29BFE104</paraID>
      <start>4</start>
      <end>5</end>
      <status>ignored</status>
      <modifiedWord/>
      <trackRevisions>false</trackRevisions>
    </reviewItem>
    <reviewItem>
      <errorID>44bbd3be-9819-41d3-b064-94c24c6578b8</errorID>
      <errorWord>~</errorWord>
      <group>L1_Format</group>
      <groupName>格式问题</groupName>
      <ability>L2_HalfPunc</ability>
      <abilityName>全半角检查</abilityName>
      <candidateList>
        <item>～</item>
      </candidateList>
      <explain>文本全半角错误。</explain>
      <paraID>2F0D0D6F</paraID>
      <start>4</start>
      <end>5</end>
      <status>ignored</status>
      <modifiedWord/>
      <trackRevisions>false</trackRevisions>
    </reviewItem>
    <reviewItem>
      <errorID>95896635-9f5a-4eb6-8d14-c0951741b508</errorID>
      <errorWord>~</errorWord>
      <group>L1_Format</group>
      <groupName>格式问题</groupName>
      <ability>L2_HalfPunc</ability>
      <abilityName>全半角检查</abilityName>
      <candidateList>
        <item>～</item>
      </candidateList>
      <explain>文本全半角错误。</explain>
      <paraID>29760EE9</paraID>
      <start>4</start>
      <end>5</end>
      <status>ignored</status>
      <modifiedWord/>
      <trackRevisions>false</trackRevisions>
    </reviewItem>
    <reviewItem>
      <errorID>c25c5d87-2739-4c67-bef0-1b603d4a7fdd</errorID>
      <errorWord>~</errorWord>
      <group>L1_Format</group>
      <groupName>格式问题</groupName>
      <ability>L2_HalfPunc</ability>
      <abilityName>全半角检查</abilityName>
      <candidateList>
        <item>～</item>
      </candidateList>
      <explain>文本全半角错误。</explain>
      <paraID>1451B011</paraID>
      <start>4</start>
      <end>5</end>
      <status>ignored</status>
      <modifiedWord/>
      <trackRevisions>false</trackRevisions>
    </reviewItem>
    <reviewItem>
      <errorID>7422f998-9abc-4fec-afe7-0ffc84a90d7e</errorID>
      <errorWord>(</errorWord>
      <group>L1_Format</group>
      <groupName>格式问题</groupName>
      <ability>L2_HalfPunc</ability>
      <abilityName>全半角检查</abilityName>
      <candidateList>
        <item>（</item>
      </candidateList>
      <explain>文本全半角错误。</explain>
      <paraID>7A5EA864</paraID>
      <start>18</start>
      <end>19</end>
      <status>ignored</status>
      <modifiedWord/>
      <trackRevisions>false</trackRevisions>
    </reviewItem>
    <reviewItem>
      <errorID>2c2849e0-57d0-4e9a-a9bc-69af750e7ba2</errorID>
      <errorWord>)</errorWord>
      <group>L1_Format</group>
      <groupName>格式问题</groupName>
      <ability>L2_HalfPunc</ability>
      <abilityName>全半角检查</abilityName>
      <candidateList>
        <item>）</item>
      </candidateList>
      <explain>文本全半角错误。</explain>
      <paraID>7A5EA864</paraID>
      <start>23</start>
      <end>24</end>
      <status>ignored</status>
      <modifiedWord/>
      <trackRevisions>false</trackRevisions>
    </reviewItem>
    <reviewItem>
      <errorID>8b3d68cb-8223-4d33-bc8e-a27590056365</errorID>
      <errorWord>溶度</errorWord>
      <group>L1_Word</group>
      <groupName>字词问题</groupName>
      <ability>L2_Typo</ability>
      <abilityName>字词错误</abilityName>
      <candidateList>
        <item>浓度</item>
      </candidateList>
      <explain/>
      <paraID>7A5EA864</paraID>
      <start>130</start>
      <end>132</end>
      <status>modified</status>
      <modifiedWord>浓度</modifiedWord>
      <trackRevisions>false</trackRevisions>
    </reviewItem>
    <reviewItem>
      <errorID>334ab271-d992-4ca6-a2a8-8c7962f64c83</errorID>
      <errorWord>~</errorWord>
      <group>L1_Format</group>
      <groupName>格式问题</groupName>
      <ability>L2_HalfPunc</ability>
      <abilityName>全半角检查</abilityName>
      <candidateList>
        <item>～</item>
      </candidateList>
      <explain>文本全半角错误。</explain>
      <paraID>4F89ECDB</paraID>
      <start>68</start>
      <end>69</end>
      <status>ignored</status>
      <modifiedWord/>
      <trackRevisions>false</trackRevisions>
    </reviewItem>
    <reviewItem>
      <errorID>74cd28f4-c73a-4e82-95ae-1c5083fd4556</errorID>
      <errorWord>粘度</errorWord>
      <group>L1_Word</group>
      <groupName>字词问题</groupName>
      <ability>L2_Alias</ability>
      <abilityName>也作/曾用词</abilityName>
      <candidateList>
        <item>黏度</item>
      </candidateList>
      <explain>词汇[粘度]为不规范表述或旧称，其规范书面表述为[黏度]。</explain>
      <paraID>19C16A1B</paraID>
      <start>13</start>
      <end>15</end>
      <status>ignored</status>
      <modifiedWord/>
      <trackRevisions>false</trackRevisions>
    </reviewItem>
    <reviewItem>
      <errorID>b7266cf5-b2ab-4e93-8b26-50f44b61b978</errorID>
      <errorWord>配置</errorWord>
      <group>L1_Word</group>
      <groupName>字词问题</groupName>
      <ability>L2_Typo</ability>
      <abilityName>字词错误</abilityName>
      <candidateList>
        <item>配制</item>
      </candidateList>
      <explain/>
      <paraID>19C16A1B</paraID>
      <start>159</start>
      <end>161</end>
      <status>modified</status>
      <modifiedWord>配制</modifiedWord>
      <trackRevisions>false</trackRevisions>
    </reviewItem>
    <reviewItem>
      <errorID>ba705a16-8e35-4c35-87db-8cf838635a30</errorID>
      <errorWord>与</errorWord>
      <group>L1_Word</group>
      <groupName>字词问题</groupName>
      <ability>L2_Typo</ability>
      <abilityName>字词错误</abilityName>
      <candidateList>
        <item>向</item>
      </candidateList>
      <explain>存在字形相近字词的误用。</explain>
      <paraID>57BBABE2</paraID>
      <start>61</start>
      <end>62</end>
      <status>modified</status>
      <modifiedWord>向</modifiedWord>
      <trackRevisions>false</trackRevisions>
    </reviewItem>
    <reviewItem>
      <errorID>283badc6-e78d-448f-8196-5fd1267f508c</errorID>
      <errorWord>外逸</errorWord>
      <group>L1_Word</group>
      <groupName>字词问题</groupName>
      <ability>L2_Typo</ability>
      <abilityName>字词错误</abilityName>
      <candidateList>
        <item>外溢</item>
      </candidateList>
      <explain/>
      <paraID>5452BAD7</paraID>
      <start>105</start>
      <end>107</end>
      <status>ignored</status>
      <modifiedWord/>
      <trackRevisions>false</trackRevisions>
    </reviewItem>
    <reviewItem>
      <errorID>2511aafb-f74f-4bfe-94b0-3d04754b8c62</errorID>
      <errorWord>~</errorWord>
      <group>L1_Format</group>
      <groupName>格式问题</groupName>
      <ability>L2_HalfPunc</ability>
      <abilityName>全半角检查</abilityName>
      <candidateList>
        <item>～</item>
      </candidateList>
      <explain>文本全半角错误。</explain>
      <paraID> A6A3FA9</paraID>
      <start>276</start>
      <end>277</end>
      <status>ignored</status>
      <modifiedWord/>
      <trackRevisions>false</trackRevisions>
    </reviewItem>
    <reviewItem>
      <errorID>c0122c88-1a3a-44c4-8d43-969be5ec8b09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4B01A997</paraID>
      <start>0</start>
      <end>2</end>
      <status>ignored</status>
      <modifiedWord/>
      <trackRevisions>false</trackRevisions>
    </reviewItem>
    <reviewItem>
      <errorID>1d3ab31d-b9a8-494e-82e9-80b57d585243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348AA3DE</paraID>
      <start>0</start>
      <end>2</end>
      <status>ignored</status>
      <modifiedWord/>
      <trackRevisions>false</trackRevisions>
    </reviewItem>
    <reviewItem>
      <errorID>7ba60747-ee99-4f78-bf34-6b3ece42f585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7FC89F89</paraID>
      <start>0</start>
      <end>2</end>
      <status>ignored</status>
      <modifiedWord/>
      <trackRevisions>false</trackRevisions>
    </reviewItem>
    <reviewItem>
      <errorID>9cf47cb8-c67b-49d1-b441-6502a232e645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5AB9E41B</paraID>
      <start>0</start>
      <end>2</end>
      <status>ignored</status>
      <modifiedWord/>
      <trackRevisions>false</trackRevisions>
    </reviewItem>
    <reviewItem>
      <errorID>c37faec7-7592-451a-9237-f7e00c80f234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2C1378CC</paraID>
      <start>0</start>
      <end>2</end>
      <status>ignored</status>
      <modifiedWord/>
      <trackRevisions>false</trackRevisions>
    </reviewItem>
    <reviewItem>
      <errorID>68727ecb-f638-4576-a9e4-3eda1d6c079a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6C0E26</paraID>
      <start>159</start>
      <end>160</end>
      <status>ignored</status>
      <modifiedWord/>
      <trackRevisions>false</trackRevisions>
    </reviewItem>
    <reviewItem>
      <errorID>b99f2b4c-0045-41ff-95ca-25705c02bb97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25D43CF2</paraID>
      <start>0</start>
      <end>2</end>
      <status>ignored</status>
      <modifiedWord/>
      <trackRevisions>false</trackRevisions>
    </reviewItem>
    <reviewItem>
      <errorID>dfd841f9-fcc5-4aa4-b8c4-8bb0127f6991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65B482CA</paraID>
      <start>9</start>
      <end>10</end>
      <status>ignored</status>
      <modifiedWord/>
      <trackRevisions>false</trackRevisions>
    </reviewItem>
    <reviewItem>
      <errorID>6415f308-06fb-4513-b11a-b287483ae18e</errorID>
      <errorWord>（</errorWord>
      <group>L1_Punc</group>
      <groupName>标点问题</groupName>
      <ability>L2_Punc</ability>
      <abilityName>标点符号检查</abilityName>
      <candidateList>
        <item/>
      </candidateList>
      <explain>同一形式括号套用。</explain>
      <paraID>48BA03E7</paraID>
      <start>97</start>
      <end>98</end>
      <status>ignored</status>
      <modifiedWord/>
      <trackRevisions>false</trackRevisions>
    </reviewItem>
    <reviewItem>
      <errorID>dec64d1d-95b3-4b54-b595-3713cc43dac9</errorID>
      <errorWord>(</errorWord>
      <group>L1_Punc</group>
      <groupName>标点问题</groupName>
      <ability>L2_Punc</ability>
      <abilityName>标点符号检查</abilityName>
      <candidateList/>
      <explain>同一形式括号套用。</explain>
      <paraID>48BA03E7</paraID>
      <start>106</start>
      <end>107</end>
      <status>ignored</status>
      <modifiedWord/>
      <trackRevisions>false</trackRevisions>
    </reviewItem>
    <reviewItem>
      <errorID>2d9ce05e-8424-4367-abb2-41edd4fe0481</errorID>
      <errorWord>)</errorWord>
      <group>L1_Punc</group>
      <groupName>标点问题</groupName>
      <ability>L2_Punc</ability>
      <abilityName>标点符号检查</abilityName>
      <candidateList/>
      <explain>同一形式括号套用。</explain>
      <paraID>48BA03E7</paraID>
      <start>108</start>
      <end>109</end>
      <status>ignored</status>
      <modifiedWord/>
      <trackRevisions>false</trackRevisions>
    </reviewItem>
    <reviewItem>
      <errorID>827b807e-87fe-4a22-ad1b-12f74eceeb71</errorID>
      <errorWord>(</errorWord>
      <group>L1_Punc</group>
      <groupName>标点问题</groupName>
      <ability>L2_Punc</ability>
      <abilityName>标点符号检查</abilityName>
      <candidateList/>
      <explain>同一形式括号套用。</explain>
      <paraID>48BA03E7</paraID>
      <start>117</start>
      <end>118</end>
      <status>ignored</status>
      <modifiedWord/>
      <trackRevisions>false</trackRevisions>
    </reviewItem>
    <reviewItem>
      <errorID>8358fbc4-332f-4bc6-b755-e3bc6beb553f</errorID>
      <errorWord>)</errorWord>
      <group>L1_Punc</group>
      <groupName>标点问题</groupName>
      <ability>L2_Punc</ability>
      <abilityName>标点符号检查</abilityName>
      <candidateList/>
      <explain>同一形式括号套用。</explain>
      <paraID>48BA03E7</paraID>
      <start>119</start>
      <end>120</end>
      <status>ignored</status>
      <modifiedWord/>
      <trackRevisions>false</trackRevisions>
    </reviewItem>
    <reviewItem>
      <errorID>e9f83a14-a8c1-4c33-9e1e-9122d1fdd308</errorID>
      <errorWord>）</errorWord>
      <group>L1_Punc</group>
      <groupName>标点问题</groupName>
      <ability>L2_Punc</ability>
      <abilityName>标点符号检查</abilityName>
      <candidateList/>
      <explain>同一形式括号套用。</explain>
      <paraID>48BA03E7</paraID>
      <start>120</start>
      <end>121</end>
      <status>ignored</status>
      <modifiedWord/>
      <trackRevisions>false</trackRevisions>
    </reviewItem>
    <reviewItem>
      <errorID>71afd61f-3472-42c3-976d-631077194095</errorID>
      <errorWord>》中</errorWord>
      <group>L1_Word</group>
      <groupName>字词问题</groupName>
      <ability>L2_Typo</ability>
      <abilityName>字词错误</abilityName>
      <candidateList>
        <item>》</item>
      </candidateList>
      <explain/>
      <paraID>66530BF2</paraID>
      <start>31</start>
      <end>33</end>
      <status>ignored</status>
      <modifiedWord/>
      <trackRevisions>false</trackRevisions>
    </reviewItem>
    <reviewItem>
      <errorID>bcd9f55f-4612-43c5-9c0b-baa650481bb6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6B3550AB</paraID>
      <start>0</start>
      <end>2</end>
      <status>ignored</status>
      <modifiedWord/>
      <trackRevisions>false</trackRevisions>
    </reviewItem>
    <reviewItem>
      <errorID>a5eed313-fc96-48b2-bed7-1485a0dee2f6</errorID>
      <errorWord>（</errorWord>
      <group>L1_Punc</group>
      <groupName>标点问题</groupName>
      <ability>L2_Punc</ability>
      <abilityName>标点符号检查</abilityName>
      <candidateList/>
      <explain>同一形式括号套用。</explain>
      <paraID>6609136E</paraID>
      <start>16</start>
      <end>17</end>
      <status>ignored</status>
      <modifiedWord/>
      <trackRevisions>false</trackRevisions>
    </reviewItem>
    <reviewItem>
      <errorID>529da047-caa9-4649-b608-d93f22b06016</errorID>
      <errorWord>）</errorWord>
      <group>L1_Punc</group>
      <groupName>标点问题</groupName>
      <ability>L2_Punc</ability>
      <abilityName>标点符号检查</abilityName>
      <candidateList/>
      <explain>同一形式括号套用。</explain>
      <paraID>6609136E</paraID>
      <start>19</start>
      <end>20</end>
      <status>ignored</status>
      <modifiedWord/>
      <trackRevisions>false</trackRevisions>
    </reviewItem>
    <reviewItem>
      <errorID>baac99cf-11c2-4a7b-846e-c036dc014fc1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5E17DC2A</paraID>
      <start>0</start>
      <end>2</end>
      <status>ignored</status>
      <modifiedWord/>
      <trackRevisions>false</trackRevisions>
    </reviewItem>
    <reviewItem>
      <errorID>c73785b9-a1fb-4e4a-89fd-4aebfc1a336c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3D945DBC</paraID>
      <start>0</start>
      <end>2</end>
      <status>ignored</status>
      <modifiedWord/>
      <trackRevisions>false</trackRevisions>
    </reviewItem>
    <reviewItem>
      <errorID>46e3f775-ee4b-4758-9268-02120c63bdc0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596936B7</paraID>
      <start>0</start>
      <end>2</end>
      <status>ignored</status>
      <modifiedWord/>
      <trackRevisions>false</trackRevisions>
    </reviewItem>
    <reviewItem>
      <errorID>1bcb034a-6667-42b6-a980-ebf325997eed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4B1F78D0</paraID>
      <start>0</start>
      <end>2</end>
      <status>ignored</status>
      <modifiedWord/>
      <trackRevisions>false</trackRevisions>
    </reviewItem>
    <reviewItem>
      <errorID>59cb34e3-7475-4e1f-854d-2a6104d391c8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109F6C43</paraID>
      <start>0</start>
      <end>2</end>
      <status>ignored</status>
      <modifiedWord/>
      <trackRevisions>false</trackRevisions>
    </reviewItem>
    <reviewItem>
      <errorID>c96e6a27-e6c4-4860-8112-a12f3d0d2118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555F5C83</paraID>
      <start>0</start>
      <end>2</end>
      <status>ignored</status>
      <modifiedWord/>
      <trackRevisions>false</trackRevisions>
    </reviewItem>
    <reviewItem>
      <errorID>c24ecdc1-8477-435a-8941-de294b6e576c</errorID>
      <errorWord>达</errorWord>
      <group>L1_Word</group>
      <groupName>字词问题</groupName>
      <ability>L2_Typo</ability>
      <abilityName>字词错误</abilityName>
      <candidateList>
        <item>达到</item>
      </candidateList>
      <explain>〈动〉到（多指抽象事物或程度）：达得到｜达不到｜目的没有～｜～国际水平。</explain>
      <paraID>6CE38444</paraID>
      <start>71</start>
      <end>73</end>
      <status>modified</status>
      <modifiedWord>达到</modifiedWord>
      <trackRevisions>false</trackRevisions>
    </reviewItem>
    <reviewItem>
      <errorID>affff202-8658-4476-9f02-f50a83c08409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5C2F076D</paraID>
      <start>0</start>
      <end>2</end>
      <status>ignored</status>
      <modifiedWord/>
      <trackRevisions>false</trackRevisions>
    </reviewItem>
    <reviewItem>
      <errorID>26445f0b-f0ef-44d6-b837-3d9e78e9f345</errorID>
      <errorWord>（</errorWord>
      <group>L1_Punc</group>
      <groupName>标点问题</groupName>
      <ability>L2_Punc</ability>
      <abilityName>标点符号检查</abilityName>
      <candidateList>
        <item/>
      </candidateList>
      <explain>同一形式括号套用。</explain>
      <paraID>3BAB47D6</paraID>
      <start>13</start>
      <end>14</end>
      <status>ignored</status>
      <modifiedWord/>
      <trackRevisions>false</trackRevisions>
    </reviewItem>
    <reviewItem>
      <errorID>41cba48c-8064-4031-bf16-69f76439a55f</errorID>
      <errorWord>(</errorWord>
      <group>L1_Punc</group>
      <groupName>标点问题</groupName>
      <ability>L2_Punc</ability>
      <abilityName>标点符号检查</abilityName>
      <candidateList/>
      <explain>同一形式括号套用。</explain>
      <paraID>3BAB47D6</paraID>
      <start>19</start>
      <end>20</end>
      <status>ignored</status>
      <modifiedWord/>
      <trackRevisions>false</trackRevisions>
    </reviewItem>
    <reviewItem>
      <errorID>93165105-bd56-4569-8b37-1c1fb3a8266f</errorID>
      <errorWord>)</errorWord>
      <group>L1_Punc</group>
      <groupName>标点问题</groupName>
      <ability>L2_Punc</ability>
      <abilityName>标点符号检查</abilityName>
      <candidateList/>
      <explain>同一形式括号套用。</explain>
      <paraID>3BAB47D6</paraID>
      <start>21</start>
      <end>22</end>
      <status>ignored</status>
      <modifiedWord/>
      <trackRevisions>false</trackRevisions>
    </reviewItem>
    <reviewItem>
      <errorID>989e48a0-2e45-4e2e-a707-1d91c29531b2</errorID>
      <errorWord>）</errorWord>
      <group>L1_Punc</group>
      <groupName>标点问题</groupName>
      <ability>L2_Punc</ability>
      <abilityName>标点符号检查</abilityName>
      <candidateList/>
      <explain>同一形式括号套用。</explain>
      <paraID>3BAB47D6</paraID>
      <start>22</start>
      <end>23</end>
      <status>ignored</status>
      <modifiedWord/>
      <trackRevisions>false</trackRevisions>
    </reviewItem>
    <reviewItem>
      <errorID>15250540-60b1-4b57-9dcb-e39f6f0b6079</errorID>
      <errorWord>(</errorWord>
      <group>L1_Format</group>
      <groupName>格式问题</groupName>
      <ability>L2_HalfPunc</ability>
      <abilityName>全半角检查</abilityName>
      <candidateList>
        <item>（</item>
      </candidateList>
      <explain>文本全半角错误。</explain>
      <paraID>1D77B618</paraID>
      <start>12</start>
      <end>13</end>
      <status>ignored</status>
      <modifiedWord/>
      <trackRevisions>false</trackRevisions>
    </reviewItem>
    <reviewItem>
      <errorID>f7bd81d9-be08-4801-b955-f7ee9058c2f9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38D9BBF2</paraID>
      <start>0</start>
      <end>2</end>
      <status>ignored</status>
      <modifiedWord/>
      <trackRevisions>false</trackRevisions>
    </reviewItem>
    <reviewItem>
      <errorID>cb126855-e8ac-4ce9-b3c4-42a6b284c71f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30C1340B</paraID>
      <start>0</start>
      <end>2</end>
      <status>ignored</status>
      <modifiedWord/>
      <trackRevisions>false</trackRevisions>
    </reviewItem>
    <reviewItem>
      <errorID>dbe334b6-88ca-47c6-9241-68425600d134</errorID>
      <errorWord>（</errorWord>
      <group>L1_Format</group>
      <groupName>格式问题</groupName>
      <ability>L2_HalfPunc</ability>
      <abilityName>全半角检查</abilityName>
      <candidateList>
        <item>(</item>
      </candidateList>
      <explain>文本全半角错误。</explain>
      <paraID>6B738353</paraID>
      <start>0</start>
      <end>1</end>
      <status>ignored</status>
      <modifiedWord/>
      <trackRevisions>false</trackRevisions>
    </reviewItem>
    <reviewItem>
      <errorID>c216fce5-9a7c-429f-991b-1005f71804bb</errorID>
      <errorWord>）</errorWord>
      <group>L1_Format</group>
      <groupName>格式问题</groupName>
      <ability>L2_HalfPunc</ability>
      <abilityName>全半角检查</abilityName>
      <candidateList>
        <item>)</item>
      </candidateList>
      <explain>文本全半角错误。</explain>
      <paraID>6B738353</paraID>
      <start>6</start>
      <end>7</end>
      <status>ignored</status>
      <modifiedWord/>
      <trackRevisions>false</trackRevisions>
    </reviewItem>
    <reviewItem>
      <errorID>cb0c4d0d-4795-4f2f-8b23-59ad75fa2734</errorID>
      <errorWord>*</errorWord>
      <group>L1_Punc</group>
      <groupName>标点问题</groupName>
      <ability>L2_Punc</ability>
      <abilityName>标点符号检查</abilityName>
      <candidateList/>
      <explain/>
      <paraID>2BA71C6F</paraID>
      <start>0</start>
      <end>1</end>
      <status>ignored</status>
      <modifiedWord/>
      <trackRevisions>false</trackRevisions>
    </reviewItem>
    <reviewItem>
      <errorID>2f8dedea-6ce9-4f4f-83d8-208eabce56f7</errorID>
      <errorWord>粉尘粉尘</errorWord>
      <group>L1_Word</group>
      <groupName>字词问题</groupName>
      <ability>L2_Typo</ability>
      <abilityName>字词错误</abilityName>
      <candidateList>
        <item>粉尘</item>
      </candidateList>
      <explain/>
      <paraID>629D639F</paraID>
      <start>193</start>
      <end>195</end>
      <status>modified</status>
      <modifiedWord>粉尘</modifiedWord>
      <trackRevisions>false</trackRevisions>
    </reviewItem>
    <reviewItem>
      <errorID>83614eec-af6e-4335-86b4-38c31575da85</errorID>
      <errorWord>-</errorWord>
      <group>L1_Format</group>
      <groupName>格式问题</groupName>
      <ability>L2_HalfPunc</ability>
      <abilityName>全半角检查</abilityName>
      <candidateList>
        <item>－</item>
      </candidateList>
      <explain>文本全半角错误。</explain>
      <paraID>629D639F</paraID>
      <start>234</start>
      <end>235</end>
      <status>ignored</status>
      <modifiedWord/>
      <trackRevisions>false</trackRevisions>
    </reviewItem>
    <reviewItem>
      <errorID>d55f1acb-809e-4b82-a683-82125646b9ea</errorID>
      <errorWord>-</errorWord>
      <group>L1_Format</group>
      <groupName>格式问题</groupName>
      <ability>L2_HalfPunc</ability>
      <abilityName>全半角检查</abilityName>
      <candidateList>
        <item>－</item>
      </candidateList>
      <explain>文本全半角错误。</explain>
      <paraID>73FD0C57</paraID>
      <start>4</start>
      <end>5</end>
      <status>ignored</status>
      <modifiedWord/>
      <trackRevisions>false</trackRevisions>
    </reviewItem>
    <reviewItem>
      <errorID>7be356ff-cb44-49fb-a4cc-258286195cf1</errorID>
      <errorWord>-</errorWord>
      <group>L1_Format</group>
      <groupName>格式问题</groupName>
      <ability>L2_HalfPunc</ability>
      <abilityName>全半角检查</abilityName>
      <candidateList>
        <item>－</item>
      </candidateList>
      <explain>文本全半角错误。</explain>
      <paraID>5D472A92</paraID>
      <start>4</start>
      <end>5</end>
      <status>ignored</status>
      <modifiedWord/>
      <trackRevisions>false</trackRevisions>
    </reviewItem>
    <reviewItem>
      <errorID>ee085171-bfa5-4963-becc-49c832656151</errorID>
      <errorWord>产生为</errorWord>
      <group>L1_Word</group>
      <groupName>字词问题</groupName>
      <ability>L2_Typo</ability>
      <abilityName>字词错误</abilityName>
      <candidateList>
        <item>产生</item>
      </candidateList>
      <explain/>
      <paraID> CE0AB64</paraID>
      <start>41</start>
      <end>44</end>
      <status>ignored</status>
      <modifiedWord/>
      <trackRevisions>false</trackRevisions>
    </reviewItem>
    <reviewItem>
      <errorID>7b43f7a3-56cd-4d3d-ac30-803f610971fd</errorID>
      <errorWord>-</errorWord>
      <group>L1_Format</group>
      <groupName>格式问题</groupName>
      <ability>L2_HalfPunc</ability>
      <abilityName>全半角检查</abilityName>
      <candidateList>
        <item>－</item>
      </candidateList>
      <explain>文本全半角错误。</explain>
      <paraID>559BE707</paraID>
      <start>89</start>
      <end>90</end>
      <status>ignored</status>
      <modifiedWord/>
      <trackRevisions>false</trackRevisions>
    </reviewItem>
    <reviewItem>
      <errorID>a12255d2-b95f-429c-8d89-647f221a81a9</errorID>
      <errorWord>程</errorWord>
      <group>L1_Word</group>
      <groupName>字词问题</groupName>
      <ability>L2_Typo</ability>
      <abilityName>字词错误</abilityName>
      <candidateList>
        <item>程中</item>
      </candidateList>
      <explain/>
      <paraID>66383BC9</paraID>
      <start>143</start>
      <end>144</end>
      <status>ignored</status>
      <modifiedWord/>
      <trackRevisions>false</trackRevisions>
    </reviewItem>
    <reviewItem>
      <errorID>d629856a-d183-4f43-849b-33573af3ebdb</errorID>
      <errorWord>-</errorWord>
      <group>L1_Format</group>
      <groupName>格式问题</groupName>
      <ability>L2_HalfPunc</ability>
      <abilityName>全半角检查</abilityName>
      <candidateList>
        <item>－</item>
      </candidateList>
      <explain>文本全半角错误。</explain>
      <paraID> F66AEFF</paraID>
      <start>131</start>
      <end>132</end>
      <status>ignored</status>
      <modifiedWord/>
      <trackRevisions>false</trackRevisions>
    </reviewItem>
    <reviewItem>
      <errorID>3fcc41f4-71c2-42c4-877d-11d8e5221a8b</errorID>
      <errorWord>-</errorWord>
      <group>L1_Format</group>
      <groupName>格式问题</groupName>
      <ability>L2_HalfPunc</ability>
      <abilityName>全半角检查</abilityName>
      <candidateList>
        <item>－</item>
      </candidateList>
      <explain>文本全半角错误。</explain>
      <paraID> F66AEFF</paraID>
      <start>159</start>
      <end>160</end>
      <status>ignored</status>
      <modifiedWord/>
      <trackRevisions>false</trackRevisions>
    </reviewItem>
    <reviewItem>
      <errorID>6391dd73-40f7-4a94-ba43-16f98ae23f1f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36A707AF</paraID>
      <start>0</start>
      <end>2</end>
      <status>ignored</status>
      <modifiedWord/>
      <trackRevisions>false</trackRevisions>
    </reviewItem>
    <reviewItem>
      <errorID>778bcac9-0857-4960-aecf-b1d14afce3b9</errorID>
      <errorWord>(</errorWord>
      <group>L1_Format</group>
      <groupName>格式问题</groupName>
      <ability>L2_HalfPunc</ability>
      <abilityName>全半角检查</abilityName>
      <candidateList>
        <item>（</item>
      </candidateList>
      <explain>文本全半角错误。</explain>
      <paraID>  8BFAF8</paraID>
      <start>4</start>
      <end>5</end>
      <status>ignored</status>
      <modifiedWord/>
      <trackRevisions>false</trackRevisions>
    </reviewItem>
    <reviewItem>
      <errorID>feb63e49-dd16-4df2-b0c8-673390444dfc</errorID>
      <errorWord>)</errorWord>
      <group>L1_Format</group>
      <groupName>格式问题</groupName>
      <ability>L2_HalfPunc</ability>
      <abilityName>全半角检查</abilityName>
      <candidateList>
        <item>）</item>
      </candidateList>
      <explain>文本全半角错误。</explain>
      <paraID>  8BFAF8</paraID>
      <start>7</start>
      <end>8</end>
      <status>ignored</status>
      <modifiedWord/>
      <trackRevisions>false</trackRevisions>
    </reviewItem>
    <reviewItem>
      <errorID>00f09ba8-2dcf-4b28-bc7d-eae82990bc49</errorID>
      <errorWord>(</errorWord>
      <group>L1_Format</group>
      <groupName>格式问题</groupName>
      <ability>L2_HalfPunc</ability>
      <abilityName>全半角检查</abilityName>
      <candidateList>
        <item>（</item>
      </candidateList>
      <explain>文本全半角错误。</explain>
      <paraID>43FC70D9</paraID>
      <start>6</start>
      <end>7</end>
      <status>ignored</status>
      <modifiedWord/>
      <trackRevisions>false</trackRevisions>
    </reviewItem>
    <reviewItem>
      <errorID>1b82940e-58bd-491b-a4ce-2c90a77c887f</errorID>
      <errorWord>)</errorWord>
      <group>L1_Format</group>
      <groupName>格式问题</groupName>
      <ability>L2_HalfPunc</ability>
      <abilityName>全半角检查</abilityName>
      <candidateList>
        <item>）</item>
      </candidateList>
      <explain>文本全半角错误。</explain>
      <paraID>43FC70D9</paraID>
      <start>9</start>
      <end>10</end>
      <status>ignored</status>
      <modifiedWord/>
      <trackRevisions>false</trackRevisions>
    </reviewItem>
    <reviewItem>
      <errorID>cc9a4078-ff68-40ee-8a63-e08daee6b1a2</errorID>
      <errorWord>(</errorWord>
      <group>L1_Format</group>
      <groupName>格式问题</groupName>
      <ability>L2_HalfPunc</ability>
      <abilityName>全半角检查</abilityName>
      <candidateList>
        <item>（</item>
      </candidateList>
      <explain>文本全半角错误。</explain>
      <paraID>418797DF</paraID>
      <start>4</start>
      <end>5</end>
      <status>ignored</status>
      <modifiedWord/>
      <trackRevisions>false</trackRevisions>
    </reviewItem>
    <reviewItem>
      <errorID>67e400c3-fd04-4ad7-9fac-05daeaad517b</errorID>
      <errorWord>)</errorWord>
      <group>L1_Format</group>
      <groupName>格式问题</groupName>
      <ability>L2_HalfPunc</ability>
      <abilityName>全半角检查</abilityName>
      <candidateList>
        <item>）</item>
      </candidateList>
      <explain>文本全半角错误。</explain>
      <paraID>418797DF</paraID>
      <start>9</start>
      <end>10</end>
      <status>ignored</status>
      <modifiedWord/>
      <trackRevisions>false</trackRevisions>
    </reviewItem>
    <reviewItem>
      <errorID>75402939-c437-4edd-9923-ff4813e280a3</errorID>
      <errorWord>(</errorWord>
      <group>L1_Format</group>
      <groupName>格式问题</groupName>
      <ability>L2_HalfPunc</ability>
      <abilityName>全半角检查</abilityName>
      <candidateList>
        <item>（</item>
      </candidateList>
      <explain>文本全半角错误。</explain>
      <paraID>48AE9A53</paraID>
      <start>4</start>
      <end>5</end>
      <status>ignored</status>
      <modifiedWord/>
      <trackRevisions>false</trackRevisions>
    </reviewItem>
    <reviewItem>
      <errorID>c347df14-8961-4d8c-97a4-d0ec00b1e0a6</errorID>
      <errorWord>)</errorWord>
      <group>L1_Format</group>
      <groupName>格式问题</groupName>
      <ability>L2_HalfPunc</ability>
      <abilityName>全半角检查</abilityName>
      <candidateList>
        <item>）</item>
      </candidateList>
      <explain>文本全半角错误。</explain>
      <paraID>48AE9A53</paraID>
      <start>8</start>
      <end>9</end>
      <status>ignored</status>
      <modifiedWord/>
      <trackRevisions>false</trackRevisions>
    </reviewItem>
    <reviewItem>
      <errorID>d00e5958-11e1-417f-9546-c96dfbf75073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79A7F72D</paraID>
      <start>0</start>
      <end>3</end>
      <status>ignored</status>
      <modifiedWord/>
      <trackRevisions>false</trackRevisions>
    </reviewItem>
    <reviewItem>
      <errorID>0ec3db59-97d4-456a-82ab-1ff2e78d1c27</errorID>
      <errorWord>(</errorWord>
      <group>L1_Format</group>
      <groupName>格式问题</groupName>
      <ability>L2_HalfPunc</ability>
      <abilityName>全半角检查</abilityName>
      <candidateList>
        <item>（</item>
      </candidateList>
      <explain>文本全半角错误。</explain>
      <paraID>3FD58C70</paraID>
      <start>45</start>
      <end>46</end>
      <status>ignored</status>
      <modifiedWord/>
      <trackRevisions>false</trackRevisions>
    </reviewItem>
    <reviewItem>
      <errorID>a07c646a-8fee-4d38-98b9-c3738639fb45</errorID>
      <errorWord>)</errorWord>
      <group>L1_Format</group>
      <groupName>格式问题</groupName>
      <ability>L2_HalfPunc</ability>
      <abilityName>全半角检查</abilityName>
      <candidateList>
        <item>）</item>
      </candidateList>
      <explain>文本全半角错误。</explain>
      <paraID>3FD58C70</paraID>
      <start>48</start>
      <end>49</end>
      <status>ignored</status>
      <modifiedWord/>
      <trackRevisions>false</trackRevisions>
    </reviewItem>
    <reviewItem>
      <errorID>efe28aa3-2d18-4580-befe-39bf7fc38237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426FE452</paraID>
      <start>0</start>
      <end>2</end>
      <status>ignored</status>
      <modifiedWord/>
      <trackRevisions>false</trackRevisions>
    </reviewItem>
    <reviewItem>
      <errorID>e8379b7a-2a2a-4b15-b742-58b0883765d8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20EA6B6</paraID>
      <start>0</start>
      <end>2</end>
      <status>ignored</status>
      <modifiedWord/>
      <trackRevisions>false</trackRevisions>
    </reviewItem>
    <reviewItem>
      <errorID>5f7d6b78-549f-4c47-9588-f13aa3b0573f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539AFD5C</paraID>
      <start>0</start>
      <end>2</end>
      <status>ignored</status>
      <modifiedWord/>
      <trackRevisions>false</trackRevisions>
    </reviewItem>
    <reviewItem>
      <errorID>90414c29-f6bd-4a2b-a29d-e244fc29b18f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32C1FB7F</paraID>
      <start>0</start>
      <end>2</end>
      <status>ignored</status>
      <modifiedWord/>
      <trackRevisions>false</trackRevisions>
    </reviewItem>
    <reviewItem>
      <errorID>e6386987-00ef-4f45-a390-21da82196743</errorID>
      <errorWord>达</errorWord>
      <group>L1_Word</group>
      <groupName>字词问题</groupName>
      <ability>L2_Typo</ability>
      <abilityName>字词错误</abilityName>
      <candidateList>
        <item>达到</item>
      </candidateList>
      <explain>〈动〉到（多指抽象事物或程度）：达得到｜达不到｜目的没有～｜～国际水平。</explain>
      <paraID>4301F9CD</paraID>
      <start>40</start>
      <end>42</end>
      <status>modified</status>
      <modifiedWord>达到</modifiedWord>
      <trackRevisions>false</trackRevisions>
    </reviewItem>
    <reviewItem>
      <errorID>7d7e6856-27ca-44c0-ae2a-38033a03273f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5DB5EDDC</paraID>
      <start>0</start>
      <end>2</end>
      <status>ignored</status>
      <modifiedWord/>
      <trackRevisions>false</trackRevisions>
    </reviewItem>
    <reviewItem>
      <errorID>308e1004-e231-45a3-b8d8-be1a8aa2ad31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585577DA</paraID>
      <start>0</start>
      <end>2</end>
      <status>ignored</status>
      <modifiedWord/>
      <trackRevisions>false</trackRevisions>
    </reviewItem>
    <reviewItem>
      <errorID>60f0d087-5eed-4fd9-92a5-02c71473e61c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3FA7295C</paraID>
      <start>0</start>
      <end>2</end>
      <status>ignored</status>
      <modifiedWord/>
      <trackRevisions>false</trackRevisions>
    </reviewItem>
    <reviewItem>
      <errorID>5f62d733-c83f-4dff-b4ea-7e8a56e7723c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30C17FC0</paraID>
      <start>0</start>
      <end>2</end>
      <status>ignored</status>
      <modifiedWord/>
      <trackRevisions>false</trackRevisions>
    </reviewItem>
    <reviewItem>
      <errorID>3506b415-20b0-43c7-8290-3b7311bdab67</errorID>
      <errorWord>)</errorWord>
      <group>L1_Format</group>
      <groupName>格式问题</groupName>
      <ability>L2_HalfPunc</ability>
      <abilityName>全半角检查</abilityName>
      <candidateList>
        <item>）</item>
      </candidateList>
      <explain>文本全半角错误。</explain>
      <paraID>5E21E243</paraID>
      <start>23</start>
      <end>24</end>
      <status>ignored</status>
      <modifiedWord/>
      <trackRevisions>false</trackRevisions>
    </reviewItem>
    <reviewItem>
      <errorID>7423d601-9864-457f-8322-9c325145eb2d</errorID>
      <errorWord>（</errorWord>
      <group>L1_Punc</group>
      <groupName>标点问题</groupName>
      <ability>L2_Punc</ability>
      <abilityName>标点符号检查</abilityName>
      <candidateList>
        <item/>
      </candidateList>
      <explain>同一形式括号套用。</explain>
      <paraID>338149EA</paraID>
      <start>20</start>
      <end>21</end>
      <status>ignored</status>
      <modifiedWord/>
      <trackRevisions>false</trackRevisions>
    </reviewItem>
    <reviewItem>
      <errorID>8528cbbe-a4ef-4129-a949-b75992f4c85f</errorID>
      <errorWord>(</errorWord>
      <group>L1_Punc</group>
      <groupName>标点问题</groupName>
      <ability>L2_Punc</ability>
      <abilityName>标点符号检查</abilityName>
      <candidateList/>
      <explain>同一形式括号套用。</explain>
      <paraID>338149EA</paraID>
      <start>26</start>
      <end>27</end>
      <status>ignored</status>
      <modifiedWord/>
      <trackRevisions>false</trackRevisions>
    </reviewItem>
    <reviewItem>
      <errorID>b2c508a0-0e19-4547-b8a0-ee7c44b103fb</errorID>
      <errorWord>)</errorWord>
      <group>L1_Punc</group>
      <groupName>标点问题</groupName>
      <ability>L2_Punc</ability>
      <abilityName>标点符号检查</abilityName>
      <candidateList/>
      <explain>同一形式括号套用。</explain>
      <paraID>338149EA</paraID>
      <start>28</start>
      <end>29</end>
      <status>ignored</status>
      <modifiedWord/>
      <trackRevisions>false</trackRevisions>
    </reviewItem>
    <reviewItem>
      <errorID>e161b2f7-0501-4ff6-8cda-7796267e38b8</errorID>
      <errorWord>）</errorWord>
      <group>L1_Punc</group>
      <groupName>标点问题</groupName>
      <ability>L2_Punc</ability>
      <abilityName>标点符号检查</abilityName>
      <candidateList/>
      <explain>同一形式括号套用。</explain>
      <paraID>338149EA</paraID>
      <start>29</start>
      <end>30</end>
      <status>ignored</status>
      <modifiedWord/>
      <trackRevisions>false</trackRevisions>
    </reviewItem>
    <reviewItem>
      <errorID>41c17653-b8da-4034-9df2-2a53d2c84007</errorID>
      <errorWord>)</errorWord>
      <group>L1_Format</group>
      <groupName>格式问题</groupName>
      <ability>L2_HalfPunc</ability>
      <abilityName>全半角检查</abilityName>
      <candidateList>
        <item>）</item>
      </candidateList>
      <explain>文本全半角错误。</explain>
      <paraID>3876E58B</paraID>
      <start>161</start>
      <end>162</end>
      <status>ignored</status>
      <modifiedWord/>
      <trackRevisions>false</trackRevisions>
    </reviewItem>
    <reviewItem>
      <errorID>8933b3da-8e81-4b37-8033-a8c62e1c5a57</errorID>
      <errorWord>程</errorWord>
      <group>L1_Word</group>
      <groupName>字词问题</groupName>
      <ability>L2_Typo</ability>
      <abilityName>字词错误</abilityName>
      <candidateList>
        <item>程中</item>
      </candidateList>
      <explain/>
      <paraID>5A5D83BE</paraID>
      <start>40</start>
      <end>41</end>
      <status>ignored</status>
      <modifiedWord/>
      <trackRevisions>false</trackRevisions>
    </reviewItem>
    <reviewItem>
      <errorID>6e2838bd-56b8-48fb-a622-a8c9e95e20e0</errorID>
      <errorWord>:</errorWord>
      <group>L1_Format</group>
      <groupName>格式问题</groupName>
      <ability>L2_HalfPunc</ability>
      <abilityName>全半角检查</abilityName>
      <candidateList>
        <item>：</item>
      </candidateList>
      <explain>文本全半角错误。</explain>
      <paraID>  8E915B</paraID>
      <start>72</start>
      <end>73</end>
      <status>modified</status>
      <modifiedWord>：</modifiedWord>
      <trackRevisions>false</trackRevisions>
    </reviewItem>
    <reviewItem>
      <errorID>03287d6c-52be-4135-a6bb-95baa878946b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8E915B</paraID>
      <start>145</start>
      <end>148</end>
      <status>ignored</status>
      <modifiedWord/>
      <trackRevisions>false</trackRevisions>
    </reviewItem>
    <reviewItem>
      <errorID>1c794a3a-9cb2-4381-8b32-f08166209f5d</errorID>
      <errorWord>更换于</errorWord>
      <group>L1_Word</group>
      <groupName>字词问题</groupName>
      <ability>L2_Typo</ability>
      <abilityName>字词错误</abilityName>
      <candidateList>
        <item>更换</item>
      </candidateList>
      <explain>〈动〉变换；替换：～位置｜～衣裳｜～值班人员｜展览馆里的展品不断～。</explain>
      <paraID> 54DE356</paraID>
      <start>48</start>
      <end>50</end>
      <status>modified</status>
      <modifiedWord>更换</modifiedWord>
      <trackRevisions>false</trackRevisions>
    </reviewItem>
    <reviewItem>
      <errorID>175dcd5f-6440-4f79-99a6-09957b64a11e</errorID>
      <errorWord>,</errorWord>
      <group>L1_Format</group>
      <groupName>格式问题</groupName>
      <ability>L2_HalfPunc</ability>
      <abilityName>全半角检查</abilityName>
      <candidateList>
        <item>，</item>
      </candidateList>
      <explain>文本全半角错误。</explain>
      <paraID> 54DE356</paraID>
      <start>57</start>
      <end>58</end>
      <status>modified</status>
      <modifiedWord>，</modifiedWord>
      <trackRevisions>false</trackRevisions>
    </reviewItem>
    <reviewItem>
      <errorID>7df4421f-b8d4-4488-8d21-eb8bbfacd07c</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54DE356</paraID>
      <start>73</start>
      <end>74</end>
      <status>ignored</status>
      <modifiedWord/>
      <trackRevisions>false</trackRevisions>
    </reviewItem>
    <reviewItem>
      <errorID>9f34bff2-931c-4c7b-a92a-3e1137e2f41e</errorID>
      <errorWord>，</errorWord>
      <group>L1_Format</group>
      <groupName>格式问题</groupName>
      <ability>L2_HalfPunc</ability>
      <abilityName>全半角检查</abilityName>
      <candidateList>
        <item>, </item>
      </candidateList>
      <explain>文本全半角错误。</explain>
      <paraID>27F86B93</paraID>
      <start>1</start>
      <end>2</end>
      <status>ignored</status>
      <modifiedWord/>
      <trackRevisions>false</trackRevisions>
    </reviewItem>
    <reviewItem>
      <errorID>3aec3484-8e12-4ac5-86f8-8fd0b6626d59</errorID>
      <errorWord>，</errorWord>
      <group>L1_Format</group>
      <groupName>格式问题</groupName>
      <ability>L2_HalfPunc</ability>
      <abilityName>全半角检查</abilityName>
      <candidateList>
        <item>, </item>
      </candidateList>
      <explain>文本全半角错误。</explain>
      <paraID>406F6F55</paraID>
      <start>1</start>
      <end>2</end>
      <status>ignored</status>
      <modifiedWord/>
      <trackRevisions>false</trackRevisions>
    </reviewItem>
    <reviewItem>
      <errorID>abe3bcae-534f-4b5c-89ad-0fd9c050fc6b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421028B0</paraID>
      <start>0</start>
      <end>2</end>
      <status>ignored</status>
      <modifiedWord/>
      <trackRevisions>false</trackRevisions>
    </reviewItem>
    <reviewItem>
      <errorID>8af697ec-3555-4c19-bda2-8477f07e6ee3</errorID>
      <errorWord>前</errorWord>
      <group>L1_Word</group>
      <groupName>字词问题</groupName>
      <ability>L2_Typo</ability>
      <abilityName>字词错误</abilityName>
      <candidateList>
        <item>前已</item>
      </candidateList>
      <explain/>
      <paraID>4B3AF7EE</paraID>
      <start>20</start>
      <end>22</end>
      <status>modified</status>
      <modifiedWord>前已</modifiedWord>
      <trackRevisions>false</trackRevisions>
    </reviewItem>
    <reviewItem>
      <errorID>a7a053a4-2def-4e75-9d46-0555150663e6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77F66D83</paraID>
      <start>34</start>
      <end>35</end>
      <status>ignored</status>
      <modifiedWord/>
      <trackRevisions>false</trackRevisions>
    </reviewItem>
    <reviewItem>
      <errorID>055477eb-5eab-4c1a-b758-88ece2a446c6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3579662E</paraID>
      <start>125</start>
      <end>126</end>
      <status>ignored</status>
      <modifiedWord/>
      <trackRevisions>false</trackRevisions>
    </reviewItem>
    <reviewItem>
      <errorID>b6f20464-0ad8-4f98-832d-18b0b0a936ea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3579662E</paraID>
      <start>164</start>
      <end>165</end>
      <status>ignored</status>
      <modifiedWord/>
      <trackRevisions>false</trackRevisions>
    </reviewItem>
    <reviewItem>
      <errorID>8dc21c49-a6ae-49a3-8fb2-4ea4bd0035fe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61C4B9B9</paraID>
      <start>0</start>
      <end>2</end>
      <status>ignored</status>
      <modifiedWord/>
      <trackRevisions>false</trackRevisions>
    </reviewItem>
    <reviewItem>
      <errorID>ec3fae07-471e-4b11-b10c-0cf700c1eaed</errorID>
      <errorWord>，</errorWord>
      <group>L1_Word</group>
      <groupName>字词问题</groupName>
      <ability>L2_Typo</ability>
      <abilityName>字词错误</abilityName>
      <candidateList>
        <item>，将</item>
      </candidateList>
      <explain/>
      <paraID>27AD32CE</paraID>
      <start>28</start>
      <end>29</end>
      <status>ignored</status>
      <modifiedWord/>
      <trackRevisions>false</trackRevisions>
    </reviewItem>
    <reviewItem>
      <errorID>7388856d-2274-4796-8748-edecb36c1b6f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6965EA85</paraID>
      <start>0</start>
      <end>2</end>
      <status>ignored</status>
      <modifiedWord/>
      <trackRevisions>false</trackRevisions>
    </reviewItem>
    <reviewItem>
      <errorID>a2221c37-23af-43ae-85fb-e0790948d478</errorID>
      <errorWord>能</errorWord>
      <group>L1_Word</group>
      <groupName>字词问题</groupName>
      <ability>L2_Typo</ability>
      <abilityName>字词错误</abilityName>
      <candidateList>
        <item>能在</item>
      </candidateList>
      <explain/>
      <paraID> 35C353A</paraID>
      <start>36</start>
      <end>37</end>
      <status>ignored</status>
      <modifiedWord/>
      <trackRevisions>false</trackRevisions>
    </reviewItem>
    <reviewItem>
      <errorID>dec9aae0-bea3-4a41-9088-f4e98b9dac1b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6342231B</paraID>
      <start>64</start>
      <end>65</end>
      <status>ignored</status>
      <modifiedWord/>
      <trackRevisions>false</trackRevisions>
    </reviewItem>
    <reviewItem>
      <errorID>d5974b24-e8a1-42c7-bf74-63499315ac53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3FAD685A</paraID>
      <start>30</start>
      <end>31</end>
      <status>ignored</status>
      <modifiedWord/>
      <trackRevisions>false</trackRevisions>
    </reviewItem>
    <reviewItem>
      <errorID>27b81b0c-2461-4c51-9dcd-0ddc6c9a777c</errorID>
      <errorWord>其它人工</errorWord>
      <group>L1_Word</group>
      <groupName>字词问题</groupName>
      <ability>L2_Alias</ability>
      <abilityName>也作/曾用词</abilityName>
      <candidateList>
        <item>其他人工</item>
      </candidateList>
      <explain>词汇[其它人工]为不规范表述或旧称，其规范书面表述为[其他人工]。</explain>
      <paraID> F0E5478</paraID>
      <start>37</start>
      <end>41</end>
      <status>ignored</status>
      <modifiedWord/>
      <trackRevisions>false</trackRevisions>
    </reviewItem>
    <reviewItem>
      <errorID>e05a8884-50d2-4cf7-b07d-8a13b379c04a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F0E5478</paraID>
      <start>53</start>
      <end>54</end>
      <status>ignored</status>
      <modifiedWord/>
      <trackRevisions>false</trackRevisions>
    </reviewItem>
    <reviewItem>
      <errorID>9714ec94-2ba2-4f24-bcfc-2b514cf56a61</errorID>
      <errorWord>(</errorWord>
      <group>L1_Format</group>
      <groupName>格式问题</groupName>
      <ability>L2_HalfPunc</ability>
      <abilityName>全半角检查</abilityName>
      <candidateList>
        <item>（</item>
      </candidateList>
      <explain>文本全半角错误。</explain>
      <paraID>59780967</paraID>
      <start>18</start>
      <end>19</end>
      <status>ignored</status>
      <modifiedWord/>
      <trackRevisions>false</trackRevisions>
    </reviewItem>
    <reviewItem>
      <errorID>cf7ab05b-be84-4a92-a3f0-73770377c460</errorID>
      <errorWord>)</errorWord>
      <group>L1_Format</group>
      <groupName>格式问题</groupName>
      <ability>L2_HalfPunc</ability>
      <abilityName>全半角检查</abilityName>
      <candidateList>
        <item>）</item>
      </candidateList>
      <explain>文本全半角错误。</explain>
      <paraID>59780967</paraID>
      <start>29</start>
      <end>30</end>
      <status>ignored</status>
      <modifiedWord/>
      <trackRevisions>false</trackRevisions>
    </reviewItem>
    <reviewItem>
      <errorID>c45ec3ea-b9b6-4856-81e4-11269789f211</errorID>
      <errorWord>泄露</errorWord>
      <group>L1_Word</group>
      <groupName>字词问题</groupName>
      <ability>L2_Typo</ability>
      <abilityName>字词错误</abilityName>
      <candidateList>
        <item>泄漏</item>
      </candidateList>
      <explain>存在发音相同字词的误用。</explain>
      <paraID>74DD653D</paraID>
      <start>0</start>
      <end>2</end>
      <status>ignored</status>
      <modifiedWord/>
      <trackRevisions>false</trackRevisions>
    </reviewItem>
    <reviewItem>
      <errorID>dca76cd1-fc3a-451b-bc2a-87a6bf42f892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2BFF2517</paraID>
      <start>0</start>
      <end>2</end>
      <status>ignored</status>
      <modifiedWord/>
      <trackRevisions>false</trackRevisions>
    </reviewItem>
    <reviewItem>
      <errorID>4fd73e7d-9995-4759-99ce-c287e9b78954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1FA10324</paraID>
      <start>0</start>
      <end>2</end>
      <status>ignored</status>
      <modifiedWord/>
      <trackRevisions>false</trackRevisions>
    </reviewItem>
    <reviewItem>
      <errorID>12cd809e-3710-4a03-b06d-6fbd4fdc2c17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42A6C91D</paraID>
      <start>0</start>
      <end>2</end>
      <status>ignored</status>
      <modifiedWord/>
      <trackRevisions>false</trackRevisions>
    </reviewItem>
    <reviewItem>
      <errorID>2ce13c0e-ee5b-48e8-9cb9-4668b0362472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14F0544C</paraID>
      <start>0</start>
      <end>2</end>
      <status>ignored</status>
      <modifiedWord/>
      <trackRevisions>false</trackRevisions>
    </reviewItem>
    <reviewItem>
      <errorID>157c0400-26a0-46e0-9acb-c732f5fd96ea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8298B3D</paraID>
      <start>0</start>
      <end>2</end>
      <status>ignored</status>
      <modifiedWord/>
      <trackRevisions>false</trackRevisions>
    </reviewItem>
    <reviewItem>
      <errorID>3246f7b0-ac57-4ca7-a9c1-15102373d49f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4B4570D7</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2fd0f6-58d3-4a9f-9894-89002bc58df6}">
  <ds:schemaRefs/>
</ds:datastoreItem>
</file>

<file path=docProps/app.xml><?xml version="1.0" encoding="utf-8"?>
<Properties xmlns="http://schemas.openxmlformats.org/officeDocument/2006/extended-properties" xmlns:vt="http://schemas.openxmlformats.org/officeDocument/2006/docPropsVTypes">
  <Template>wdzx97.dot</Template>
  <Company>微软中国</Company>
  <Pages>66</Pages>
  <Words>21085</Words>
  <Characters>22699</Characters>
  <Lines>392</Lines>
  <Paragraphs>110</Paragraphs>
  <TotalTime>32</TotalTime>
  <ScaleCrop>false</ScaleCrop>
  <LinksUpToDate>false</LinksUpToDate>
  <CharactersWithSpaces>22754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2021-05-18T10:26:00Z</dcterms:created>
  <dc:creator>lhj</dc:creator>
  <cp:lastModifiedBy>AA日益广告</cp:lastModifiedBy>
  <cp:lastPrinted>2021-05-18T12:12:00Z</cp:lastPrinted>
  <dcterms:modified xsi:type="dcterms:W3CDTF">2026-05-22T02:01:57Z</dcterms:modified>
  <dc:title>附件2</dc:title>
  <cp:revision>427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74215DB113F44B7AAE411F9FE7901FE6_13</vt:lpwstr>
  </property>
  <property fmtid="{D5CDD505-2E9C-101B-9397-08002B2CF9AE}" pid="4" name="KSOTemplateDocerSaveRecord">
    <vt:lpwstr>eyJoZGlkIjoiOGYxZDI1NTVmZDkyYjQyM2FlYmUwNzMzZTUxYzZiYWIiLCJ1c2VySWQiOiI1ODA0NDU3MzQifQ==</vt:lpwstr>
  </property>
</Properties>
</file>